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680" w:right="1880" w:hanging="3672"/>
        <w:spacing w:after="0" w:line="476" w:lineRule="auto"/>
        <w:tabs>
          <w:tab w:leader="none" w:pos="22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-502920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-518160</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246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ind w:left="660"/>
        <w:spacing w:after="0"/>
        <w:tabs>
          <w:tab w:leader="none" w:pos="710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8"/>
          <w:szCs w:val="18"/>
          <w:color w:val="auto"/>
        </w:rPr>
        <w:t>(I.R.S. Employer Identification No.)</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459"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Common stock, par value $0.02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1"/>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NTIC</w:t>
            </w:r>
          </w:p>
        </w:tc>
        <w:tc>
          <w:tcPr>
            <w:tcW w:w="4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line="20" w:lineRule="exact"/>
              <w:rPr>
                <w:sz w:val="1"/>
                <w:szCs w:val="1"/>
                <w:color w:val="auto"/>
              </w:rPr>
            </w:pPr>
          </w:p>
        </w:tc>
      </w:tr>
      <w:tr>
        <w:trPr>
          <w:trHeight w:val="205"/>
        </w:trPr>
        <w:tc>
          <w:tcPr>
            <w:tcW w:w="2280" w:type="dxa"/>
            <w:vAlign w:val="bottom"/>
            <w:tcBorders>
              <w:left w:val="single" w:sz="8" w:color="auto"/>
              <w:right w:val="single" w:sz="8" w:color="auto"/>
            </w:tcBorders>
            <w:vMerge w:val="continue"/>
          </w:tcPr>
          <w:p>
            <w:pPr>
              <w:spacing w:after="0"/>
              <w:rPr>
                <w:sz w:val="17"/>
                <w:szCs w:val="17"/>
                <w:color w:val="auto"/>
              </w:rPr>
            </w:pPr>
          </w:p>
        </w:tc>
        <w:tc>
          <w:tcPr>
            <w:tcW w:w="4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-2929890</wp:posOffset>
            </wp:positionH>
            <wp:positionV relativeFrom="paragraph">
              <wp:posOffset>-301625</wp:posOffset>
            </wp:positionV>
            <wp:extent cx="7134225" cy="302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8" w:lineRule="exact"/>
        <w:rPr>
          <w:sz w:val="24"/>
          <w:szCs w:val="24"/>
          <w:color w:val="auto"/>
        </w:rPr>
      </w:pPr>
    </w:p>
    <w:p>
      <w:pPr>
        <w:sectPr>
          <w:pgSz w:w="11900" w:h="16838" w:orient="portrait"/>
          <w:cols w:equalWidth="0" w:num="2">
            <w:col w:w="4160" w:space="460"/>
            <w:col w:w="6620"/>
          </w:cols>
          <w:pgMar w:left="320" w:top="459" w:right="339" w:bottom="144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ind w:left="140"/>
        <w:spacing w:after="0" w:line="207" w:lineRule="exact"/>
        <w:tabs>
          <w:tab w:leader="none" w:pos="73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1" w:lineRule="exact"/>
        <w:rPr>
          <w:sz w:val="24"/>
          <w:szCs w:val="24"/>
          <w:color w:val="auto"/>
        </w:rPr>
      </w:pPr>
    </w:p>
    <w:p>
      <w:pPr>
        <w:ind w:left="140"/>
        <w:spacing w:after="0" w:line="207" w:lineRule="exact"/>
        <w:tabs>
          <w:tab w:leader="none" w:pos="734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ind w:left="73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r>
        <w:rPr>
          <w:rFonts w:ascii="MS PGothic" w:cs="MS PGothic" w:eastAsia="MS PGothic" w:hAnsi="MS PGothic"/>
          <w:sz w:val="18"/>
          <w:szCs w:val="18"/>
          <w:color w:val="auto"/>
        </w:rPr>
        <w: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5, 2021, there were 9,104,636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30,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180" w:type="dxa"/>
            <w:vAlign w:val="bottom"/>
            <w:vMerge w:val="restart"/>
          </w:tcPr>
          <w:p>
            <w:pPr>
              <w:spacing w:after="0"/>
              <w:rPr>
                <w:sz w:val="20"/>
                <w:szCs w:val="20"/>
                <w:color w:val="auto"/>
              </w:rPr>
            </w:pPr>
          </w:p>
        </w:tc>
        <w:tc>
          <w:tcPr>
            <w:tcW w:w="94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9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8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Balance Sheets as of November 30, 2020 (unaudited) and August 31, 2020</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1</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Statements of Operations (unaudited) for the Three Months Ended November 30, 2020 and 2019</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2</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Statements of Comprehensive Income (unaudited) for the Three Months Ended November 30, 2020 and 2019</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3</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Equity (unaudited) for the Three Months Ended November 30, 2020 and 2019</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4</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Cash Flows (unaudited) for the Three Months Ended November 30, 2020 and 2019</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5</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Notes to Consolidated Financial Statements (unaudited)</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6-16</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2.</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17-31</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3.</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Quantitative and Qualitative Disclosures about Market Risk</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32</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Item 4.</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Controls and Procedures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32</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1.</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Legal Proceedings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Risk Factors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2.</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3.</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Defaults Upon Senior Securities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4.</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Mine Safety Disclosures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5.</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Other Information</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34</w:t>
              </w:r>
            </w:hyperlink>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6.</w:t>
              </w:r>
            </w:hyperlink>
          </w:p>
        </w:tc>
        <w:tc>
          <w:tcPr>
            <w:tcW w:w="9400" w:type="dxa"/>
            <w:vAlign w:val="bottom"/>
          </w:tcPr>
          <w:p>
            <w:pPr>
              <w:ind w:left="18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Exhibits</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34</w:t>
              </w:r>
            </w:hyperlink>
          </w:p>
        </w:tc>
        <w:tc>
          <w:tcPr>
            <w:tcW w:w="0" w:type="dxa"/>
            <w:vAlign w:val="bottom"/>
          </w:tcPr>
          <w:p>
            <w:pPr>
              <w:spacing w:after="0"/>
              <w:rPr>
                <w:sz w:val="1"/>
                <w:szCs w:val="1"/>
                <w:color w:val="auto"/>
              </w:rPr>
            </w:pPr>
          </w:p>
        </w:tc>
      </w:tr>
      <w:tr>
        <w:trPr>
          <w:trHeight w:val="432"/>
        </w:trPr>
        <w:tc>
          <w:tcPr>
            <w:tcW w:w="1048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SIGNATURE PAGE</w:t>
              </w:r>
            </w:hyperlink>
          </w:p>
        </w:tc>
        <w:tc>
          <w:tcPr>
            <w:tcW w:w="76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35</w:t>
              </w:r>
            </w:hyperlink>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_________________</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and (4)“NTI Asean” refer to NTIC’s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8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ectPr>
          <w:pgSz w:w="11900" w:h="16838" w:orient="portrait"/>
          <w:cols w:equalWidth="0" w:num="1">
            <w:col w:w="11240"/>
          </w:cols>
          <w:pgMar w:left="320" w:top="819"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“EXCOR” refer to NTIC’s joint venture in Germany, Excor Korrosionsschutz –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NOVEMBER 30, 2020 (UNAUDITED) AND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AUGUST 31, 2020 (AUDITED)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10"/>
        </w:trPr>
        <w:tc>
          <w:tcPr>
            <w:tcW w:w="7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2020</w:t>
            </w:r>
          </w:p>
        </w:tc>
      </w:tr>
      <w:tr>
        <w:trPr>
          <w:trHeight w:val="20"/>
        </w:trPr>
        <w:tc>
          <w:tcPr>
            <w:tcW w:w="7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6,953,341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6,403,032</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6,382,785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5,544,722</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8"/>
        </w:trPr>
        <w:tc>
          <w:tcPr>
            <w:tcW w:w="788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$120,000 as of November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30, 2020 and $90,000 as of August 31, 2020</w:t>
            </w: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9,551,519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8,072,212</w:t>
            </w: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475,900</w:t>
            </w:r>
          </w:p>
        </w:tc>
      </w:tr>
      <w:tr>
        <w:trPr>
          <w:trHeight w:val="216"/>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927,286</w:t>
            </w: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19,907</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9,835,135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10,961,796</w:t>
            </w: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917,570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797,495</w:t>
            </w:r>
          </w:p>
        </w:tc>
      </w:tr>
      <w:tr>
        <w:trPr>
          <w:trHeight w:val="209"/>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35,475,804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33,202,350</w:t>
            </w:r>
          </w:p>
        </w:tc>
      </w:tr>
      <w:tr>
        <w:trPr>
          <w:trHeight w:val="210"/>
        </w:trPr>
        <w:tc>
          <w:tcPr>
            <w:tcW w:w="78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7,224,297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7,110,789</w:t>
            </w:r>
          </w:p>
        </w:tc>
      </w:tr>
      <w:tr>
        <w:trPr>
          <w:trHeight w:val="209"/>
        </w:trPr>
        <w:tc>
          <w:tcPr>
            <w:tcW w:w="78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24,961,205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24,090,826</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209,220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209,729</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802,006</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552,103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658,788</w:t>
            </w:r>
          </w:p>
        </w:tc>
      </w:tr>
      <w:tr>
        <w:trPr>
          <w:trHeight w:val="210"/>
        </w:trPr>
        <w:tc>
          <w:tcPr>
            <w:tcW w:w="7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26,504,951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25,761,349</w:t>
            </w:r>
          </w:p>
        </w:tc>
      </w:tr>
      <w:tr>
        <w:trPr>
          <w:trHeight w:val="210"/>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69,205,052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66,074,488</w:t>
            </w:r>
          </w:p>
        </w:tc>
      </w:tr>
      <w:tr>
        <w:trPr>
          <w:trHeight w:val="20"/>
        </w:trPr>
        <w:tc>
          <w:tcPr>
            <w:tcW w:w="7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880" w:type="dxa"/>
            <w:vAlign w:val="bottom"/>
            <w:gridSpan w:val="2"/>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4,379,475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3,205,241</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310,922</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1,314,978</w:t>
            </w:r>
          </w:p>
        </w:tc>
      </w:tr>
      <w:tr>
        <w:trPr>
          <w:trHeight w:val="216"/>
        </w:trPr>
        <w:tc>
          <w:tcPr>
            <w:tcW w:w="7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880,118</w:t>
            </w:r>
          </w:p>
        </w:tc>
      </w:tr>
      <w:tr>
        <w:trPr>
          <w:trHeight w:val="216"/>
        </w:trPr>
        <w:tc>
          <w:tcPr>
            <w:tcW w:w="78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276,061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386,345</w:t>
            </w:r>
          </w:p>
        </w:tc>
      </w:tr>
      <w:tr>
        <w:trPr>
          <w:trHeight w:val="210"/>
        </w:trPr>
        <w:tc>
          <w:tcPr>
            <w:tcW w:w="760" w:type="dxa"/>
            <w:vAlign w:val="bottom"/>
          </w:tcPr>
          <w:p>
            <w:pPr>
              <w:spacing w:after="0"/>
              <w:rPr>
                <w:sz w:val="18"/>
                <w:szCs w:val="18"/>
                <w:color w:val="auto"/>
              </w:rPr>
            </w:pP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7,302,886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6,097,604</w:t>
            </w:r>
          </w:p>
        </w:tc>
      </w:tr>
      <w:tr>
        <w:trPr>
          <w:trHeight w:val="209"/>
        </w:trPr>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276,042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272,443</w:t>
            </w:r>
          </w:p>
        </w:tc>
      </w:tr>
      <w:tr>
        <w:trPr>
          <w:trHeight w:val="209"/>
        </w:trPr>
        <w:tc>
          <w:tcPr>
            <w:tcW w:w="760" w:type="dxa"/>
            <w:vAlign w:val="bottom"/>
            <w:tcBorders>
              <w:bottom w:val="single" w:sz="8" w:color="CCEEFF"/>
            </w:tcBorders>
            <w:shd w:val="clear" w:color="auto" w:fill="CCEEFF"/>
          </w:tcPr>
          <w:p>
            <w:pPr>
              <w:spacing w:after="0"/>
              <w:rPr>
                <w:sz w:val="18"/>
                <w:szCs w:val="18"/>
                <w:color w:val="auto"/>
              </w:rPr>
            </w:pPr>
          </w:p>
        </w:tc>
        <w:tc>
          <w:tcPr>
            <w:tcW w:w="7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276,042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272,443</w:t>
            </w:r>
          </w:p>
        </w:tc>
      </w:tr>
      <w:tr>
        <w:trPr>
          <w:trHeight w:val="210"/>
        </w:trPr>
        <w:tc>
          <w:tcPr>
            <w:tcW w:w="78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7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November 30, 2020 and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August 31, 2020; issued and outstanding 9,104,636 and 9,099,990, respectively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182,093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182,000</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17,632,811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17,415,043</w:t>
            </w:r>
          </w:p>
        </w:tc>
      </w:tr>
      <w:tr>
        <w:trPr>
          <w:trHeight w:val="216"/>
        </w:trPr>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43,735,209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42,472,810</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(3,179,678)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(3,410,438)</w:t>
            </w:r>
          </w:p>
        </w:tc>
      </w:tr>
      <w:tr>
        <w:trPr>
          <w:trHeight w:val="209"/>
        </w:trPr>
        <w:tc>
          <w:tcPr>
            <w:tcW w:w="7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58,370,435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56,659,415</w:t>
            </w:r>
          </w:p>
        </w:tc>
      </w:tr>
      <w:tr>
        <w:trPr>
          <w:trHeight w:val="216"/>
        </w:trPr>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3,255,689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3,045,026</w:t>
            </w:r>
          </w:p>
        </w:tc>
      </w:tr>
      <w:tr>
        <w:trPr>
          <w:trHeight w:val="210"/>
        </w:trPr>
        <w:tc>
          <w:tcPr>
            <w:tcW w:w="78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61,626,124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59,704,441</w:t>
            </w:r>
          </w:p>
        </w:tc>
      </w:tr>
      <w:tr>
        <w:trPr>
          <w:trHeight w:val="209"/>
        </w:trPr>
        <w:tc>
          <w:tcPr>
            <w:tcW w:w="7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69,205,052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66,074,488</w:t>
            </w:r>
          </w:p>
        </w:tc>
      </w:tr>
      <w:tr>
        <w:trPr>
          <w:trHeight w:val="20"/>
        </w:trPr>
        <w:tc>
          <w:tcPr>
            <w:tcW w:w="7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19" w:right="339" w:bottom="15"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MONTHS ENDED NOVEMBER 30, 2020 AND 2019</w:t>
      </w:r>
    </w:p>
    <w:tbl>
      <w:tblPr>
        <w:tblLayout w:type="fixed"/>
        <w:tblInd w:w="0" w:type="dxa"/>
        <w:tblCellMar>
          <w:top w:w="0" w:type="dxa"/>
          <w:left w:w="0" w:type="dxa"/>
          <w:bottom w:w="0" w:type="dxa"/>
          <w:right w:w="0" w:type="dxa"/>
        </w:tblCellMar>
      </w:tblPr>
      <w:tr>
        <w:trPr>
          <w:trHeight w:val="192"/>
        </w:trPr>
        <w:tc>
          <w:tcPr>
            <w:tcW w:w="80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4"/>
          </w:tcPr>
          <w:p>
            <w:pPr>
              <w:jc w:val="right"/>
              <w:ind w:right="77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12,198,808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14,045,784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580,304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585,616</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12,779,112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14,631,400</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8,313,321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9,805,084</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4,465,791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4,826,316</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1,825,712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1,293,990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1,336,561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1,358,325</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3,162,273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2,652,315</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2,741,768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2,887,292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2,093,982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2,049,687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1,075,737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961,641</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5,911,487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5,898,620</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1,716,577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1,580,011</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49,038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1,783,747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1,623,605</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378,590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264,066</w:t>
            </w: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1,359,539</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142,758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146,989</w:t>
            </w: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1,262,399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1,212,550</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0.13</w:t>
            </w:r>
          </w:p>
        </w:tc>
      </w:tr>
      <w:tr>
        <w:trPr>
          <w:trHeight w:val="196"/>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9,104,623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9,095,607</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9,644,630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9,407,642</w:t>
            </w:r>
          </w:p>
        </w:tc>
      </w:tr>
      <w:tr>
        <w:trPr>
          <w:trHeight w:val="196"/>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0.065</w:t>
            </w:r>
          </w:p>
        </w:tc>
      </w:tr>
      <w:tr>
        <w:trPr>
          <w:trHeight w:val="394"/>
        </w:trPr>
        <w:tc>
          <w:tcPr>
            <w:tcW w:w="800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34"/>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15"/>
        </w:trPr>
        <w:tc>
          <w:tcPr>
            <w:tcW w:w="8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MONTHS ENDED NOVEMBER 30, 2020 AND 2019</w:t>
      </w:r>
    </w:p>
    <w:tbl>
      <w:tblPr>
        <w:tblLayout w:type="fixed"/>
        <w:tblInd w:w="0" w:type="dxa"/>
        <w:tblCellMar>
          <w:top w:w="0" w:type="dxa"/>
          <w:left w:w="0" w:type="dxa"/>
          <w:bottom w:w="0" w:type="dxa"/>
          <w:right w:w="0" w:type="dxa"/>
        </w:tblCellMar>
      </w:tblPr>
      <w:tr>
        <w:trPr>
          <w:trHeight w:val="192"/>
        </w:trPr>
        <w:tc>
          <w:tcPr>
            <w:tcW w:w="80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4"/>
          </w:tcPr>
          <w:p>
            <w:pPr>
              <w:jc w:val="right"/>
              <w:ind w:right="77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1,405,157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1,359,539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 FOREIGN CURRENCY TRANSLATION ADJUSTMENT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298,665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125,676</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1,703,822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1,485,215</w:t>
            </w:r>
          </w:p>
        </w:tc>
      </w:tr>
      <w:tr>
        <w:trPr>
          <w:trHeight w:val="117"/>
        </w:trPr>
        <w:tc>
          <w:tcPr>
            <w:tcW w:w="8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364"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210,663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169,851</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1,493,159</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1,315,364</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2100" w:type="dxa"/>
            <w:vAlign w:val="bottom"/>
            <w:gridSpan w:val="4"/>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210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2019</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9,086,816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$16,013,338</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$44,992,719</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(4,593,178)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3,074,679</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$59,669,294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35,535</w:t>
            </w: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318,818</w:t>
            </w:r>
          </w:p>
        </w:tc>
        <w:tc>
          <w:tcPr>
            <w:tcW w:w="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318,818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(590,879)</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1,212,550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169,851</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1,485,215</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30, 2019</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9,097,236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16,367,554</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45,614,390</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(4,490,364)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3,244,530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$60,918,055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AUGUST 31, 2020</w:t>
            </w:r>
          </w:p>
        </w:tc>
        <w:tc>
          <w:tcPr>
            <w:tcW w:w="100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9,099,990</w:t>
            </w:r>
          </w:p>
        </w:tc>
        <w:tc>
          <w:tcPr>
            <w:tcW w:w="22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182,000</w:t>
            </w:r>
          </w:p>
        </w:tc>
        <w:tc>
          <w:tcPr>
            <w:tcW w:w="1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$17,415,043</w:t>
            </w:r>
          </w:p>
        </w:tc>
        <w:tc>
          <w:tcPr>
            <w:tcW w:w="108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$42,472,810</w:t>
            </w:r>
          </w:p>
        </w:tc>
        <w:tc>
          <w:tcPr>
            <w:tcW w:w="340" w:type="dxa"/>
            <w:vAlign w:val="bottom"/>
            <w:gridSpan w:val="2"/>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(3,410,438)</w:t>
            </w:r>
          </w:p>
        </w:tc>
        <w:tc>
          <w:tcPr>
            <w:tcW w:w="200" w:type="dxa"/>
            <w:vAlign w:val="bottom"/>
            <w:gridSpan w:val="2"/>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3,045,026</w:t>
            </w:r>
          </w:p>
        </w:tc>
        <w:tc>
          <w:tcPr>
            <w:tcW w:w="114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$59,704,441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36,099</w:t>
            </w:r>
          </w:p>
        </w:tc>
        <w:tc>
          <w:tcPr>
            <w:tcW w:w="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36,192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181,669</w:t>
            </w:r>
          </w:p>
        </w:tc>
        <w:tc>
          <w:tcPr>
            <w:tcW w:w="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181,669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1,262,399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230,760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210,663</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1,703,822</w:t>
            </w:r>
          </w:p>
        </w:tc>
        <w:tc>
          <w:tcPr>
            <w:tcW w:w="0" w:type="dxa"/>
            <w:vAlign w:val="bottom"/>
          </w:tcPr>
          <w:p>
            <w:pPr>
              <w:spacing w:after="0"/>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30, 2020</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$ 17,632,811</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43,735,209</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(3,179,678)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3,255,689</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$61,626,124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2020 AND 2019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November 30, 2020</w:t>
            </w:r>
          </w:p>
        </w:tc>
        <w:tc>
          <w:tcPr>
            <w:tcW w:w="12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30, 2019</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1,405,157</w:t>
            </w:r>
          </w:p>
        </w:tc>
        <w:tc>
          <w:tcPr>
            <w:tcW w:w="8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1,359,539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181,669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318,818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211,932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211,132</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49,989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58,521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(1,825,712)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(1,293,990)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1,125,361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205,432</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114,166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(1,334,199)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(534,080)</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joint ventures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(199,491)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182,798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262,440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1,242,101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(734,384)</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1,046,577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518,930</w:t>
            </w:r>
          </w:p>
        </w:tc>
        <w:tc>
          <w:tcPr>
            <w:tcW w:w="0" w:type="dxa"/>
            <w:vAlign w:val="bottom"/>
          </w:tcPr>
          <w:p>
            <w:pPr>
              <w:spacing w:after="0"/>
              <w:rPr>
                <w:sz w:val="1"/>
                <w:szCs w:val="1"/>
                <w:color w:val="auto"/>
              </w:rPr>
            </w:pPr>
          </w:p>
        </w:tc>
      </w:tr>
      <w:tr>
        <w:trPr>
          <w:trHeight w:val="216"/>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156,951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157"/>
        </w:trPr>
        <w:tc>
          <w:tcPr>
            <w:tcW w:w="7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(2,049,549)</w:t>
            </w:r>
          </w:p>
        </w:tc>
      </w:tr>
      <w:tr>
        <w:trPr>
          <w:trHeight w:val="209"/>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1,601,120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(1,567,157)</w:t>
            </w:r>
          </w:p>
        </w:tc>
      </w:tr>
      <w:tr>
        <w:trPr>
          <w:trHeight w:val="209"/>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(2,521,837)</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3,100,000</w:t>
            </w:r>
          </w:p>
        </w:tc>
      </w:tr>
      <w:tr>
        <w:trPr>
          <w:trHeight w:val="216"/>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(197,370)</w:t>
            </w: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patents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(27,493)</w:t>
            </w:r>
          </w:p>
        </w:tc>
      </w:tr>
      <w:tr>
        <w:trPr>
          <w:trHeight w:val="210"/>
        </w:trPr>
        <w:tc>
          <w:tcPr>
            <w:tcW w:w="75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(1,177,869)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353,300</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(590,878)</w:t>
            </w:r>
          </w:p>
        </w:tc>
      </w:tr>
      <w:tr>
        <w:trPr>
          <w:trHeight w:val="216"/>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36,192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35,607</w:t>
            </w:r>
          </w:p>
        </w:tc>
      </w:tr>
      <w:tr>
        <w:trPr>
          <w:trHeight w:val="209"/>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36,192</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(555,271)</w:t>
            </w:r>
          </w:p>
        </w:tc>
      </w:tr>
      <w:tr>
        <w:trPr>
          <w:trHeight w:val="209"/>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90,866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19,166</w:t>
            </w:r>
          </w:p>
        </w:tc>
      </w:tr>
      <w:tr>
        <w:trPr>
          <w:trHeight w:val="209"/>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550,309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(1,749,962)</w:t>
            </w: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6,403,032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5,856,758</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6,953,341</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4,106,796</w:t>
            </w:r>
          </w:p>
        </w:tc>
      </w:tr>
      <w:tr>
        <w:trPr>
          <w:trHeight w:val="413"/>
        </w:trPr>
        <w:tc>
          <w:tcPr>
            <w:tcW w:w="754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7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396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2020 and August 31, 2020 and the results of the Company’s operations for the three months ended November 30, 2020 and 2019, the changes in stockholders’ equity for the three months ended November 30, 2020 and 2019 and the Company’s cash flows for the three months ended November 30, 2020 and 2019, in conformity with accounting principles generally accepted in the United States of America (U.S. GAAP).</w:t>
      </w:r>
    </w:p>
    <w:p>
      <w:pPr>
        <w:spacing w:after="0" w:line="183" w:lineRule="exact"/>
        <w:rPr>
          <w:sz w:val="20"/>
          <w:szCs w:val="20"/>
          <w:color w:val="auto"/>
        </w:rPr>
      </w:pPr>
    </w:p>
    <w:p>
      <w:pPr>
        <w:ind w:right="68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2020. These consolidated financial statements also should be read in conjunction with the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November 30, 2020 are not necessarily indicative of the results that may be expected for the full fiscal year ending August 31, 2021.</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outbreak a global pandemic.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in the first quarter of fiscal 2021 and is expected to continue into the remainder of fiscal 2021 and possibly beyond.</w:t>
      </w:r>
    </w:p>
    <w:p>
      <w:pPr>
        <w:spacing w:after="0" w:line="200" w:lineRule="exact"/>
        <w:rPr>
          <w:sz w:val="20"/>
          <w:szCs w:val="20"/>
          <w:color w:val="auto"/>
        </w:rPr>
      </w:pPr>
    </w:p>
    <w:p>
      <w:pPr>
        <w:spacing w:after="0" w:line="219" w:lineRule="exact"/>
        <w:rPr>
          <w:sz w:val="20"/>
          <w:szCs w:val="20"/>
          <w:color w:val="auto"/>
        </w:rPr>
      </w:pPr>
    </w:p>
    <w:p>
      <w:pPr>
        <w:ind w:left="420" w:hanging="412"/>
        <w:spacing w:after="0"/>
        <w:tabs>
          <w:tab w:leader="none" w:pos="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Measurement of Credit Losses on Financial Instruments,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ectPr>
          <w:pgSz w:w="11900" w:h="16838" w:orient="portrait"/>
          <w:cols w:equalWidth="0" w:num="1">
            <w:col w:w="11240"/>
          </w:cols>
          <w:pgMar w:left="320" w:top="140" w:right="339" w:bottom="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6" w:name="page7"/>
    <w:bookmarkEnd w:id="6"/>
    <w:p>
      <w:pPr>
        <w:ind w:right="140"/>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November 30, 2020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2020</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2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3,180,144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3,866,791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6,654,991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7,095,005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9,835,135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10,961,796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November 30, 2020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8,245,751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8,167,783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5,111,807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4,940,912</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13,667,923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13,419,060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(6,443,626)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(6,308,271)</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7,224,297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7,110,789</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PATENTS AND TRADEMARKS, NET</w:t>
            </w:r>
          </w:p>
        </w:tc>
        <w:tc>
          <w:tcPr>
            <w:tcW w:w="1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6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November 30, 2020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2,938,258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2,907,852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(2,155,835)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(2,105,846)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782,423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802,006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be $200,000 in each of the next four fiscal years.</w:t>
      </w:r>
    </w:p>
    <w:p>
      <w:pPr>
        <w:spacing w:after="0" w:line="200" w:lineRule="exact"/>
        <w:rPr>
          <w:sz w:val="20"/>
          <w:szCs w:val="20"/>
          <w:color w:val="auto"/>
        </w:rPr>
      </w:pPr>
    </w:p>
    <w:p>
      <w:pPr>
        <w:spacing w:after="0" w:line="21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November 30, 2020</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61,457,250</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28,660,652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32,796,598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65,569,012</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31,051,037</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34,517,975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14,569,061</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2,997,769</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11,571,292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331,743</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331,743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50,668,208</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28,053,268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22,614,940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24,961,205</w:t>
            </w:r>
          </w:p>
        </w:tc>
        <w:tc>
          <w:tcPr>
            <w:tcW w:w="38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14,026,636</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10,934,569</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22,726,127</w:t>
            </w: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13,995,731</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8,730,396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November 30, 2020</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26,777,343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9,551,483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17,225,860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12,441,761</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5,699,007</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6,742,754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3,651,424</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2,021,074</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1,630,350</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1,825,712</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1,010,537</w:t>
            </w: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815,175</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1,125,361</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1,125,361</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2020</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55,825,418</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25,742,619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30,082,799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60,295,587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28,449,772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31,845,815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11,002,867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2,424,565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8,578,302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365,274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48,927,446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26,025,207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22,902,239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24,090,826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13,012,606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11,078,220</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21,855,747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12,981,701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8,874,046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 November 30, 2019</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25,460,294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9,368,239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16,092,055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11,357,134</w:t>
            </w:r>
          </w:p>
        </w:tc>
        <w:tc>
          <w:tcPr>
            <w:tcW w:w="38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5,325,488</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6,031,646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2,587,980</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1,642,327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945,653</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1,293,990</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821,163</w:t>
            </w:r>
          </w:p>
        </w:tc>
        <w:tc>
          <w:tcPr>
            <w:tcW w:w="3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472,827</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205,432</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205,432</w:t>
            </w:r>
          </w:p>
        </w:tc>
      </w:tr>
      <w:tr>
        <w:trPr>
          <w:trHeight w:val="432"/>
        </w:trPr>
        <w:tc>
          <w:tcPr>
            <w:tcW w:w="61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8" w:name="page9"/>
    <w:bookmarkEnd w:id="8"/>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a revolving line of credit with PNC Bank, National Association (PNC Bank) of $3,000,000. No amounts were outstanding under the line of credit as of both November 30, 2020 and August 31, 2020.</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2020, the Company was in compliance with all debt covenants.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December 21, 2020, the Company and PNC Bank amended the loan agreement relating to the revolving line of credit and amended and restated the promissory note issued by the Company relating to the revolving line of credit. Pursuant to these amendments:</w:t>
      </w:r>
    </w:p>
    <w:p>
      <w:pPr>
        <w:spacing w:after="0" w:line="162" w:lineRule="exact"/>
        <w:rPr>
          <w:sz w:val="20"/>
          <w:szCs w:val="20"/>
          <w:color w:val="auto"/>
        </w:rPr>
      </w:pPr>
    </w:p>
    <w:p>
      <w:pPr>
        <w:ind w:right="180" w:firstLine="656"/>
        <w:spacing w:after="0" w:line="266" w:lineRule="auto"/>
        <w:tabs>
          <w:tab w:leader="none" w:pos="10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amounts outstanding under the line of credit bear interest was revised to equal (i) (A) a per annum rate equal to the “London Interbank Offered Rate” for a one month period determined and applied each business day until the next business date, or if greater (B) 75 basis points (0.75%), plus (ii) 325 basis points (3.25%);</w:t>
      </w:r>
    </w:p>
    <w:p>
      <w:pPr>
        <w:spacing w:after="0" w:line="175" w:lineRule="exact"/>
        <w:rPr>
          <w:rFonts w:ascii="Times New Roman" w:cs="Times New Roman" w:eastAsia="Times New Roman" w:hAnsi="Times New Roman"/>
          <w:sz w:val="18"/>
          <w:szCs w:val="18"/>
          <w:color w:val="auto"/>
        </w:rPr>
      </w:pPr>
    </w:p>
    <w:p>
      <w:pPr>
        <w:ind w:right="300" w:firstLine="656"/>
        <w:spacing w:after="0" w:line="282" w:lineRule="auto"/>
        <w:tabs>
          <w:tab w:leader="none" w:pos="10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was added that added a mechanism for determining an alternative rate of interest in the event the “London Interbank Offered Rate” is no longer available or in certain other circumstances which are determined to make using an alternative rate desirable;</w:t>
      </w:r>
    </w:p>
    <w:p>
      <w:pPr>
        <w:spacing w:after="0" w:line="16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line of credit was extended to January 7, 2022;</w:t>
      </w:r>
    </w:p>
    <w:p>
      <w:pPr>
        <w:spacing w:after="0" w:line="225" w:lineRule="exact"/>
        <w:rPr>
          <w:rFonts w:ascii="Times New Roman" w:cs="Times New Roman" w:eastAsia="Times New Roman" w:hAnsi="Times New Roman"/>
          <w:sz w:val="18"/>
          <w:szCs w:val="18"/>
          <w:color w:val="auto"/>
        </w:rPr>
      </w:pPr>
    </w:p>
    <w:p>
      <w:pPr>
        <w:ind w:firstLine="656"/>
        <w:spacing w:after="0" w:line="258" w:lineRule="auto"/>
        <w:tabs>
          <w:tab w:leader="none" w:pos="10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financial covenant was revised to be required to be maintained only as of the end of each fiscal year at a ratio of 1.10:1.0, the same ratio as previously in effect. The definition of “Fixed Charge Coverage Ratio” was amended to delete the effects of changes to paid-in capital on stockholders’ equity and delete references to payments under all capital leases . The related definition of “EBITDA” was amended to delete the effect of non-cash reductions or increases in net income and the related definition of “Current Maturities” was amended to delete the reference to the phrase “as current maturities” ; and</w:t>
      </w:r>
    </w:p>
    <w:p>
      <w:pPr>
        <w:spacing w:after="0" w:line="183" w:lineRule="exact"/>
        <w:rPr>
          <w:rFonts w:ascii="Times New Roman" w:cs="Times New Roman" w:eastAsia="Times New Roman" w:hAnsi="Times New Roman"/>
          <w:sz w:val="18"/>
          <w:szCs w:val="18"/>
          <w:color w:val="auto"/>
        </w:rPr>
      </w:pPr>
    </w:p>
    <w:p>
      <w:pPr>
        <w:ind w:right="100" w:firstLine="656"/>
        <w:spacing w:after="0" w:line="282" w:lineRule="auto"/>
        <w:tabs>
          <w:tab w:leader="none" w:pos="10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sweep by PNC Bank of the Company’s checking account and the automatic advance from the line of credit to the Company’s checking account were terminated.</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as described above, the other material terms of the revolving line of credit and loan agreement with PNC Bank and other related documents were not affected by the foregoing described amendments.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November 30, 2020 and August 31, 2020, the Company did not have any letters of credit outstanding with respect to the letter of credit sub-facility available under the revolving line of credit with PNC Bank.</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November 30, 2020 and August 31, 2020, the Company had $88,831 of letters of credit with JP Morgan Chase Bank that are performance based and set to expire in 2021 and 2022.</w:t>
      </w: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23, 2020, the Company announced the temporary suspension of its quarterly cash dividend pending clarity on the financial impact of COVID-19 on the Company. Therefore, the Company did not declare a cash dividend during the three months ended November 30, 2020. On October 22, 2019, the Company’s Board of Directors declared a cash dividend of $0.065 per share of NTIC’s common stock, payable on November 20, 2019 to stockholders of record on November 6, 2019.</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During the three months ended November 30, 2020 and 2019, the Company repurchased no shares of its common stock.</w:t>
      </w:r>
    </w:p>
    <w:p>
      <w:pPr>
        <w:spacing w:after="0" w:line="22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During the three months ended November 30, 2020, the Company granted stock options under the Northern Technologies International Corporation 2019 Stock Incentive Plan (the 2019 Plan) to purchase an aggregate of 419,874 shares of its common stock to various employees and directors. The weighted average per share exercise price of the stock options is $8.24. The exercise price of the stock options is equal to the fair market value of the Company’s common stock on the date of grant. During the three months ended November 30, 2020, no stock options to purchase common stock were exercised.</w:t>
      </w:r>
    </w:p>
    <w:p>
      <w:pPr>
        <w:spacing w:after="0" w:line="16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2019, the Company granted stock options under the 2019 Plan to purchase an aggregate of 300,770 shares of its common stock to various employees and directors. The weighted average per share exercise price of these stock options is $10.80. During the three months ended November 30, 2020, no stock options to purchase common stock were exercised.</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issued 4,646 and 3,597 shares of common stock on September 1, 2020 and 2019, respectively, under the Northern Technologies International Corporation Employee Stock Purchase Plan (the ESPP).</w:t>
      </w: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months ended November 30,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1,262,399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1,212,550</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9,104,623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9,095,607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540,007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312,035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9,644,630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9,407,642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bl>
    <w:p>
      <w:pPr>
        <w:spacing w:after="0" w:line="1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months ended November 30, 2020 were options outstanding to purchase 605,629 shares of common stock. Excluded from the computation of diluted net income per share for the three months ended November 30, 2019 were options outstanding to purchase 141,768 shares of common stock.</w:t>
      </w:r>
    </w:p>
    <w:p>
      <w:pPr>
        <w:spacing w:after="0" w:line="200" w:lineRule="exact"/>
        <w:rPr>
          <w:sz w:val="20"/>
          <w:szCs w:val="20"/>
          <w:color w:val="auto"/>
        </w:rPr>
      </w:pPr>
    </w:p>
    <w:p>
      <w:pPr>
        <w:spacing w:after="0" w:line="226"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has three stock-based compensation plans under which stock options or other stock-based awards have been granted: the 2019 Plan, the Northern Technologies International Corporation Amended and Restated 2007 Stock Incentive Plan (the 2007 Plan) and the ESPP. The 2019 Plan replaced the 2007 Plan with respect to future grants; and, therefore, no further awards may be made under the 2007 Plan. The Compensation Committee of the Board of Directors and the Board of Directors administer these plans.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800,000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November 30, 2020, options to purchase an aggregate of 720,644 shares of the Company’s common stock were outstanding under the 2019 Plan and 79,356 shares of the Company’s common stock remain available for grant under the 2019 Plan.</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common stock of the Company available for issuance under the ESPP is 200,000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 As of November 30, 2020, 80,047 shares of common stock remained available for sale under the ESPP.</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granted options to purchase an aggregate of 419,874 and 300,770 shares of its common stock during the three months ended November 30, 2020 and 2019, respectively. The fair value of option grants is determined at date of grant using the Black-Scholes option pricing model with the assumptions listed below. The Company recognized compensation expense of $181,669 and $318,818 during the three months ended November 30, 2020 and 2019, respectively, related to the options that vested during such time period. As of November 30, 2020, the total compensation cost for non-vested options not yet recognized in the Company’s consolidated statements of operations was $1,149,172. Stock-based compensation expense of $482,505 is expected through the remainder of fiscal year 2021, and $333,334 is expected to be recognized during fiscal 2022, based on outstanding options as of November 30, 2020. Future option grants will impact the compensation expense recognized. Stock-based compensation expense is included in general and administrative expense on the consolidated statements of operations.</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 pricing model with the following assumptions and results for the grants:</w:t>
      </w:r>
    </w:p>
    <w:p>
      <w:pPr>
        <w:spacing w:after="0" w:line="15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November 30,</w:t>
      </w:r>
    </w:p>
    <w:p>
      <w:pPr>
        <w:spacing w:after="0" w:line="31" w:lineRule="exact"/>
        <w:rPr>
          <w:sz w:val="20"/>
          <w:szCs w:val="20"/>
          <w:color w:val="auto"/>
        </w:rPr>
      </w:pPr>
    </w:p>
    <w:tbl>
      <w:tblPr>
        <w:tblLayout w:type="fixed"/>
        <w:tblInd w:w="224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three months ended November 30, 2020 and 2019 was $3.12 and $4.30, respectively. The weighted average remaining contractual life of the options outstanding as of November 30, 2020 and 2019 was 6.90 years and 6.78 years, respectively.</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November 6, 2020, the Board of Directors, upon recommendation of the Compensation Committee, approved the Northern Technologies International Corporation Amended and Restated 2019 Stock Incentive Plan (Amended 2019 Plan) subject to approval by the Company’s stockholders at its 2021 Annual Meeting of Stockholders scheduled to be held on January 15, 2021. The Amended 2019 Plan incorporates certain amendments to the 2019 Plan, including an increase in the number of shares of common stock available for issuance under the plan by an additional 800,000 shares and a new limit on overall non-employee director compensation of $200,000 per year or $250,000 in the case of a non-employee chairman, lead independent director, or non-employee director in the first year of service on the Board of Directors. This proposed limit on non-employee director compensation will be in lieu of the currently existing limit on the number of shares subject to awards granted to a non-employee director each year.</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1" w:name="page12"/>
    <w:bookmarkEnd w:id="11"/>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Company has been selling its proprietary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brand.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months ended November 30, 2020 and 2019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68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November 30, 2020</w:t>
            </w:r>
          </w:p>
        </w:tc>
        <w:tc>
          <w:tcPr>
            <w:tcW w:w="8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November 30, 2019</w:t>
            </w:r>
          </w:p>
        </w:tc>
      </w:tr>
      <w:tr>
        <w:trPr>
          <w:trHeight w:val="210"/>
        </w:trPr>
        <w:tc>
          <w:tcPr>
            <w:tcW w:w="56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net sales</w:t>
            </w: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10,220,551</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9,949,512</w:t>
            </w: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net sales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2,558,561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4,681,888</w:t>
            </w:r>
          </w:p>
        </w:tc>
      </w:tr>
      <w:tr>
        <w:trPr>
          <w:trHeight w:val="229"/>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12,779,112</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14,631,400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months ended November 30, 2020 and 2019 by segment: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November 30,</w:t>
            </w:r>
          </w:p>
        </w:tc>
        <w:tc>
          <w:tcPr>
            <w:tcW w:w="80" w:type="dxa"/>
            <w:vAlign w:val="bottom"/>
          </w:tcPr>
          <w:p>
            <w:pPr>
              <w:spacing w:after="0"/>
              <w:rPr>
                <w:sz w:val="18"/>
                <w:szCs w:val="18"/>
                <w:color w:val="auto"/>
              </w:rPr>
            </w:pPr>
          </w:p>
        </w:tc>
        <w:tc>
          <w:tcPr>
            <w:tcW w:w="158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 of Product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November 30,</w:t>
            </w:r>
          </w:p>
        </w:tc>
        <w:tc>
          <w:tcPr>
            <w:tcW w:w="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 of Product</w:t>
            </w:r>
          </w:p>
        </w:tc>
      </w:tr>
      <w:tr>
        <w:trPr>
          <w:trHeight w:val="238"/>
        </w:trPr>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0"/>
                <w:szCs w:val="20"/>
                <w:color w:val="auto"/>
              </w:rPr>
            </w:pPr>
          </w:p>
        </w:tc>
        <w:tc>
          <w:tcPr>
            <w:tcW w:w="158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6"/>
        </w:trPr>
        <w:tc>
          <w:tcPr>
            <w:tcW w:w="27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ZERUST</w:t>
            </w:r>
            <w:r>
              <w:rPr>
                <w:rFonts w:ascii="Times New Roman" w:cs="Times New Roman" w:eastAsia="Times New Roman" w:hAnsi="Times New Roman"/>
                <w:sz w:val="25"/>
                <w:szCs w:val="25"/>
                <w:color w:val="auto"/>
                <w:vertAlign w:val="superscript"/>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5,771,089</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5,543,354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27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Natur-Tec</w:t>
            </w:r>
            <w:r>
              <w:rPr>
                <w:rFonts w:ascii="Times New Roman" w:cs="Times New Roman" w:eastAsia="Times New Roman" w:hAnsi="Times New Roman"/>
                <w:sz w:val="25"/>
                <w:szCs w:val="25"/>
                <w:color w:val="auto"/>
                <w:vertAlign w:val="superscript"/>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1,767,630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3,614,419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774,602</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647,311</w:t>
            </w:r>
          </w:p>
        </w:tc>
        <w:tc>
          <w:tcPr>
            <w:tcW w:w="80" w:type="dxa"/>
            <w:vAlign w:val="bottom"/>
          </w:tcPr>
          <w:p>
            <w:pPr>
              <w:spacing w:after="0"/>
              <w:rPr>
                <w:sz w:val="18"/>
                <w:szCs w:val="18"/>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NA</w:t>
            </w:r>
          </w:p>
        </w:tc>
      </w:tr>
      <w:tr>
        <w:trPr>
          <w:trHeight w:val="250"/>
        </w:trPr>
        <w:tc>
          <w:tcPr>
            <w:tcW w:w="2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8,313,321</w:t>
            </w:r>
          </w:p>
        </w:tc>
        <w:tc>
          <w:tcPr>
            <w:tcW w:w="156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9,805,084</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right="12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months ended November 30, 2020 and 2019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68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November 30, 2020</w:t>
            </w:r>
          </w:p>
        </w:tc>
        <w:tc>
          <w:tcPr>
            <w:tcW w:w="80" w:type="dxa"/>
            <w:vAlign w:val="bottom"/>
          </w:tcPr>
          <w:p>
            <w:pPr>
              <w:spacing w:after="0"/>
              <w:rPr>
                <w:sz w:val="18"/>
                <w:szCs w:val="18"/>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November 30, 2019</w:t>
            </w: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4,861,355</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6,147,086</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8"/>
        </w:trPr>
        <w:tc>
          <w:tcPr>
            <w:tcW w:w="5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Joint ventures in which the Company is a shareholder directly and</w:t>
            </w:r>
          </w:p>
        </w:tc>
        <w:tc>
          <w:tcPr>
            <w:tcW w:w="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indirectly</w:t>
            </w: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580,304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585,616</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7,337,453</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7,898,698</w:t>
            </w:r>
          </w:p>
        </w:tc>
      </w:tr>
      <w:tr>
        <w:trPr>
          <w:trHeight w:val="210"/>
        </w:trPr>
        <w:tc>
          <w:tcPr>
            <w:tcW w:w="56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12,779,112</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14,631,400</w:t>
            </w:r>
          </w:p>
        </w:tc>
      </w:tr>
      <w:tr>
        <w:trPr>
          <w:trHeight w:val="20"/>
        </w:trPr>
        <w:tc>
          <w:tcPr>
            <w:tcW w:w="56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months ended November 30, 2020 and 2019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403"/>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c>
          <w:tcPr>
            <w:tcW w:w="1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8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r>
      <w:tr>
        <w:trPr>
          <w:trHeight w:val="209"/>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228,826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212,101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194,978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179,962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163,929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105,907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90,489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109,506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102,334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88,208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82,960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76,032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76,283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67,942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89,014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61,915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85,478</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71,197</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80,421</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1,336,561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1,358,325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0820"/>
          </w:cols>
          <w:pgMar w:left="320" w:top="821" w:right="75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The geographical distribution of total long-lived assets and net sales is as follows:</w:t>
      </w: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long-lived assets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20" w:type="dxa"/>
            <w:vAlign w:val="bottom"/>
          </w:tcPr>
          <w:p>
            <w:pPr>
              <w:spacing w:after="0"/>
              <w:rPr>
                <w:sz w:val="20"/>
                <w:szCs w:val="20"/>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 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31, 2020</w:t>
            </w:r>
          </w:p>
        </w:tc>
      </w:tr>
      <w:tr>
        <w:trPr>
          <w:trHeight w:val="191"/>
        </w:trPr>
        <w:tc>
          <w:tcPr>
            <w:tcW w:w="20" w:type="dxa"/>
            <w:vAlign w:val="bottom"/>
          </w:tcPr>
          <w:p>
            <w:pPr>
              <w:spacing w:after="0"/>
              <w:rPr>
                <w:sz w:val="16"/>
                <w:szCs w:val="16"/>
                <w:color w:val="auto"/>
              </w:rPr>
            </w:pP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367,953</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376,088</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420,228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172,833</w:t>
            </w:r>
          </w:p>
        </w:tc>
      </w:tr>
      <w:tr>
        <w:trPr>
          <w:trHeight w:val="234"/>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6,436,116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6,561,868</w:t>
            </w:r>
          </w:p>
        </w:tc>
      </w:t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7,224,297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7,110,789</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620" w:space="720"/>
            <w:col w:w="3480"/>
          </w:cols>
          <w:pgMar w:left="320" w:top="821" w:right="759" w:bottom="1440" w:gutter="0" w:footer="0" w:header="0"/>
          <w:type w:val="continuous"/>
        </w:sectPr>
      </w:pPr>
    </w:p>
    <w:bookmarkStart w:id="13" w:name="page14"/>
    <w:bookmarkEnd w:id="1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November 30, 2020</w:t>
            </w:r>
          </w:p>
        </w:tc>
        <w:tc>
          <w:tcPr>
            <w:tcW w:w="100" w:type="dxa"/>
            <w:vAlign w:val="bottom"/>
          </w:tcPr>
          <w:p>
            <w:pPr>
              <w:spacing w:after="0"/>
              <w:rPr>
                <w:sz w:val="18"/>
                <w:szCs w:val="18"/>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30, 2019</w:t>
            </w:r>
          </w:p>
        </w:tc>
      </w:tr>
      <w:tr>
        <w:trPr>
          <w:trHeight w:val="209"/>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4,543,978</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3,861,572</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713,853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891,978</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1,200,468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2,036,210</w:t>
            </w: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1,459,458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1,694,554</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4,861,355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6,147,086</w:t>
            </w:r>
          </w:p>
        </w:tc>
      </w:tr>
      <w:tr>
        <w:trPr>
          <w:trHeight w:val="209"/>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4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12,779,112</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14,631,400</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Long-lived assets located in China, Brazil, Germany, and India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w:t>
      </w:r>
    </w:p>
    <w:p>
      <w:pPr>
        <w:spacing w:after="0" w:line="338"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 Plan</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27, 2020, the Compensation Committee of the Board of Directors of the Company approved the material terms of an annual bonus plan for the Company’s executive officers as well as certain officers and employees for the fiscal year ending August 31, 2021. For fiscal 2021,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2021 compared to a pre-established target EBITOI for fiscal 2021,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NTIC common stock, the exact amount and percentages of which are determined by the Company’s Board of Directors, upon recommendation of the Compensation Committee, after the completion of the Company’s consolidated financial statements for fiscal 2021. There was $516,667 accrued for management bonuses for the three months ended November 30, 2020 compared to $400,000 accrued for management bonuses for the three months ended November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Three joint ventures (consisting of the Company’s joint ventures in South Korea, USA and India) accounted for 55.6% of the Company’s trade joint venture receivables at November 30, 2020, and three joint ventures (consisting of the Company’s joint ventures in South Korea, Thailand and India) accounted for 51.4% of the Company’s trade joint venture receivables at November 30,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2020,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6,382,785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6,382,785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5,544,722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5,544,722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three months ended November 30, 2020 or 2019.</w:t>
      </w:r>
    </w:p>
    <w:p>
      <w:pPr>
        <w:spacing w:after="0" w:line="200" w:lineRule="exact"/>
        <w:rPr>
          <w:sz w:val="20"/>
          <w:szCs w:val="20"/>
          <w:color w:val="auto"/>
        </w:rPr>
      </w:pPr>
    </w:p>
    <w:p>
      <w:pPr>
        <w:spacing w:after="0" w:line="264"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500" w:type="dxa"/>
            <w:vAlign w:val="bottom"/>
          </w:tcPr>
          <w:p>
            <w:pPr>
              <w:spacing w:after="0"/>
              <w:rPr>
                <w:sz w:val="20"/>
                <w:szCs w:val="20"/>
                <w:color w:val="auto"/>
              </w:rPr>
            </w:pPr>
          </w:p>
        </w:tc>
      </w:tr>
      <w:tr>
        <w:trPr>
          <w:trHeight w:val="187"/>
        </w:trPr>
        <w:tc>
          <w:tcPr>
            <w:tcW w:w="3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4500" w:type="dxa"/>
            <w:vAlign w:val="bottom"/>
          </w:tcPr>
          <w:p>
            <w:pPr>
              <w:spacing w:after="0"/>
              <w:rPr>
                <w:sz w:val="16"/>
                <w:szCs w:val="16"/>
                <w:color w:val="auto"/>
              </w:rPr>
            </w:pPr>
          </w:p>
        </w:tc>
      </w:tr>
      <w:tr>
        <w:trPr>
          <w:trHeight w:val="238"/>
        </w:trPr>
        <w:tc>
          <w:tcPr>
            <w:tcW w:w="3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4500" w:type="dxa"/>
            <w:vAlign w:val="bottom"/>
          </w:tcPr>
          <w:p>
            <w:pPr>
              <w:spacing w:after="0"/>
              <w:rPr>
                <w:sz w:val="20"/>
                <w:szCs w:val="20"/>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2,368</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4500" w:type="dxa"/>
            <w:vAlign w:val="bottom"/>
          </w:tcPr>
          <w:p>
            <w:pPr>
              <w:spacing w:after="0"/>
              <w:rPr>
                <w:sz w:val="18"/>
                <w:szCs w:val="18"/>
                <w:color w:val="auto"/>
              </w:rPr>
            </w:pP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activity consisted of:</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500" w:type="dxa"/>
            <w:vAlign w:val="bottom"/>
          </w:tcPr>
          <w:p>
            <w:pPr>
              <w:spacing w:after="0"/>
              <w:rPr>
                <w:sz w:val="24"/>
                <w:szCs w:val="24"/>
                <w:color w:val="auto"/>
              </w:rPr>
            </w:pPr>
          </w:p>
        </w:tc>
      </w:tr>
      <w:tr>
        <w:trPr>
          <w:trHeight w:val="187"/>
        </w:trPr>
        <w:tc>
          <w:tcPr>
            <w:tcW w:w="3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4500" w:type="dxa"/>
            <w:vAlign w:val="bottom"/>
          </w:tcPr>
          <w:p>
            <w:pPr>
              <w:spacing w:after="0"/>
              <w:rPr>
                <w:sz w:val="16"/>
                <w:szCs w:val="16"/>
                <w:color w:val="auto"/>
              </w:rPr>
            </w:pPr>
          </w:p>
        </w:tc>
      </w:tr>
      <w:tr>
        <w:trPr>
          <w:trHeight w:val="238"/>
        </w:trPr>
        <w:tc>
          <w:tcPr>
            <w:tcW w:w="3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4500" w:type="dxa"/>
            <w:vAlign w:val="bottom"/>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not paid</w:t>
            </w:r>
          </w:p>
        </w:tc>
        <w:tc>
          <w:tcPr>
            <w:tcW w:w="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500" w:type="dxa"/>
            <w:vAlign w:val="bottom"/>
          </w:tcPr>
          <w:p>
            <w:pPr>
              <w:spacing w:after="0"/>
              <w:rPr>
                <w:sz w:val="18"/>
                <w:szCs w:val="18"/>
                <w:color w:val="auto"/>
              </w:rPr>
            </w:pPr>
          </w:p>
        </w:tc>
      </w:tr>
      <w:tr>
        <w:trPr>
          <w:trHeight w:val="432"/>
        </w:trPr>
        <w:tc>
          <w:tcPr>
            <w:tcW w:w="3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5" w:right="339" w:bottom="1440" w:gutter="0" w:footer="0" w:header="0"/>
        </w:sectPr>
      </w:pPr>
    </w:p>
    <w:bookmarkStart w:id="15" w:name="page16"/>
    <w:bookmarkEnd w:id="15"/>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November 30, 2020 was $378,590 compared to $264,066 for the same prior year period. The expense was largely due to foreign operations. The Company has federal and state tax credit carry forwards, net operating loss carry forwards and foreign tax carry forwards. The Company has recorded a full valuation allowance against the US deferred tax assets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35" w:right="479" w:bottom="1440" w:gutter="0" w:footer="0" w:header="0"/>
        </w:sectPr>
      </w:pPr>
    </w:p>
    <w:bookmarkStart w:id="16" w:name="page17"/>
    <w:bookmarkEnd w:id="16"/>
    <w:p>
      <w:pPr>
        <w:spacing w:after="0" w:line="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Management’s Discussion and Analysis of Financial Condition and Results of Operations—Forward-Looking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40"/>
        <w:spacing w:after="0" w:line="194" w:lineRule="auto"/>
        <w:rPr>
          <w:sz w:val="20"/>
          <w:szCs w:val="20"/>
          <w:color w:val="auto"/>
        </w:rPr>
      </w:pPr>
      <w:r>
        <w:rPr>
          <w:rFonts w:ascii="Times New Roman" w:cs="Times New Roman" w:eastAsia="Times New Roman" w:hAnsi="Times New Roman"/>
          <w:sz w:val="18"/>
          <w:szCs w:val="18"/>
          <w:color w:val="auto"/>
        </w:rPr>
        <w:t>NTIC develops and markets proprietary, environmentally-beneficial products and services in over 60 countries either directly or via a network of subsidiaries, joint ventures, independent distributors, and agents. NTIC’s primary business is corrosion prevention marketed mainly under the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brand. NTIC has been selling its proprietary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 compostable (fully biodegradable) polymer resin compounds and finished products under the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brand. These products are intended to reduce NTIC’s customers’ carbon footprint and provide environmentally sound waste disposal options.</w:t>
      </w:r>
    </w:p>
    <w:p>
      <w:pPr>
        <w:spacing w:after="0" w:line="201" w:lineRule="exact"/>
        <w:rPr>
          <w:sz w:val="20"/>
          <w:szCs w:val="20"/>
          <w:color w:val="auto"/>
        </w:rPr>
      </w:pPr>
    </w:p>
    <w:p>
      <w:pPr>
        <w:ind w:right="20"/>
        <w:spacing w:after="0" w:line="198" w:lineRule="auto"/>
        <w:rPr>
          <w:sz w:val="20"/>
          <w:szCs w:val="20"/>
          <w:color w:val="auto"/>
        </w:rPr>
      </w:pPr>
      <w:r>
        <w:rPr>
          <w:rFonts w:ascii="Times New Roman" w:cs="Times New Roman" w:eastAsia="Times New Roman" w:hAnsi="Times New Roman"/>
          <w:sz w:val="18"/>
          <w:szCs w:val="18"/>
          <w:color w:val="auto"/>
        </w:rPr>
        <w:t>NTIC’s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rust and corrosion inhibiting products to analyze their specific needs and develop systems to meet their performance requirements. In North America, NTIC sells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corrosion prevention solutions through a network of independent distributors and agents supported by a direct sales force. Internationally, NTIC sells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joint venture partners through its wholly-owned subsidiary in Germany, NTIC Europe GmbH (NTI Europe).</w:t>
      </w:r>
    </w:p>
    <w:p>
      <w:pPr>
        <w:spacing w:after="0" w:line="206"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corrosion prevention solutions will minimize maintenance downtime on critical oil and gas industry infrastructure, extend the life of such infrastructure, and reduce the risk of environmental pollution due to leaks caused by corrosion.</w:t>
      </w:r>
    </w:p>
    <w:p>
      <w:pPr>
        <w:spacing w:after="0" w:line="201" w:lineRule="exact"/>
        <w:rPr>
          <w:sz w:val="20"/>
          <w:szCs w:val="20"/>
          <w:color w:val="auto"/>
        </w:rPr>
      </w:pPr>
    </w:p>
    <w:p>
      <w:pPr>
        <w:ind w:right="40"/>
        <w:spacing w:after="0" w:line="195" w:lineRule="auto"/>
        <w:rPr>
          <w:sz w:val="20"/>
          <w:szCs w:val="20"/>
          <w:color w:val="auto"/>
        </w:rPr>
      </w:pPr>
      <w:r>
        <w:rPr>
          <w:rFonts w:ascii="Times New Roman" w:cs="Times New Roman" w:eastAsia="Times New Roman" w:hAnsi="Times New Roman"/>
          <w:sz w:val="18"/>
          <w:szCs w:val="18"/>
          <w:color w:val="auto"/>
        </w:rPr>
        <w:t>NTIC markets and sells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7"/>
          <w:szCs w:val="17"/>
          <w:color w:val="auto"/>
        </w:rPr>
        <w:t>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bio-based and compostable plastics are manufactured using NTIC’s patented and/or proprietary technologies and are intended to replace conventional petroleum-based plastics. The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bioplastic products.</w:t>
      </w:r>
    </w:p>
    <w:p>
      <w:pPr>
        <w:spacing w:after="0" w:line="38" w:lineRule="exact"/>
        <w:rPr>
          <w:sz w:val="20"/>
          <w:szCs w:val="20"/>
          <w:color w:val="auto"/>
        </w:rPr>
      </w:pPr>
    </w:p>
    <w:p>
      <w:pPr>
        <w:ind w:right="440"/>
        <w:spacing w:after="0" w:line="199" w:lineRule="auto"/>
        <w:rPr>
          <w:sz w:val="20"/>
          <w:szCs w:val="20"/>
          <w:color w:val="auto"/>
        </w:rPr>
      </w:pPr>
      <w:r>
        <w:rPr>
          <w:rFonts w:ascii="Times New Roman" w:cs="Times New Roman" w:eastAsia="Times New Roman" w:hAnsi="Times New Roman"/>
          <w:sz w:val="18"/>
          <w:szCs w:val="18"/>
          <w:color w:val="auto"/>
        </w:rPr>
        <w:t>Internationally, NTIC sells its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resin compounds and finished products both directly and through its wholly-owned subsidiary in China and majority-owned subsidiaries in India and Sri Lanka, and through distributors and certain joint ventures.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NTIC’s Subsidiaries and Joint Venture Network</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NTIC has ownership interests in nine operating subsidiaries in North America, South America, Europe and Asia. The following table sets forth a list of NTIC’s operating subsidiaries as of November 30, 2020, the country in which the subsidiary is organized and NTIC’s ownership percentage in each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8520" w:type="dxa"/>
            <w:vAlign w:val="bottom"/>
            <w:tcBorders>
              <w:bottom w:val="single" w:sz="8" w:color="auto"/>
            </w:tcBorders>
          </w:tcPr>
          <w:p>
            <w:pPr>
              <w:ind w:left="360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09"/>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100" w:type="dxa"/>
            <w:vAlign w:val="bottom"/>
          </w:tcPr>
          <w:p>
            <w:pPr>
              <w:spacing w:after="0"/>
              <w:rPr>
                <w:sz w:val="18"/>
                <w:szCs w:val="18"/>
                <w:color w:val="auto"/>
              </w:rPr>
            </w:pPr>
          </w:p>
        </w:tc>
        <w:tc>
          <w:tcPr>
            <w:tcW w:w="11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Sri Lanka</w:t>
            </w:r>
            <w:r>
              <w:rPr>
                <w:rFonts w:ascii="Times New Roman" w:cs="Times New Roman" w:eastAsia="Times New Roman" w:hAnsi="Times New Roman"/>
                <w:sz w:val="25"/>
                <w:szCs w:val="25"/>
                <w:color w:val="auto"/>
                <w:vertAlign w:val="superscript"/>
              </w:rPr>
              <w:t>(1)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100" w:type="dxa"/>
            <w:vAlign w:val="bottom"/>
          </w:tcPr>
          <w:p>
            <w:pPr>
              <w:spacing w:after="0"/>
              <w:rPr>
                <w:sz w:val="18"/>
                <w:szCs w:val="18"/>
                <w:color w:val="auto"/>
              </w:rPr>
            </w:pPr>
          </w:p>
        </w:tc>
        <w:tc>
          <w:tcPr>
            <w:tcW w:w="11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Singapore</w:t>
            </w:r>
            <w:r>
              <w:rPr>
                <w:rFonts w:ascii="Times New Roman" w:cs="Times New Roman" w:eastAsia="Times New Roman" w:hAnsi="Times New Roman"/>
                <w:sz w:val="25"/>
                <w:szCs w:val="25"/>
                <w:color w:val="auto"/>
                <w:vertAlign w:val="superscript"/>
              </w:rPr>
              <w:t>(2)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Vietnam</w:t>
            </w:r>
            <w:r>
              <w:rPr>
                <w:rFonts w:ascii="Times New Roman" w:cs="Times New Roman" w:eastAsia="Times New Roman" w:hAnsi="Times New Roman"/>
                <w:sz w:val="25"/>
                <w:szCs w:val="25"/>
                <w:color w:val="auto"/>
                <w:vertAlign w:val="superscript"/>
              </w:rPr>
              <w:t>(2)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ectPr>
          <w:pgSz w:w="11900" w:h="16878" w:orient="portrait"/>
          <w:cols w:equalWidth="0" w:num="1">
            <w:col w:w="11240"/>
          </w:cols>
          <w:pgMar w:left="320" w:top="819" w:right="339" w:bottom="0" w:gutter="0" w:footer="0" w:header="0"/>
        </w:sectPr>
      </w:pPr>
    </w:p>
    <w:bookmarkStart w:id="17" w:name="page18"/>
    <w:bookmarkEnd w:id="17"/>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 Tec Lanka (Pvt) Ltd. is 100% owned by Natur-Tec India Private Limited and, therefore, indirectly owned by NTIC.</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Singapore Pte Ltd and Zerust Vietnam Co. Ltd are 100% owned by NTI Asean LLC and, therefore, indirectly owned by NTIC.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these subsidiaries are fully consolidated in NTIC’s consolidated financial statements.</w:t>
      </w:r>
    </w:p>
    <w:p>
      <w:pPr>
        <w:spacing w:after="0" w:line="225"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resin compounds. NTIC has historically funded its investments in joint ventures with cash generated from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list of NTIC’s operating joint ventures as of November 30, 2020, the country in which the joint venture is organized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ownership percentage in each joint venture: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788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TAIYONIC LTD.</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ACOBAL SAS</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 KORROSIONSSCHUTZ – TECHNOLOGIEN UND PRODUKTE GMBH</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ZERUST AB</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MOSTNIC-ZERUST</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Russia</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432"/>
        </w:trPr>
        <w:tc>
          <w:tcPr>
            <w:tcW w:w="7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7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788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OY</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Finland</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HARITA-NTI LTD</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(U.K.) LTD.</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EXCOR-ZERUST S.R.O.</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 SP. Z.O.O.</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ZERUST A.Ş.</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CONSUMER PRODUCTS, LLC</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ZERUST – DNEPR</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Ukraine</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50%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ZERUST CO., LTD.</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South Korea </w:t>
            </w:r>
            <w:r>
              <w:rPr>
                <w:rFonts w:ascii="Times New Roman" w:cs="Times New Roman" w:eastAsia="Times New Roman" w:hAnsi="Times New Roman"/>
                <w:sz w:val="25"/>
                <w:szCs w:val="25"/>
                <w:color w:val="auto"/>
                <w:vertAlign w:val="superscript"/>
              </w:rPr>
              <w:t>(1)</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ZERUST-NIC (TAIWAN) CORP.</w:t>
            </w:r>
          </w:p>
        </w:tc>
        <w:tc>
          <w:tcPr>
            <w:tcW w:w="120" w:type="dxa"/>
            <w:vAlign w:val="bottom"/>
          </w:tcPr>
          <w:p>
            <w:pPr>
              <w:spacing w:after="0"/>
              <w:rPr>
                <w:sz w:val="18"/>
                <w:szCs w:val="18"/>
                <w:color w:val="auto"/>
              </w:rPr>
            </w:pPr>
          </w:p>
        </w:tc>
        <w:tc>
          <w:tcPr>
            <w:tcW w:w="15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Taiwan </w:t>
            </w:r>
            <w:r>
              <w:rPr>
                <w:rFonts w:ascii="Times New Roman" w:cs="Times New Roman" w:eastAsia="Times New Roman" w:hAnsi="Times New Roman"/>
                <w:sz w:val="25"/>
                <w:szCs w:val="25"/>
                <w:color w:val="auto"/>
                <w:vertAlign w:val="superscript"/>
              </w:rPr>
              <w:t>(1)</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CHEMINDO – NTIA</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Indonesia </w:t>
            </w:r>
            <w:r>
              <w:rPr>
                <w:rFonts w:ascii="Times New Roman" w:cs="Times New Roman" w:eastAsia="Times New Roman" w:hAnsi="Times New Roman"/>
                <w:sz w:val="25"/>
                <w:szCs w:val="25"/>
                <w:color w:val="auto"/>
                <w:vertAlign w:val="superscript"/>
              </w:rPr>
              <w:t>(1)</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ZERUST SPECIALTY TECH CO. LTD.</w:t>
            </w:r>
          </w:p>
        </w:tc>
        <w:tc>
          <w:tcPr>
            <w:tcW w:w="120" w:type="dxa"/>
            <w:vAlign w:val="bottom"/>
          </w:tcPr>
          <w:p>
            <w:pPr>
              <w:spacing w:after="0"/>
              <w:rPr>
                <w:sz w:val="18"/>
                <w:szCs w:val="18"/>
                <w:color w:val="auto"/>
              </w:rPr>
            </w:pPr>
          </w:p>
        </w:tc>
        <w:tc>
          <w:tcPr>
            <w:tcW w:w="15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Thailand </w:t>
            </w:r>
            <w:r>
              <w:rPr>
                <w:rFonts w:ascii="Times New Roman" w:cs="Times New Roman" w:eastAsia="Times New Roman" w:hAnsi="Times New Roman"/>
                <w:sz w:val="25"/>
                <w:szCs w:val="25"/>
                <w:color w:val="auto"/>
                <w:vertAlign w:val="superscript"/>
              </w:rPr>
              <w:t>(1)</w:t>
            </w:r>
          </w:p>
        </w:tc>
        <w:tc>
          <w:tcPr>
            <w:tcW w:w="16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CHONG WAH-NTIA SDN. BHD.</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Malaysia </w:t>
            </w:r>
            <w:r>
              <w:rPr>
                <w:rFonts w:ascii="Times New Roman" w:cs="Times New Roman" w:eastAsia="Times New Roman" w:hAnsi="Times New Roman"/>
                <w:sz w:val="25"/>
                <w:szCs w:val="25"/>
                <w:color w:val="auto"/>
                <w:vertAlign w:val="superscript"/>
              </w:rPr>
              <w:t>(1)</w:t>
            </w:r>
          </w:p>
        </w:tc>
        <w:tc>
          <w:tcPr>
            <w:tcW w:w="16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30%</w:t>
            </w:r>
          </w:p>
        </w:tc>
      </w:tr>
      <w:tr>
        <w:trPr>
          <w:trHeight w:val="198"/>
        </w:trPr>
        <w:tc>
          <w:tcPr>
            <w:tcW w:w="7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NTIA ZERUST PHILIPPINES, INC.</w:t>
            </w:r>
          </w:p>
        </w:tc>
        <w:tc>
          <w:tcPr>
            <w:tcW w:w="120" w:type="dxa"/>
            <w:vAlign w:val="bottom"/>
          </w:tcPr>
          <w:p>
            <w:pPr>
              <w:spacing w:after="0"/>
              <w:rPr>
                <w:sz w:val="17"/>
                <w:szCs w:val="17"/>
                <w:color w:val="auto"/>
              </w:rPr>
            </w:pPr>
          </w:p>
        </w:tc>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color w:val="auto"/>
              </w:rPr>
              <w:t xml:space="preserve">Philippines </w:t>
            </w:r>
            <w:r>
              <w:rPr>
                <w:rFonts w:ascii="Times New Roman" w:cs="Times New Roman" w:eastAsia="Times New Roman" w:hAnsi="Times New Roman"/>
                <w:sz w:val="22"/>
                <w:szCs w:val="22"/>
                <w:color w:val="auto"/>
                <w:vertAlign w:val="superscript"/>
              </w:rPr>
              <w:t>(1)</w:t>
            </w:r>
          </w:p>
        </w:tc>
        <w:tc>
          <w:tcPr>
            <w:tcW w:w="1680" w:type="dxa"/>
            <w:vAlign w:val="bottom"/>
            <w:gridSpan w:val="2"/>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30%</w:t>
            </w: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98"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color w:val="auto"/>
        </w:rPr>
        <w:t>(1)</w:t>
        <w:tab/>
        <w:t>Indirect ownership interest through NTI Asean.</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outbreak a global pandemic. The COVID-19 pandemic has negatively impacted the global economy, disrupted global supply chains, created significant volatility in financial markets and has resulted in an economic recession. The outbreak and continuing rapid spread of COVID-19 has resulted in a substantial curtailment of business activities worldwide and has caused weakened economic conditions, both in the United States and abroad.</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have led to a significant number of business closures and slowdowns. These business closures and slowdowns have adversely impacted and will likely continue to adversely impact NTIC directly and have caused some of NTIC’s customers and suppliers to operate at a fraction of their capacities or wholly lock down, which has disrupted and may continue to disrupt NTIC’s sales and production.</w:t>
      </w:r>
    </w:p>
    <w:p>
      <w:pPr>
        <w:sectPr>
          <w:pgSz w:w="11900" w:h="16838" w:orient="portrait"/>
          <w:cols w:equalWidth="0" w:num="1">
            <w:col w:w="11240"/>
          </w:cols>
          <w:pgMar w:left="320" w:top="121" w:right="33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0" w:gutter="0" w:footer="0" w:header="0"/>
          <w:type w:val="continuous"/>
        </w:sectPr>
      </w:pPr>
    </w:p>
    <w:bookmarkStart w:id="18" w:name="page19"/>
    <w:bookmarkEnd w:id="1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second and third fiscal quarters of 2020,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first quarter of fiscal 2021, certain of NTIC’s facilities were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of the global economic slowdown caused by the COVID-19 pandemic, NTIC continued to experience softened demand in various regions and markets during the first quarter of fiscal 2021, which had a adverse effect on NTIC’s operating results and financial condition. NTIC anticipates continued softened global demand for its products and services during the remainder of fiscal 2021 and possibly beyond. Due to the international reach of COVID-19, NTIC’s international joint ventures have also been adversely impacted, which has had and may continue to have a material adverse effect on NTIC’s joint venture operations and equity in income from joint ventures. It is currently not possible to predict the precise potential impact, as well as the extent of any future impact, of the COVID-19 pandemic on NTIC’s business and on the global economy as a whole. It is also currently not possible to predict how long the pandemic will last or the time that it will take for economic activity to return to prior levels. A prolonged situation could have a significant adverse effect on economies and financial markets globally, potentially leading to a significant worldwide economic downturn, which could have a significant adverse effect on NTIC’s business, operating results and financial condition.</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NTIC’s business will likely depend on numerous evolving factors that NTIC may not be able to accurately predict,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activity and actions taken in response;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NTIC’s customers and demand for its products and services;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continue to manufacture and sell its products and services, including as a result of travel restrictions and people working from home;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NTIC’s customers to pay for its products and services;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closures of NTIC’s facilities and the facilities of its customers and suppliers.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220"/>
        <w:spacing w:after="0" w:line="300"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and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w:t>
      </w:r>
    </w:p>
    <w:p>
      <w:pPr>
        <w:spacing w:after="0" w:line="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NTIC’s consolidated net sales decreased 12.7% during the three months ended November 30, 2020 compared to the three months ended November 30, 2019. NTIC’s consolidated net sales for the three months ended November 30, 2020 were adversely affected by reduced demand globally as a result of the COVID-19 pandemic. NTIC anticipates that the COVID-19 pandemic will continue to adversely affect NTIC’s consolidated net sales, including sales of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and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earnings during the remainder of fiscal 2021 and possibly beyond.</w:t>
      </w:r>
    </w:p>
    <w:p>
      <w:pPr>
        <w:spacing w:after="0" w:line="10"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7"/>
          <w:szCs w:val="17"/>
          <w:color w:val="auto"/>
        </w:rPr>
        <w:t>During the three months ended November 30, 2020, 80.0% of NTIC’s consolidated net sales were derived from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which increased 2.7% to $10,220,551 compared to $9,949,512 for the three months ended November 30, 2019. This increase was due to increased sales to new and existing customers in China, partially offset by a slight decrease in North American sales as a result of decreased demand, primarily as a result of the continued impact of the COVID-19 pandemic. NTIC has focused its sales efforts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2020 included $562,693 of sales made to customers in the oil and</w:t>
      </w:r>
    </w:p>
    <w:p>
      <w:pPr>
        <w:sectPr>
          <w:pgSz w:w="11900" w:h="16838" w:orient="portrait"/>
          <w:cols w:equalWidth="0" w:num="1">
            <w:col w:w="11220"/>
          </w:cols>
          <w:pgMar w:left="320" w:top="715" w:right="359" w:bottom="0" w:gutter="0" w:footer="0" w:header="0"/>
        </w:sectPr>
      </w:pPr>
    </w:p>
    <w:bookmarkStart w:id="19" w:name="page20"/>
    <w:bookmarkEnd w:id="19"/>
    <w:p>
      <w:pPr>
        <w:spacing w:after="0" w:line="25" w:lineRule="exact"/>
        <w:rPr>
          <w:sz w:val="20"/>
          <w:szCs w:val="20"/>
          <w:color w:val="auto"/>
        </w:rPr>
      </w:pPr>
    </w:p>
    <w:p>
      <w:pPr>
        <w:ind w:right="60"/>
        <w:spacing w:after="0" w:line="195" w:lineRule="auto"/>
        <w:rPr>
          <w:sz w:val="20"/>
          <w:szCs w:val="20"/>
          <w:color w:val="auto"/>
        </w:rPr>
      </w:pPr>
      <w:r>
        <w:rPr>
          <w:rFonts w:ascii="Times New Roman" w:cs="Times New Roman" w:eastAsia="Times New Roman" w:hAnsi="Times New Roman"/>
          <w:sz w:val="18"/>
          <w:szCs w:val="18"/>
          <w:color w:val="auto"/>
        </w:rPr>
        <w:t>gas industry compared to $520,844 for the three months ended November 30, 2019. Overall demand for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depends heavily on the overall health of the markets in which NTIC sells its products, including the automotive, oil and gas, agriculture, and mining markets in particular. NTIC’s sales of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for the three months ended November 30, 2020 were adversely affected by reduced demand globally as a result of the COVID-19 pandemic.</w:t>
      </w:r>
    </w:p>
    <w:p>
      <w:pPr>
        <w:spacing w:after="0" w:line="20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During the three months ended November 30, 2020, 20.0% of NTIC’s consolidated net sales were derived from sales of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compared to 32.0% during the three months ended November 30, 2019. Net sales of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decreased 45.4% during the three months ended November 30, 2020 compared to the three months ended November 30, 2019 primarily due to a decrease in finished product sales in North America and finished product sales at NTIC’s majority-owned subsidiary in India, Natur-Tec India Private Limited (Natur-Tec India) and reduced demand globally as a result of the COVID-19 pandemic. The COVID pandemic continues having a material impact on demand from many large users of bioplastics including college campuses, stadiums, arenas, restaurants, and corporate office complexes. These are expected to be some of the last businesses to re-open and many of these institutions have still not announced re-opening plans. Furthermore, production across the apparel industry has declined sharply, further decreasing demand for our Natur-Tec bioplastic bags, which have become an important part of the sustainability initiatives within this industry.</w:t>
      </w:r>
    </w:p>
    <w:p>
      <w:pPr>
        <w:spacing w:after="0" w:line="202"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Cost of goods sold as a percentage of net sales decreased to 65.1% during the three months ended November 30, 2020 compared to 67.0% during the three months ended November 30, 2019 primarily as a result of a decreased percentage of product sales from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which have lower gross margins than NTIC’s traditional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industrial products and services or its oil and gas products.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7"/>
          <w:szCs w:val="17"/>
          <w:color w:val="auto"/>
        </w:rPr>
        <w:t>NTIC’s equity in income from joint ventures increased 41.1% to $1,825,712 during the three months ended November 30, 2020 compared to $1,293,990 during the three months ended November 30, 2019. This increase was primarily due to an increase in net sales at the joint ventures, which increased 5.2% to $26,777,343 during the three months ended November 30, 2020 compared to $25,460,294 for the three months ended November 30, 2019. The increase in the net sales of NTIC’s joint ventures was due primarily to increased sales to existing customers as a result of increased demand for existing products.</w:t>
      </w:r>
    </w:p>
    <w:p>
      <w:pPr>
        <w:spacing w:after="0" w:line="1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NTIC’s total operating expenses increased 0.2% to $5,911,487 during the three months ended November 30, 2020 compared to $5,898,620 for the three months ended November 30, 2019. This increase was primarily due to a slight increase in research and development expenses, partially offset by a decrease in other expenses due to the suspension of travel and work from home initiatives as a result of the COVID-19 pandemic during fiscal 2020.</w:t>
      </w:r>
    </w:p>
    <w:p>
      <w:pPr>
        <w:spacing w:after="0" w:line="17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NTIC spent $1,075,737 and $961,641 during the three months ended November 30, 2020 and 2019, respectively, in connection with its research and development activities. NTIC anticipates that it will spend a total of between $3,900,000 and $4,100,000 in fiscal 2021 on research and development activities.</w:t>
      </w:r>
    </w:p>
    <w:p>
      <w:pPr>
        <w:spacing w:after="0" w:line="176"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NTIC incurred net income attributable to NTIC of $1,262,399, or $0.13 per diluted common share, for the three months ended November 30, 2020 compared to $1,212,550, or $0.13 per diluted common share, for the three months ended November 30, 2019. Although NTIC’s earnings for the three months ended November 30, 2020 were comparable to the three months ended November 30, 2019, NTIC anticipates that its earnings will continue to be subject to volatility due to the COVID-19 pandemic during the remainder of fiscal 2021 and possibly beyond. NTIC also anticipates that its quarterly net income will continue to remain subject to significant volatility primarily due to the financial performance of its subsidiaries and joint ventures, sales of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into the oil and gas industry, and sales of its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bioplastics products, which sales fluctuate more on a quarterly basis than the traditional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business.</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NTIC’s working capital, defined as current assets less current liabilities, was $28,172,918 at November 30, 2020, including $6,953,341 in cash and cash equivalents and $6,382,785 in available for sale securities, compared to $27,104,746 at August 31, 2020, including $6,403,032 in cash and cash equivalents and $5,544,722 in available for sale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months ended November 30,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32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12,198,808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14,045,784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(1,846,976)</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580,304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585,616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8,313,321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9,805,084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(1,491,763)</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1,825,712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1,293,990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531,722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1,336,561</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1,358,325</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2,741,768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2,887,292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(145,524)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2,093,982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2,049,687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1,075,737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961,641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114,096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414"/>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NTIC’s consolidated net sales decreased 12.7% to $12,779,112 during the three months ended November 30, 2020 compared to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November 30, 2019. NTIC’s consolidated net sales to unaffiliated customers excluding NTIC’s joint ventures decreased 13.1% to $12,198,808 during the three months ended November 30, 2020 compared to the same period in fiscal 2020. These decreases were primarily a result of reduced demand globally as a result of the COVID-19 pandemic. NTIC anticipates that the COVID-19 pandemic will continue to adversely affect NTIC’s consolidated net sales, including sales of its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and services and Natur-Tec</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products, during the remainder of fiscal 2021 and possibly beyond.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months ended November 30, 2020 and 2019 by segment:</w:t>
      </w:r>
    </w:p>
    <w:p>
      <w:pPr>
        <w:sectPr>
          <w:pgSz w:w="11900" w:h="16864" w:orient="portrait"/>
          <w:cols w:equalWidth="0" w:num="1">
            <w:col w:w="11240"/>
          </w:cols>
          <w:pgMar w:left="320" w:top="121" w:right="339" w:bottom="0" w:gutter="0" w:footer="0" w:header="0"/>
        </w:sectPr>
      </w:pPr>
    </w:p>
    <w:bookmarkStart w:id="20" w:name="page21"/>
    <w:bookmarkEnd w:id="20"/>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Total 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10,220,551</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9,949,512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271,039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Total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2,558,561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4,681,888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(2,123,327)</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12,779,112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14,631,400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(1,852,288)</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98"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color w:val="auto"/>
        </w:rPr>
        <w:t>During the three months ended November 30, 2020, 80.0% of NTIC’s consolidated net sales were derived from sales of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which increased 2.7% to $10,220,551 during the three months ended November 30, 2020 compared to $9,949,512 during the three months ended November 30, 2019. This increase was primarily a result of increased demand in China partially offset by the continued decreased demand in North America as a result of the COVID-19 pandemic.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for the three months ended November 30,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2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15"/>
                <w:szCs w:val="15"/>
                <w:color w:val="auto"/>
              </w:rPr>
              <w:t>ZERUST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industrial net sales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9,077,554</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8,843,052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234,502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joint venture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580,304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585,616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9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oil &amp; gas net sales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562,693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9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net sales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10,220,551</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9,949,512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271,039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 w:lineRule="exact"/>
        <w:rPr>
          <w:sz w:val="20"/>
          <w:szCs w:val="20"/>
          <w:color w:val="auto"/>
        </w:rPr>
      </w:pPr>
    </w:p>
    <w:p>
      <w:pPr>
        <w:jc w:val="both"/>
        <w:ind w:right="200"/>
        <w:spacing w:after="0" w:line="182" w:lineRule="auto"/>
        <w:rPr>
          <w:sz w:val="20"/>
          <w:szCs w:val="20"/>
          <w:color w:val="auto"/>
        </w:rPr>
      </w:pPr>
      <w:r>
        <w:rPr>
          <w:rFonts w:ascii="Times New Roman" w:cs="Times New Roman" w:eastAsia="Times New Roman" w:hAnsi="Times New Roman"/>
          <w:sz w:val="17"/>
          <w:szCs w:val="17"/>
          <w:color w:val="auto"/>
        </w:rPr>
        <w:t>NTIC’s total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net sales increased during the three months ended November 30, 2020, compared to the prior fiscal year period, primarily due to overall increased demand for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industrial products and services in China and overall increased demand for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oil and gas products and services. NTIC’s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industrial products and services for the three months ended November 30, 2020 were adversely affected by reduced demand globally as a result of the COVID-19 pandemic.</w:t>
      </w:r>
    </w:p>
    <w:p>
      <w:pPr>
        <w:spacing w:after="0" w:line="199" w:lineRule="exact"/>
        <w:rPr>
          <w:sz w:val="20"/>
          <w:szCs w:val="20"/>
          <w:color w:val="auto"/>
        </w:rPr>
      </w:pPr>
    </w:p>
    <w:p>
      <w:pPr>
        <w:ind w:right="120"/>
        <w:spacing w:after="0" w:line="211" w:lineRule="auto"/>
        <w:rPr>
          <w:sz w:val="20"/>
          <w:szCs w:val="20"/>
          <w:color w:val="auto"/>
        </w:rPr>
      </w:pPr>
      <w:r>
        <w:rPr>
          <w:rFonts w:ascii="Times New Roman" w:cs="Times New Roman" w:eastAsia="Times New Roman" w:hAnsi="Times New Roman"/>
          <w:sz w:val="18"/>
          <w:szCs w:val="18"/>
          <w:color w:val="auto"/>
        </w:rPr>
        <w:t>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oil and gas net sales increased 8.0% during the three months ended November 30, 2020 compared to the same period last fiscal year primarily as a result of increased demand. NTIC anticipates that its sales of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98" w:lineRule="exact"/>
        <w:rPr>
          <w:sz w:val="20"/>
          <w:szCs w:val="20"/>
          <w:color w:val="auto"/>
        </w:rPr>
      </w:pPr>
    </w:p>
    <w:p>
      <w:pPr>
        <w:ind w:right="40"/>
        <w:spacing w:after="0" w:line="205" w:lineRule="auto"/>
        <w:rPr>
          <w:sz w:val="20"/>
          <w:szCs w:val="20"/>
          <w:color w:val="auto"/>
        </w:rPr>
      </w:pPr>
      <w:r>
        <w:rPr>
          <w:rFonts w:ascii="Times New Roman" w:cs="Times New Roman" w:eastAsia="Times New Roman" w:hAnsi="Times New Roman"/>
          <w:sz w:val="18"/>
          <w:szCs w:val="18"/>
          <w:color w:val="auto"/>
        </w:rPr>
        <w:t>During the three months ended November 30, 2020, 20.0% of NTIC’s consolidated net sales were derived from sales of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compared to 32.0% during the three months ended November 30, 2019. Sales of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decreased 45.4% to $2,558,561 during the three months ended November 30, 2020 compared to $4,681,888 during the three months ended November 30, 2019. This decrease was primarily due to a decrease in finished product sales in North America and finished product sales at NTIC’s majority-owned subsidiary in India, and decreased demand globally as a result of the COVID-19 pandemic. The COVID pandemic has adversely impacted demand from across the apparel industry, as well as many large users of bioplastics, including college campuses, stadiums, arenas, restaurants, and corporate office complexes. NTIC currently expects these customers will be some of the last businesses to re-open, and accordingly, anticipates that the COVID-19 pandemic will continue to significantly adversely affect sales of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during the remainder of fiscal 2021 and possibly beyond.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decreased 15.2% for the three months ended November 30, 2020 compared to the three months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2019. Cost of goods sold as a percentage of net sales decreased to 65.1% for the three months ended November 30, 2020 compared to 67.0% for the three months ended November 30, 2019 primarily due to a decreased percentage of product sales from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which have lower gross margins than NTIC’s traditional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industrial products and services or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oil and gas products.</w:t>
      </w:r>
    </w:p>
    <w:p>
      <w:pPr>
        <w:spacing w:after="0" w:line="3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41.1% to $1,825,712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2020 compared to $1,293,990 during the three months ended November 30, 2019. This increase was primarily a result of increased profitability of the joint ventures, which fluctuates based on net sales, during the respective periods. Of the total equity in income from joint ventures, NTIC had equity in income from joint ventures of $1,010,537 attributable to EXCOR during the three months ended November 30, 2020 compared to $821,164 during the three months ended November 30, 2019. NTIC had equity in income from all other joint ventures of $815,175 during the three months ended November 30, 2020, compared to $472,827 during the three months ended November 30, 2019.</w:t>
      </w:r>
    </w:p>
    <w:p>
      <w:pPr>
        <w:spacing w:after="0" w:line="182"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Fees for Services Provided to Joint Ventures</w:t>
      </w:r>
      <w:r>
        <w:rPr>
          <w:rFonts w:ascii="Times New Roman" w:cs="Times New Roman" w:eastAsia="Times New Roman" w:hAnsi="Times New Roman"/>
          <w:sz w:val="17"/>
          <w:szCs w:val="17"/>
          <w:color w:val="auto"/>
        </w:rPr>
        <w:t>. NTIC recognized fee income for services provided to joint ventures of $1,336,561 during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November 30, 2020 compared to $1,358,325 during the three months ended November 30, 2019, representing a slight decrease of $21,764, or 1.6%. Fee income for services provided to joint ventures is traditionally a function of the sales made by NTIC’s joint ventures; however, at various joint ventures, the fee income for services is a fixed amount that does not fluctuate with the increase in sales which was experienced by certain joint ventures during the first quarter of fiscal 2021. Total net sales of NTIC’s joint ventures increased 5.2% to $26,777,343 during the three months ended November 30, 2020 compared to $25,460,294 for the three months ended November 30, 2019 due to increased demand. Net sales of NTIC’s joint ventures are not included in NTIC’s consolidated financial statements. Of the total fee income for services provided to joint ventures, fees of $228,826 were attributable to EXCOR during the three months ended November 30, 2020 compared to $212,101 attributable to EXCOR during the three months ended November 30, 2019.</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decreased 5.0% for the three months ended November 30, 2020 compared to the same period in fiscal 2020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decreased travel expenses and other expenses due to work from home arrangements necessitated by the COVID-19 pandemic. Selling expenses as a percentage of net sales increased to 21.5% for the three months ended November 30, 2020 from 19.7% during the three months ended November 30, 2019 primarily due to the decrease in net sales, as previously described.</w:t>
      </w:r>
    </w:p>
    <w:p>
      <w:pPr>
        <w:spacing w:after="0" w:line="180"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NTIC’s general and administrative expenses increased 2.2% for the three months ended November 30,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fiscal 2020 primarily due to the timing of various audit and tax fees, partially offset by decreased travel expenses and other</w:t>
      </w:r>
    </w:p>
    <w:p>
      <w:pPr>
        <w:sectPr>
          <w:pgSz w:w="11900" w:h="16925" w:orient="portrait"/>
          <w:cols w:equalWidth="0" w:num="1">
            <w:col w:w="11240"/>
          </w:cols>
          <w:pgMar w:left="320" w:top="333" w:right="339" w:bottom="0" w:gutter="0" w:footer="0" w:header="0"/>
        </w:sectPr>
      </w:pPr>
    </w:p>
    <w:bookmarkStart w:id="21" w:name="page22"/>
    <w:bookmarkEnd w:id="21"/>
    <w:p>
      <w:pPr>
        <w:spacing w:after="0" w:line="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expenses due to work from home arrangements necessitated by the COVID-19 pandemic. As a percentage of net sales, general and administrative expenses increased to 16.4% for the three months ended November 30, 2020 from 14.0% for the three months ended November 30, 2019 primarily due to the decrease in net sales, as previously described.</w:t>
      </w:r>
    </w:p>
    <w:p>
      <w:pPr>
        <w:spacing w:after="0" w:line="1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11.9% for the three months ended November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2020 primarily due to increased personnel and development efforts, partially offset by decreased travel expenses and other expenses due to work from home arrangements necessitated by the COVID-19 pandemic.</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$69,538 during the three months ended November 30, 2020 compared to $49,038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2019 due primarily to increased levels of invested capital.</w:t>
      </w:r>
    </w:p>
    <w:p>
      <w:pPr>
        <w:spacing w:after="0" w:line="15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$2,368 during the three months ended November 30, 2020 compared to $5,444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2019.</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incurred income before income tax expense equal to $1,783,747 for the three months ended November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$1,623,605 for the three months ended November 30, 2019.</w:t>
      </w:r>
    </w:p>
    <w:p>
      <w:pPr>
        <w:spacing w:after="0" w:line="15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$378,590 during the three months ended November 30, 2020 compared to $264,066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2019. Income tax expense was calculated based on management’s estimate of NTIC’s annual effective income tax rate.</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$22,726,127 and $21,855,747 at November 30, 2020 and August 31, 2020,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increased $49,849 to $1,262,399, or $0.13 per diluted common share,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2020 compared to $1,212,550, or $0.13 per diluted common share, for the three months ended November 30, 2019. This increase was primarily the result of the increase in equity in income from joint venture operations during the three months ended November 30, 2020 compared to the prior fiscal year period.</w:t>
      </w:r>
    </w:p>
    <w:p>
      <w:pPr>
        <w:spacing w:after="0" w:line="182" w:lineRule="exact"/>
        <w:rPr>
          <w:sz w:val="20"/>
          <w:szCs w:val="20"/>
          <w:color w:val="auto"/>
        </w:rPr>
      </w:pPr>
    </w:p>
    <w:p>
      <w:pPr>
        <w:jc w:val="both"/>
        <w:ind w:right="140"/>
        <w:spacing w:after="0" w:line="232"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by the COVID-19 pandemic in the second quarter of fiscal 2021 and beyond and that its quarterly net income will continue to remain subject to significant volatility primarily due to the financial performance of its subsidiaries and joint ventures, sales of 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into the oil and gas industry, and sales of its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bioplastics products, which fluctuate more on a quarterly basis than the traditional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business.</w:t>
      </w:r>
    </w:p>
    <w:p>
      <w:pPr>
        <w:spacing w:after="0" w:line="3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fluctuations of the U.S. dollar compared to the Euro and other foreign currencies during the three months ended November 30, 2020 compared to the same period in fiscal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$28,172,918 at November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$6,953,341 in cash and cash equivalents and $6,382,785 in available for sale securities, compared to $27,104,746 at August 31, 2020, including $6,403,032 in cash and cash equivalents and $5,544,722 in available for sale securities.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November 30, 2020, NTIC had a revolving line of credit with PNC Bank of $3,000,000 with no amounts outstanding. At the option of the Company, outstanding advances under the line of credit bore interest at either (a) an annual rate based on LIBOR plus 2.15% for the applicable LIBOR interest period selected by the Company or (b) at the rate publicly announced by PNC Bank from time to time as its prime rate.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line of credit was evidenced by an amended and restated committed line of credit note in the principal amount of up to $3,000,000. The line of credit had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line of credit was subject to standard covenants, including affirmative financial covenants, such as the maintenance of a minimum fixed charge coverage ratio, and negative covenants, which, among other things, limited the incurrence of additional indebtedness, loans and equity investments, disposition of assets, mergers and consolidations and other matters customarily restricted in such agreements. Under the loan agreement, NTIC was subject to a minimum fixed charge coverage ratio of 1.10:1.00. As of November 30, 2020, NTIC was in compliance with all debt covenants.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21, 2020, the Company and PNC Bank amended the loan agreement and the Company issued an amended and restated the promissory note relating to the revolving line of credit. The material changes made by these amendments, which include changes to the rate at which interest accrues and certain other revisions, are described in Note 7 to NTIC’s consolidated financial statements. The other material terms of the revolving line of credit and loan agreement with PNC Bank and other related documents remain in effect.</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if NTIC’s Board of Directors decides to reinstate them, and any stock repurchases for at least the next 12 months. During</w:t>
      </w:r>
    </w:p>
    <w:p>
      <w:pPr>
        <w:sectPr>
          <w:pgSz w:w="11900" w:h="16897" w:orient="portrait"/>
          <w:cols w:equalWidth="0" w:num="1">
            <w:col w:w="11220"/>
          </w:cols>
          <w:pgMar w:left="320" w:top="121" w:right="359" w:bottom="0" w:gutter="0" w:footer="0" w:header="0"/>
        </w:sectPr>
      </w:pPr>
    </w:p>
    <w:bookmarkStart w:id="22" w:name="page23"/>
    <w:bookmarkEnd w:id="22"/>
    <w:p>
      <w:pPr>
        <w:spacing w:after="0" w:line="230" w:lineRule="auto"/>
        <w:rPr>
          <w:sz w:val="20"/>
          <w:szCs w:val="20"/>
          <w:color w:val="auto"/>
        </w:rPr>
      </w:pPr>
      <w:r>
        <w:rPr>
          <w:rFonts w:ascii="Times New Roman" w:cs="Times New Roman" w:eastAsia="Times New Roman" w:hAnsi="Times New Roman"/>
          <w:sz w:val="18"/>
          <w:szCs w:val="18"/>
          <w:color w:val="auto"/>
        </w:rPr>
        <w:t>the remainder of fiscal 2021, NTIC expects to continue to invest directly and through its use of working capital in NTIC China, Zerust Mexico, NTI Europe, research and development, marketing efforts, resources for the application of its corrosion prevention technology in the oil and gas industry, and its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three months ended November 30, 2020 was $1,601,120,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net income, dividends received from joint ventures, depreciation expense, and stock-based compensation, partially offset by equity in income from joint ventures. Net cash used in operating activities during the three months ended November 30, 2019 was $1,567,157, which resulted principally from NTIC’s equity in income from joint ventures, an increase in inventory and increases in trade receivables excluding joint ventures, and income tax payable, partially offset by NTIC’s net income, depreciation and amortization and an increase in accounts payable and accrued liabilities.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 experienced an increase in trade receivables and a decrease in inventory as of November 30, 2020 compared to August 31, 2020. Trade receivables excluding joint ventures as of November 30, 2020 increased $1,479,307 compared to August 31, 2020, primarily related to the timing of collections.</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as of November 30, 2020 decreased 6 days to an average of 71 days from balances outstanding from these customers as of August 31, 2020.</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November 30, 2020 increased $199,491 compared to August 31, 2020 primarily due to the timing of payments. Outstanding balances from trade receivables from joint ventures increased an average of 12 days from an average of 94 days from balances outstanding from these customers compared to August 31, 2020. The average days outstanding of trade receivables from joint ventures as of November 30, 2020 were primarily due to the receivables balances at NTIC’s joint ventures in the United States, South Korea and India.</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November 30, 2020 increased $221,879 compared to August 31, 2020 and the average days to pay increased an average of 2 days from an average of 76 days compared to August 31, 2020.</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November 30, 2020 was $1,177,869, which was primarily the result of the purchase of available for sale securities, purchases of property and equipment and investments in patents. Net cash provided by investing activities for the three months ended November 30, 2019 was $353,300, which was primarily the result of cash provided by the sale of available for sale securities, partially offset by additions to property and equipment and additions to patents.</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November 30, 2020 was $36,192, which resulted from proceeds from NTIC’s employee stock purchase plan. Net cash used in financing activities for the three months ended November 30, 2019 was $555,271, which resulted from dividends paid on NTIC common stock, partially offset by proceeds from NTIC’s employee stock purchase plan and the exercise of stock options.</w:t>
      </w:r>
    </w:p>
    <w:p>
      <w:pPr>
        <w:spacing w:after="0" w:line="1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three months ended November 30, 2020. As of November 30, 2020, up to $2,640,548 in shares of NTIC common stock remained available for repurchase under NTIC’s stock repurchase program.</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On April 23, 2020, the Company announced the temporary suspension of its quarterly cash dividend pending clarity on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Therefore, the Company did not declare a cash dividend during the three months ended November 30, 2020. On October 22, 2019, the Company’s Board of Directors declared a cash dividend of $0.065 per share of NTIC’s common stock, payable on November 20, 2019 to stockholders of record on November 6, 2019. The length of the Company’s suspension of its quarterly cash dividend is currently unknown, and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23" w:gutter="0" w:footer="0" w:header="0"/>
        </w:sectPr>
      </w:pPr>
    </w:p>
    <w:bookmarkStart w:id="23" w:name="page24"/>
    <w:bookmarkEnd w:id="23"/>
    <w:p>
      <w:pPr>
        <w:spacing w:after="0" w:line="30"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$309,400 on capital expenditures during the three months ended November 30, 2020,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the purchase of new equipment. NTIC expects to spend an aggregate of approximately $600,000 to $900,000 on capital expenditures during fiscal 2021, which it expects will relate primarily to the purchase of new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There has been no material change to NTIC’s contractual obligations as provided in “</w:t>
      </w:r>
      <w:r>
        <w:rPr>
          <w:rFonts w:ascii="Times New Roman" w:cs="Times New Roman" w:eastAsia="Times New Roman" w:hAnsi="Times New Roman"/>
          <w:sz w:val="18"/>
          <w:szCs w:val="18"/>
          <w:i w:val="1"/>
          <w:iCs w:val="1"/>
          <w:color w:val="auto"/>
        </w:rPr>
        <w:t>Part II. Item 7,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Operations—Contractual Obligations</w:t>
      </w:r>
      <w:r>
        <w:rPr>
          <w:rFonts w:ascii="Times New Roman" w:cs="Times New Roman" w:eastAsia="Times New Roman" w:hAnsi="Times New Roman"/>
          <w:sz w:val="18"/>
          <w:szCs w:val="18"/>
          <w:color w:val="auto"/>
        </w:rPr>
        <w:t>,” included in NTIC’s annual report on Form 10-K for the fiscal year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Inflation in the United States and abroad historically has had little effect on NTIC. Although NTIC’s business historically has not been seasonal,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outstanding advances under NTIC’s $3,000,000 amended and restated revolving line of credit with PNC Bank bear interest at an annual rate based on LIBOR plus 3.25% for the applicable LIBOR interest period selected by the Company with a minimum rate of 0.75%. As of November 30, 2020, NTIC had no borrowings under the prior line of credit that existed as of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Operations—Critical Accounting Policies</w:t>
      </w:r>
      <w:r>
        <w:rPr>
          <w:rFonts w:ascii="Times New Roman" w:cs="Times New Roman" w:eastAsia="Times New Roman" w:hAnsi="Times New Roman"/>
          <w:sz w:val="18"/>
          <w:szCs w:val="18"/>
          <w:color w:val="auto"/>
        </w:rPr>
        <w:t>,” included in NTIC’s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ended August 31, 2020.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on NTIC’s business, operating results and financial condition,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w:t>
      </w:r>
    </w:p>
    <w:p>
      <w:pPr>
        <w:sectPr>
          <w:pgSz w:w="11900" w:h="16868" w:orient="portrait"/>
          <w:cols w:equalWidth="0" w:num="1">
            <w:col w:w="11220"/>
          </w:cols>
          <w:pgMar w:left="320" w:top="335" w:right="359" w:bottom="0" w:gutter="0" w:footer="0" w:header="0"/>
        </w:sectPr>
      </w:pPr>
    </w:p>
    <w:bookmarkStart w:id="24" w:name="page25"/>
    <w:bookmarkEnd w:id="24"/>
    <w:p>
      <w:pPr>
        <w:ind w:right="320"/>
        <w:spacing w:after="0" w:line="282" w:lineRule="auto"/>
        <w:rPr>
          <w:sz w:val="20"/>
          <w:szCs w:val="20"/>
          <w:color w:val="auto"/>
        </w:rPr>
      </w:pPr>
      <w:r>
        <w:rPr>
          <w:rFonts w:ascii="Times New Roman" w:cs="Times New Roman" w:eastAsia="Times New Roman" w:hAnsi="Times New Roman"/>
          <w:sz w:val="18"/>
          <w:szCs w:val="18"/>
          <w:color w:val="auto"/>
        </w:rPr>
        <w:t>beyond NTIC’s control. The following are some of the uncertainties and factors known to us that could cause NTIC’s actual results to differ materially from what NTIC has anticipated in its forward-looking statements:</w:t>
      </w:r>
    </w:p>
    <w:p>
      <w:pPr>
        <w:spacing w:after="0" w:line="162" w:lineRule="exact"/>
        <w:rPr>
          <w:sz w:val="20"/>
          <w:szCs w:val="20"/>
          <w:color w:val="auto"/>
        </w:rPr>
      </w:pPr>
    </w:p>
    <w:p>
      <w:pPr>
        <w:ind w:left="980" w:right="1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and any turmoil and disruption in the global credit and financial markets on NTIC’s business;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0" w:right="260" w:hanging="324"/>
        <w:spacing w:after="0" w:line="213"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to the oil and gas industry and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NTIC’s equity income of joint ventures, which variability in sales and equity in income from joint ventures, in turn, subject NTIC’s earnings to quarterly fluctuations;</w:t>
      </w:r>
    </w:p>
    <w:p>
      <w:pPr>
        <w:spacing w:after="0" w:line="200"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w:t>
      </w:r>
    </w:p>
    <w:p>
      <w:pPr>
        <w:spacing w:after="0" w:line="225" w:lineRule="exact"/>
        <w:rPr>
          <w:rFonts w:ascii="Times New Roman" w:cs="Times New Roman" w:eastAsia="Times New Roman" w:hAnsi="Times New Roman"/>
          <w:sz w:val="18"/>
          <w:szCs w:val="18"/>
          <w:color w:val="auto"/>
        </w:rPr>
      </w:pPr>
    </w:p>
    <w:p>
      <w:pPr>
        <w:jc w:val="both"/>
        <w:ind w:left="980" w:right="100" w:hanging="324"/>
        <w:spacing w:after="0" w:line="213"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to the oil and gas industry and Natur-Tec</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the often lengthy and extensive sales process involved in selling such products and services;</w:t>
      </w:r>
    </w:p>
    <w:p>
      <w:pPr>
        <w:spacing w:after="0" w:line="20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980" w:right="80" w:hanging="324"/>
        <w:spacing w:after="0" w:line="199"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and NTIC’s ability to grow market share and succeed in penetrating other existing and new markets;</w:t>
      </w:r>
    </w:p>
    <w:p>
      <w:pPr>
        <w:spacing w:after="0" w:line="199" w:lineRule="exact"/>
        <w:rPr>
          <w:rFonts w:ascii="Times New Roman" w:cs="Times New Roman" w:eastAsia="Times New Roman" w:hAnsi="Times New Roman"/>
          <w:sz w:val="18"/>
          <w:szCs w:val="18"/>
          <w:color w:val="auto"/>
        </w:rPr>
      </w:pPr>
    </w:p>
    <w:p>
      <w:pPr>
        <w:ind w:left="980" w:hanging="324"/>
        <w:spacing w:after="0" w:line="199"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and the effect of such competition on NTIC’s and its joint ventures’ pricing, net sales, and margins;</w:t>
      </w:r>
    </w:p>
    <w:p>
      <w:pPr>
        <w:spacing w:after="0" w:line="19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to the oil and gas industry;</w:t>
      </w:r>
    </w:p>
    <w:p>
      <w:pPr>
        <w:spacing w:after="0" w:line="98"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ectPr>
          <w:pgSz w:w="11900" w:h="16838" w:orient="portrait"/>
          <w:cols w:equalWidth="0" w:num="1">
            <w:col w:w="11160"/>
          </w:cols>
          <w:pgMar w:left="320" w:top="121" w:right="419" w:bottom="0" w:gutter="0" w:footer="0" w:header="0"/>
        </w:sectPr>
      </w:pPr>
    </w:p>
    <w:bookmarkStart w:id="25" w:name="page26"/>
    <w:bookmarkEnd w:id="25"/>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including from the Tax Cuts and Jobs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2020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outstanding advances under NTIC’s $3,000,000 amended and restated revolving line of credit with PNC Bank bear interest at an annual rate based on LIBOR plus 3.25% for the applicable LIBOR interest period selected by the Company with a minimum rate of 0.75%. As of November 30, 2020, NTIC had no borrowings under the prior line of credit that existed as of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November 30, 2020 that has materially affected or is reasonably likely to materially affect NTIC’s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23" w:gutter="0" w:footer="0" w:header="0"/>
        </w:sectPr>
      </w:pPr>
    </w:p>
    <w:bookmarkStart w:id="26" w:name="page27"/>
    <w:bookmarkEnd w:id="26"/>
    <w:p>
      <w:pPr>
        <w:spacing w:after="0" w:line="8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II -</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2020,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first quarter of fiscal 2021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160" w:type="dxa"/>
            <w:vAlign w:val="bottom"/>
            <w:tcBorders>
              <w:top w:val="single" w:sz="8" w:color="auto"/>
              <w:left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80" w:type="dxa"/>
            <w:vAlign w:val="bottom"/>
            <w:tcBorders>
              <w:top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080" w:type="dxa"/>
            <w:vAlign w:val="bottom"/>
            <w:tcBorders>
              <w:top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40" w:type="dxa"/>
            <w:vAlign w:val="bottom"/>
            <w:tcBorders>
              <w:top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 (or Unit)</w:t>
            </w:r>
          </w:p>
        </w:tc>
        <w:tc>
          <w:tcPr>
            <w:tcW w:w="20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4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Shares (or Units) that</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(or Units) Purchased</w:t>
            </w:r>
          </w:p>
        </w:tc>
        <w:tc>
          <w:tcPr>
            <w:tcW w:w="16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4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May Yet Be Purchased</w:t>
            </w: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4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r>
      <w:tr>
        <w:trPr>
          <w:trHeight w:val="260"/>
        </w:trPr>
        <w:tc>
          <w:tcPr>
            <w:tcW w:w="3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208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4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174"/>
        </w:trPr>
        <w:tc>
          <w:tcPr>
            <w:tcW w:w="3160" w:type="dxa"/>
            <w:vAlign w:val="bottom"/>
            <w:tcBorders>
              <w:top w:val="single" w:sz="8" w:color="auto"/>
              <w:left w:val="single" w:sz="8" w:color="CCEEFF"/>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September 1, 2020 through September</w:t>
            </w:r>
          </w:p>
        </w:tc>
        <w:tc>
          <w:tcPr>
            <w:tcW w:w="1780" w:type="dxa"/>
            <w:vAlign w:val="bottom"/>
            <w:tcBorders>
              <w:top w:val="single" w:sz="8" w:color="CCEEFF"/>
              <w:right w:val="single" w:sz="8" w:color="auto"/>
            </w:tcBorders>
            <w:shd w:val="clear" w:color="auto" w:fill="CCEEFF"/>
          </w:tcPr>
          <w:p>
            <w:pPr>
              <w:jc w:val="center"/>
              <w:ind w:right="110"/>
              <w:spacing w:after="0" w:line="175" w:lineRule="exact"/>
              <w:rPr>
                <w:sz w:val="20"/>
                <w:szCs w:val="20"/>
                <w:color w:val="auto"/>
              </w:rPr>
            </w:pPr>
            <w:r>
              <w:rPr>
                <w:rFonts w:ascii="Times New Roman" w:cs="Times New Roman" w:eastAsia="Times New Roman" w:hAnsi="Times New Roman"/>
                <w:sz w:val="18"/>
                <w:szCs w:val="18"/>
                <w:color w:val="auto"/>
              </w:rPr>
              <w:t>0</w:t>
            </w:r>
          </w:p>
        </w:tc>
        <w:tc>
          <w:tcPr>
            <w:tcW w:w="1680" w:type="dxa"/>
            <w:vAlign w:val="bottom"/>
            <w:tcBorders>
              <w:top w:val="single" w:sz="8" w:color="CCEEFF"/>
              <w:right w:val="single" w:sz="8" w:color="auto"/>
            </w:tcBorders>
            <w:shd w:val="clear" w:color="auto" w:fill="CCEEFF"/>
          </w:tcPr>
          <w:p>
            <w:pPr>
              <w:jc w:val="center"/>
              <w:ind w:right="90"/>
              <w:spacing w:after="0" w:line="175" w:lineRule="exact"/>
              <w:rPr>
                <w:sz w:val="20"/>
                <w:szCs w:val="20"/>
                <w:color w:val="auto"/>
              </w:rPr>
            </w:pPr>
            <w:r>
              <w:rPr>
                <w:rFonts w:ascii="Times New Roman" w:cs="Times New Roman" w:eastAsia="Times New Roman" w:hAnsi="Times New Roman"/>
                <w:sz w:val="18"/>
                <w:szCs w:val="18"/>
                <w:color w:val="auto"/>
                <w:w w:val="99"/>
              </w:rPr>
              <w:t>$0</w:t>
            </w:r>
          </w:p>
        </w:tc>
        <w:tc>
          <w:tcPr>
            <w:tcW w:w="2080" w:type="dxa"/>
            <w:vAlign w:val="bottom"/>
            <w:tcBorders>
              <w:top w:val="single" w:sz="8" w:color="CCEEFF"/>
              <w:right w:val="single" w:sz="8" w:color="auto"/>
            </w:tcBorders>
            <w:shd w:val="clear" w:color="auto" w:fill="CCEEFF"/>
          </w:tcPr>
          <w:p>
            <w:pPr>
              <w:jc w:val="center"/>
              <w:ind w:right="90"/>
              <w:spacing w:after="0" w:line="175" w:lineRule="exact"/>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top w:val="single" w:sz="8" w:color="CCEEFF"/>
              <w:right w:val="single" w:sz="8" w:color="auto"/>
            </w:tcBorders>
            <w:shd w:val="clear" w:color="auto" w:fill="CCEEFF"/>
          </w:tcPr>
          <w:p>
            <w:pPr>
              <w:jc w:val="center"/>
              <w:ind w:right="90"/>
              <w:spacing w:after="0" w:line="175" w:lineRule="exact"/>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31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30, 2020</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2080" w:type="dxa"/>
            <w:vAlign w:val="bottom"/>
            <w:tcBorders>
              <w:bottom w:val="single" w:sz="8" w:color="auto"/>
              <w:right w:val="single" w:sz="8" w:color="auto"/>
            </w:tcBorders>
            <w:shd w:val="clear" w:color="auto" w:fill="CCEEFF"/>
          </w:tcPr>
          <w:p>
            <w:pPr>
              <w:spacing w:after="0"/>
              <w:rPr>
                <w:sz w:val="20"/>
                <w:szCs w:val="20"/>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1"/>
        </w:trPr>
        <w:tc>
          <w:tcPr>
            <w:tcW w:w="316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October 1, 2020 through October 31,</w:t>
            </w:r>
          </w:p>
        </w:tc>
        <w:tc>
          <w:tcPr>
            <w:tcW w:w="1780" w:type="dxa"/>
            <w:vAlign w:val="bottom"/>
            <w:tcBorders>
              <w:right w:val="single" w:sz="8" w:color="auto"/>
            </w:tcBorders>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680" w:type="dxa"/>
            <w:vAlign w:val="bottom"/>
            <w:tcBorders>
              <w:right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2080" w:type="dxa"/>
            <w:vAlign w:val="bottom"/>
            <w:tcBorders>
              <w:right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3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7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r>
      <w:tr>
        <w:trPr>
          <w:trHeight w:val="191"/>
        </w:trPr>
        <w:tc>
          <w:tcPr>
            <w:tcW w:w="3160" w:type="dxa"/>
            <w:vAlign w:val="bottom"/>
            <w:tcBorders>
              <w:left w:val="single" w:sz="8" w:color="CCEEFF"/>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November 1, 2020 through November</w:t>
            </w:r>
          </w:p>
        </w:tc>
        <w:tc>
          <w:tcPr>
            <w:tcW w:w="1780" w:type="dxa"/>
            <w:vAlign w:val="bottom"/>
            <w:tcBorders>
              <w:right w:val="single" w:sz="8" w:color="auto"/>
            </w:tcBorders>
            <w:shd w:val="clear" w:color="auto" w:fill="CCEEFF"/>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680" w:type="dxa"/>
            <w:vAlign w:val="bottom"/>
            <w:tcBorders>
              <w:right w:val="single" w:sz="8" w:color="auto"/>
            </w:tcBorders>
            <w:shd w:val="clear" w:color="auto" w:fill="CCEEFF"/>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2080" w:type="dxa"/>
            <w:vAlign w:val="bottom"/>
            <w:tcBorders>
              <w:right w:val="single" w:sz="8" w:color="auto"/>
            </w:tcBorders>
            <w:shd w:val="clear" w:color="auto" w:fill="CCEEFF"/>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right w:val="single" w:sz="8" w:color="auto"/>
            </w:tcBorders>
            <w:shd w:val="clear" w:color="auto" w:fill="CCEEFF"/>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5"/>
              </w:rPr>
              <w:t>(1)</w:t>
            </w:r>
          </w:p>
        </w:tc>
      </w:tr>
      <w:tr>
        <w:trPr>
          <w:trHeight w:val="234"/>
        </w:trPr>
        <w:tc>
          <w:tcPr>
            <w:tcW w:w="316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30, 2020</w:t>
            </w:r>
          </w:p>
        </w:tc>
        <w:tc>
          <w:tcPr>
            <w:tcW w:w="1780" w:type="dxa"/>
            <w:vAlign w:val="bottom"/>
            <w:tcBorders>
              <w:bottom w:val="single" w:sz="8" w:color="auto"/>
              <w:right w:val="single" w:sz="8" w:color="auto"/>
            </w:tcBorders>
            <w:shd w:val="clear" w:color="auto" w:fill="CCEEFF"/>
          </w:tcPr>
          <w:p>
            <w:pPr>
              <w:spacing w:after="0"/>
              <w:rPr>
                <w:sz w:val="20"/>
                <w:szCs w:val="20"/>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p>
        </w:tc>
        <w:tc>
          <w:tcPr>
            <w:tcW w:w="2080" w:type="dxa"/>
            <w:vAlign w:val="bottom"/>
            <w:tcBorders>
              <w:bottom w:val="single" w:sz="8" w:color="auto"/>
              <w:right w:val="single" w:sz="8" w:color="auto"/>
            </w:tcBorders>
            <w:shd w:val="clear" w:color="auto" w:fill="CCEEFF"/>
          </w:tcPr>
          <w:p>
            <w:pPr>
              <w:spacing w:after="0"/>
              <w:rPr>
                <w:sz w:val="20"/>
                <w:szCs w:val="20"/>
                <w:color w:val="auto"/>
              </w:rPr>
            </w:pPr>
          </w:p>
        </w:tc>
        <w:tc>
          <w:tcPr>
            <w:tcW w:w="214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9"/>
        </w:trPr>
        <w:tc>
          <w:tcPr>
            <w:tcW w:w="3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$0</w:t>
            </w:r>
          </w:p>
        </w:tc>
        <w:tc>
          <w:tcPr>
            <w:tcW w:w="208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5"/>
              </w:rPr>
              <w:t>(1)(2)</w:t>
            </w:r>
          </w:p>
        </w:tc>
      </w:tr>
    </w:tbl>
    <w:p>
      <w:pPr>
        <w:spacing w:after="0" w:line="198" w:lineRule="exact"/>
        <w:rPr>
          <w:sz w:val="20"/>
          <w:szCs w:val="20"/>
          <w:color w:val="auto"/>
        </w:rPr>
      </w:pPr>
    </w:p>
    <w:p>
      <w:pPr>
        <w:ind w:left="660" w:right="2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30, 2020,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ind w:left="1300" w:right="620" w:hanging="798"/>
        <w:spacing w:after="0" w:line="250" w:lineRule="auto"/>
        <w:tabs>
          <w:tab w:leader="none" w:pos="1280" w:val="left"/>
        </w:tabs>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w:anchor="page29">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w:t>
        </w:r>
      </w:hyperlink>
      <w:r>
        <w:rPr>
          <w:rFonts w:ascii="Times New Roman" w:cs="Times New Roman" w:eastAsia="Times New Roman" w:hAnsi="Times New Roman"/>
          <w:sz w:val="18"/>
          <w:szCs w:val="18"/>
          <w:u w:val="single" w:color="auto"/>
          <w:color w:val="0000EE"/>
        </w:rPr>
        <w:t xml:space="preserve"> </w:t>
      </w:r>
      <w:hyperlink w:anchor="page29">
        <w:r>
          <w:rPr>
            <w:rFonts w:ascii="Times New Roman" w:cs="Times New Roman" w:eastAsia="Times New Roman" w:hAnsi="Times New Roman"/>
            <w:sz w:val="18"/>
            <w:szCs w:val="18"/>
            <w:u w:val="single" w:color="auto"/>
            <w:color w:val="0000EE"/>
          </w:rPr>
          <w:t>Sarbanes-Oxley Act of 2002 (filed herewith)</w:t>
        </w:r>
      </w:hyperlink>
    </w:p>
    <w:p>
      <w:pPr>
        <w:spacing w:after="0" w:line="1" w:lineRule="exact"/>
        <w:rPr>
          <w:rFonts w:ascii="Times New Roman" w:cs="Times New Roman" w:eastAsia="Times New Roman" w:hAnsi="Times New Roman"/>
          <w:sz w:val="18"/>
          <w:szCs w:val="18"/>
          <w:u w:val="single" w:color="auto"/>
          <w:color w:val="0000EE"/>
        </w:rPr>
      </w:pPr>
    </w:p>
    <w:p>
      <w:pPr>
        <w:ind w:left="500"/>
        <w:spacing w:after="0"/>
        <w:tabs>
          <w:tab w:leader="none" w:pos="1280" w:val="left"/>
        </w:tabs>
        <w:rPr>
          <w:rFonts w:ascii="Times New Roman" w:cs="Times New Roman" w:eastAsia="Times New Roman" w:hAnsi="Times New Roman"/>
          <w:sz w:val="17"/>
          <w:szCs w:val="17"/>
          <w:u w:val="single" w:color="auto"/>
          <w:color w:val="0000EE"/>
        </w:rPr>
      </w:pPr>
      <w:hyperlink w:anchor="page30">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w:anchor="page30">
        <w:r>
          <w:rPr>
            <w:rFonts w:ascii="Times New Roman" w:cs="Times New Roman" w:eastAsia="Times New Roman" w:hAnsi="Times New Roman"/>
            <w:sz w:val="17"/>
            <w:szCs w:val="17"/>
            <w:u w:val="single" w:color="auto"/>
            <w:color w:val="0000EE"/>
          </w:rPr>
          <w:t>Certification of Chief Financial Officer pursuant to SEC Rule 13a-14(a), as adopted pursuant to Section 302 of the Sarbanes-Oxley Act of</w:t>
        </w:r>
      </w:hyperlink>
    </w:p>
    <w:p>
      <w:pPr>
        <w:spacing w:after="0" w:line="9" w:lineRule="exact"/>
        <w:rPr>
          <w:sz w:val="20"/>
          <w:szCs w:val="20"/>
          <w:color w:val="auto"/>
        </w:rPr>
      </w:pPr>
    </w:p>
    <w:p>
      <w:pPr>
        <w:ind w:left="130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2002 (filed herewith)</w:t>
        </w:r>
      </w:hyperlink>
    </w:p>
    <w:p>
      <w:pPr>
        <w:spacing w:after="0" w:line="9" w:lineRule="exact"/>
        <w:rPr>
          <w:sz w:val="20"/>
          <w:szCs w:val="20"/>
          <w:color w:val="auto"/>
        </w:rPr>
      </w:pPr>
    </w:p>
    <w:p>
      <w:pPr>
        <w:ind w:left="1300" w:right="380" w:hanging="798"/>
        <w:spacing w:after="0" w:line="250" w:lineRule="auto"/>
        <w:tabs>
          <w:tab w:leader="none" w:pos="1280" w:val="left"/>
        </w:tabs>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u w:val="single" w:color="auto"/>
          <w:color w:val="0000EE"/>
        </w:rPr>
        <w:tab/>
      </w:r>
      <w:hyperlink w:anchor="page31">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Sarbanes-Oxley Act of 2002 (furnished herewith)</w:t>
        </w:r>
      </w:hyperlink>
    </w:p>
    <w:p>
      <w:pPr>
        <w:spacing w:after="0" w:line="1" w:lineRule="exact"/>
        <w:rPr>
          <w:rFonts w:ascii="Times New Roman" w:cs="Times New Roman" w:eastAsia="Times New Roman" w:hAnsi="Times New Roman"/>
          <w:sz w:val="18"/>
          <w:szCs w:val="18"/>
          <w:u w:val="single" w:color="auto"/>
          <w:color w:val="0000EE"/>
        </w:rPr>
      </w:pPr>
    </w:p>
    <w:p>
      <w:pPr>
        <w:ind w:left="1300" w:right="260" w:hanging="798"/>
        <w:spacing w:after="0" w:line="250" w:lineRule="auto"/>
        <w:tabs>
          <w:tab w:leader="none" w:pos="1280" w:val="left"/>
        </w:tabs>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u w:val="single" w:color="auto"/>
          <w:color w:val="0000EE"/>
        </w:rPr>
        <w:tab/>
      </w:r>
      <w:hyperlink w:anchor="page32">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32">
        <w:r>
          <w:rPr>
            <w:rFonts w:ascii="Times New Roman" w:cs="Times New Roman" w:eastAsia="Times New Roman" w:hAnsi="Times New Roman"/>
            <w:sz w:val="18"/>
            <w:szCs w:val="18"/>
            <w:u w:val="single" w:color="auto"/>
            <w:color w:val="0000EE"/>
          </w:rPr>
          <w:t>Act of 2002 (furnished herewith)</w:t>
        </w:r>
      </w:hyperlink>
    </w:p>
    <w:p>
      <w:pPr>
        <w:spacing w:after="0" w:line="1" w:lineRule="exact"/>
        <w:rPr>
          <w:rFonts w:ascii="Times New Roman" w:cs="Times New Roman" w:eastAsia="Times New Roman" w:hAnsi="Times New Roman"/>
          <w:sz w:val="18"/>
          <w:szCs w:val="18"/>
          <w:u w:val="single" w:color="auto"/>
          <w:color w:val="0000EE"/>
        </w:rPr>
      </w:pPr>
    </w:p>
    <w:p>
      <w:pPr>
        <w:ind w:left="1300" w:right="120" w:hanging="786"/>
        <w:spacing w:after="0" w:line="277"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NTIC’s Quarterly Report on Form 10-Q for the fiscal quarter ended November 30, 2020, formatted in Inline XBRL (Extensible Business Reporting Language): (i) the unaudited Consolidated Balance Sheets, (ii) the unaudited Consolidated Statements of Operations, (iii) the unaudited Consolidated Statements of Comprehensive Income , (iv) the unaudited Consolidated</w:t>
      </w:r>
    </w:p>
    <w:p>
      <w:pPr>
        <w:sectPr>
          <w:pgSz w:w="11900" w:h="16920" w:orient="portrait"/>
          <w:cols w:equalWidth="0" w:num="1">
            <w:col w:w="11220"/>
          </w:cols>
          <w:pgMar w:left="320" w:top="549" w:right="359" w:bottom="0" w:gutter="0" w:footer="0" w:header="0"/>
        </w:sectPr>
      </w:pPr>
    </w:p>
    <w:bookmarkStart w:id="27" w:name="page28"/>
    <w:bookmarkEnd w:id="27"/>
    <w:p>
      <w:pPr>
        <w:ind w:left="1300"/>
        <w:spacing w:after="0" w:line="261" w:lineRule="auto"/>
        <w:rPr>
          <w:sz w:val="20"/>
          <w:szCs w:val="20"/>
          <w:color w:val="auto"/>
        </w:rPr>
      </w:pPr>
      <w:r>
        <w:rPr>
          <w:rFonts w:ascii="Times New Roman" w:cs="Times New Roman" w:eastAsia="Times New Roman" w:hAnsi="Times New Roman"/>
          <w:sz w:val="18"/>
          <w:szCs w:val="18"/>
          <w:color w:val="auto"/>
        </w:rPr>
        <w:t>Statements of Equity, (v) the unaudited Consolidated Statements of Cash Flows, and (vi) Notes to Consolidated Financial Statements (filed herewith)</w:t>
      </w:r>
    </w:p>
    <w:p>
      <w:pPr>
        <w:ind w:left="5540" w:right="3040" w:hanging="5026"/>
        <w:spacing w:after="0" w:line="511" w:lineRule="auto"/>
        <w:tabs>
          <w:tab w:leader="none" w:pos="1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25425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7" w:lineRule="exact"/>
        <w:rPr>
          <w:sz w:val="20"/>
          <w:szCs w:val="20"/>
          <w:color w:val="auto"/>
        </w:rPr>
      </w:pPr>
    </w:p>
    <w:p>
      <w:pPr>
        <w:ind w:left="5620" w:right="3280" w:hanging="5615"/>
        <w:spacing w:after="0" w:line="265" w:lineRule="auto"/>
        <w:tabs>
          <w:tab w:leader="none" w:pos="5600" w:val="left"/>
        </w:tabs>
        <w:rPr>
          <w:sz w:val="20"/>
          <w:szCs w:val="20"/>
          <w:color w:val="auto"/>
        </w:rPr>
      </w:pPr>
      <w:r>
        <w:rPr>
          <w:rFonts w:ascii="Times New Roman" w:cs="Times New Roman" w:eastAsia="Times New Roman" w:hAnsi="Times New Roman"/>
          <w:sz w:val="18"/>
          <w:szCs w:val="18"/>
          <w:color w:val="auto"/>
        </w:rPr>
        <w:t>Date: January 8, 2021</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60"/>
          </w:cols>
          <w:pgMar w:left="320" w:top="121" w:right="719" w:bottom="1440" w:gutter="0" w:footer="0" w:header="0"/>
        </w:sectPr>
      </w:pPr>
    </w:p>
    <w:bookmarkStart w:id="28" w:name="page29"/>
    <w:bookmarkEnd w:id="28"/>
    <w:p>
      <w:pPr>
        <w:ind w:left="101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8"/>
        <w:spacing w:after="0" w:line="282"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66"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0" w:firstLine="458"/>
        <w:spacing w:after="0" w:line="266" w:lineRule="auto"/>
        <w:tabs>
          <w:tab w:leader="none" w:pos="1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458"/>
        <w:spacing w:after="0" w:line="266" w:lineRule="auto"/>
        <w:tabs>
          <w:tab w:leader="none" w:pos="11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60" w:firstLine="458"/>
        <w:spacing w:after="0" w:line="282" w:lineRule="auto"/>
        <w:tabs>
          <w:tab w:leader="none" w:pos="1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458"/>
        <w:spacing w:after="0" w:line="266" w:lineRule="auto"/>
        <w:tabs>
          <w:tab w:leader="none" w:pos="11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4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580" w:firstLine="458"/>
        <w:spacing w:after="0" w:line="282" w:lineRule="auto"/>
        <w:tabs>
          <w:tab w:leader="none" w:pos="1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60" w:firstLine="458"/>
        <w:spacing w:after="0" w:line="282" w:lineRule="auto"/>
        <w:tabs>
          <w:tab w:leader="none" w:pos="11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208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84705" cy="8890"/>
                    </a:xfrm>
                    <a:prstGeom prst="rect">
                      <a:avLst/>
                    </a:prstGeom>
                    <a:noFill/>
                  </pic:spPr>
                </pic:pic>
              </a:graphicData>
            </a:graphic>
          </wp:anchor>
        </w:drawing>
      </w:r>
    </w:p>
    <w:p>
      <w:pPr>
        <w:spacing w:after="0" w:line="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8, 2021</w:t>
      </w:r>
      <w:r>
        <w:rPr>
          <w:sz w:val="20"/>
          <w:szCs w:val="20"/>
          <w:color w:val="auto"/>
        </w:rPr>
        <w:tab/>
      </w:r>
      <w:r>
        <w:rPr>
          <w:rFonts w:ascii="Times New Roman" w:cs="Times New Roman" w:eastAsia="Times New Roman" w:hAnsi="Times New Roman"/>
          <w:sz w:val="17"/>
          <w:szCs w:val="17"/>
          <w:color w:val="auto"/>
        </w:rPr>
        <w:t>G. Patrick Lynch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20"/>
          </w:cols>
          <w:pgMar w:left="320" w:top="117" w:right="359" w:bottom="1440" w:gutter="0" w:footer="0" w:header="0"/>
        </w:sectPr>
      </w:pPr>
    </w:p>
    <w:bookmarkStart w:id="29" w:name="page30"/>
    <w:bookmarkEnd w:id="29"/>
    <w:p>
      <w:pPr>
        <w:ind w:left="101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4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8"/>
        <w:spacing w:after="0" w:line="282" w:lineRule="auto"/>
        <w:tabs>
          <w:tab w:leader="none" w:pos="4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66" w:lineRule="auto"/>
        <w:tabs>
          <w:tab w:leader="none" w:pos="4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0" w:firstLine="458"/>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458"/>
        <w:spacing w:after="0" w:line="266" w:lineRule="auto"/>
        <w:tabs>
          <w:tab w:leader="none" w:pos="10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60" w:firstLine="458"/>
        <w:spacing w:after="0" w:line="282" w:lineRule="auto"/>
        <w:tabs>
          <w:tab w:leader="none" w:pos="10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20" w:firstLine="458"/>
        <w:spacing w:after="0" w:line="266" w:lineRule="auto"/>
        <w:tabs>
          <w:tab w:leader="none" w:pos="10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4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680" w:firstLine="458"/>
        <w:spacing w:after="0" w:line="282" w:lineRule="auto"/>
        <w:tabs>
          <w:tab w:leader="none" w:pos="10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60" w:firstLine="458"/>
        <w:spacing w:after="0" w:line="282" w:lineRule="auto"/>
        <w:tabs>
          <w:tab w:leader="none" w:pos="10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21139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7"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January 8, 2021</w:t>
      </w:r>
      <w:r>
        <w:rPr>
          <w:sz w:val="20"/>
          <w:szCs w:val="20"/>
          <w:color w:val="auto"/>
        </w:rPr>
        <w:tab/>
      </w:r>
      <w:r>
        <w:rPr>
          <w:rFonts w:ascii="Times New Roman" w:cs="Times New Roman" w:eastAsia="Times New Roman" w:hAnsi="Times New Roman"/>
          <w:sz w:val="17"/>
          <w:szCs w:val="17"/>
          <w:color w:val="auto"/>
        </w:rPr>
        <w:t>Matthew C. Wolsfeld, CPA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20"/>
          </w:cols>
          <w:pgMar w:left="320" w:top="117" w:right="359" w:bottom="1440" w:gutter="0" w:footer="0" w:header="0"/>
        </w:sectPr>
      </w:pPr>
    </w:p>
    <w:bookmarkStart w:id="30" w:name="page31"/>
    <w:bookmarkEnd w:id="30"/>
    <w:p>
      <w:pPr>
        <w:ind w:left="101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November 30, 2020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700" w:hanging="792"/>
        <w:spacing w:after="0"/>
        <w:tabs>
          <w:tab w:leader="none" w:pos="1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00" w:hanging="792"/>
        <w:spacing w:after="0"/>
        <w:tabs>
          <w:tab w:leader="none" w:pos="1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2021</w:t>
      </w:r>
    </w:p>
    <w:p>
      <w:pPr>
        <w:sectPr>
          <w:pgSz w:w="11900" w:h="16838" w:orient="portrait"/>
          <w:cols w:equalWidth="0" w:num="1">
            <w:col w:w="11240"/>
          </w:cols>
          <w:pgMar w:left="320" w:top="117" w:right="339" w:bottom="1440" w:gutter="0" w:footer="0" w:header="0"/>
        </w:sectPr>
      </w:pPr>
    </w:p>
    <w:bookmarkStart w:id="31" w:name="page32"/>
    <w:bookmarkEnd w:id="31"/>
    <w:p>
      <w:pPr>
        <w:ind w:left="101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November 30, 2020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740" w:hanging="787"/>
        <w:spacing w:after="0"/>
        <w:tabs>
          <w:tab w:leader="none" w:pos="1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740" w:hanging="787"/>
        <w:spacing w:after="0"/>
        <w:tabs>
          <w:tab w:leader="none" w:pos="17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2021</w:t>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1."/>
      <w:numFmt w:val="decimal"/>
      <w:start w:val="7"/>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decimal"/>
      <w:start w:val="8"/>
    </w:lvl>
  </w:abstractNum>
  <w:abstractNum w:abstractNumId="8">
    <w:nsid w:val="257130A3"/>
    <w:multiLevelType w:val="hybridMultilevel"/>
    <w:lvl w:ilvl="0">
      <w:lvlJc w:val="left"/>
      <w:lvlText w:val="%1."/>
      <w:numFmt w:val="decimal"/>
      <w:start w:val="9"/>
    </w:lvl>
  </w:abstractNum>
  <w:abstractNum w:abstractNumId="9">
    <w:nsid w:val="62BBD95A"/>
    <w:multiLevelType w:val="hybridMultilevel"/>
    <w:lvl w:ilvl="0">
      <w:lvlJc w:val="left"/>
      <w:lvlText w:val="%1."/>
      <w:numFmt w:val="decimal"/>
      <w:start w:val="10"/>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2"/>
    </w:lvl>
  </w:abstractNum>
  <w:abstractNum w:abstractNumId="13">
    <w:nsid w:val="721DA317"/>
    <w:multiLevelType w:val="hybridMultilevel"/>
    <w:lvl w:ilvl="0">
      <w:lvlJc w:val="left"/>
      <w:lvlText w:val="%1."/>
      <w:numFmt w:val="decimal"/>
      <w:start w:val="13"/>
    </w:lvl>
  </w:abstractNum>
  <w:abstractNum w:abstractNumId="14">
    <w:nsid w:val="2443A858"/>
    <w:multiLevelType w:val="hybridMultilevel"/>
    <w:lvl w:ilvl="0">
      <w:lvlJc w:val="left"/>
      <w:lvlText w:val="%1."/>
      <w:numFmt w:val="decimal"/>
      <w:start w:val="14"/>
    </w:lvl>
  </w:abstractNum>
  <w:abstractNum w:abstractNumId="15">
    <w:nsid w:val="2D1D5AE9"/>
    <w:multiLevelType w:val="hybridMultilevel"/>
    <w:lvl w:ilvl="0">
      <w:lvlJc w:val="left"/>
      <w:lvlText w:val="%1."/>
      <w:numFmt w:val="decimal"/>
      <w:start w:val="15"/>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2021-01-08T08:03:27Z</dcterms:created>
  <dcterms:modified xsi:type="dcterms:W3CDTF">2021-01-08T08:03:27Z</dcterms:modified>
</cp:coreProperties>
</file>