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______________________________</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 w:lineRule="exact"/>
        <w:rPr>
          <w:sz w:val="24"/>
          <w:szCs w:val="24"/>
          <w:color w:val="auto"/>
        </w:rPr>
      </w:pPr>
    </w:p>
    <w:p>
      <w:pPr>
        <w:ind w:left="3840" w:right="2220" w:hanging="3835"/>
        <w:spacing w:after="0" w:line="509" w:lineRule="auto"/>
        <w:tabs>
          <w:tab w:leader="none" w:pos="25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February 28, 2013</w:t>
      </w:r>
    </w:p>
    <w:p>
      <w:pPr>
        <w:spacing w:after="0" w:line="1" w:lineRule="exact"/>
        <w:rPr>
          <w:sz w:val="24"/>
          <w:szCs w:val="24"/>
          <w:color w:val="auto"/>
        </w:rPr>
      </w:pPr>
    </w:p>
    <w:p>
      <w:pPr>
        <w:ind w:left="3020" w:right="2200" w:hanging="3015"/>
        <w:spacing w:after="0" w:line="584" w:lineRule="auto"/>
        <w:tabs>
          <w:tab w:leader="none" w:pos="15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TRANSITION REPORT PURSUANT TO SECTION 13 OR 15(d) OF THE SECURITIES EXCHANGE ACT OF 1934 </w:t>
      </w:r>
      <w:r>
        <w:rPr>
          <w:rFonts w:ascii="Arial" w:cs="Arial" w:eastAsia="Arial" w:hAnsi="Arial"/>
          <w:sz w:val="16"/>
          <w:szCs w:val="16"/>
          <w:color w:val="auto"/>
        </w:rPr>
        <w:t>For the transition period from ________________ to 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001-11038</w:t>
      </w:r>
    </w:p>
    <w:p>
      <w:pPr>
        <w:spacing w:after="0" w:line="22" w:lineRule="exact"/>
        <w:rPr>
          <w:sz w:val="24"/>
          <w:szCs w:val="24"/>
          <w:color w:val="auto"/>
        </w:rPr>
      </w:pPr>
    </w:p>
    <w:p>
      <w:pPr>
        <w:ind w:left="484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18" w:right="259" w:bottom="1440" w:gutter="0" w:footer="0" w:header="0"/>
        </w:sectPr>
      </w:pPr>
    </w:p>
    <w:p>
      <w:pPr>
        <w:spacing w:after="0" w:line="2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Delaware</w:t>
      </w:r>
    </w:p>
    <w:p>
      <w:pPr>
        <w:spacing w:after="0" w:line="22"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41-0857886</w:t>
      </w:r>
    </w:p>
    <w:p>
      <w:pPr>
        <w:spacing w:after="0" w:line="22" w:lineRule="exact"/>
        <w:rPr>
          <w:sz w:val="24"/>
          <w:szCs w:val="24"/>
          <w:color w:val="auto"/>
        </w:rPr>
      </w:pPr>
    </w:p>
    <w:p>
      <w:pPr>
        <w:jc w:val="center"/>
        <w:ind w:right="1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80" w:space="720"/>
            <w:col w:w="4100"/>
          </w:cols>
          <w:pgMar w:left="240" w:top="218" w:right="259" w:bottom="1440" w:gutter="0" w:footer="0" w:header="0"/>
          <w:type w:val="continuous"/>
        </w:sectPr>
      </w:pP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4201 Woodland Road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Circle Pines, Minnesota 55014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(763) 225-6600</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0" w:lineRule="exact"/>
        <w:rPr>
          <w:sz w:val="24"/>
          <w:szCs w:val="24"/>
          <w:color w:val="auto"/>
        </w:rPr>
      </w:pPr>
    </w:p>
    <w:p>
      <w:pPr>
        <w:ind w:right="400" w:firstLine="316"/>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16" w:lineRule="exact"/>
        <w:rPr>
          <w:sz w:val="24"/>
          <w:szCs w:val="24"/>
          <w:color w:val="auto"/>
        </w:rPr>
      </w:pPr>
    </w:p>
    <w:p>
      <w:pPr>
        <w:ind w:firstLine="316"/>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216" w:lineRule="exact"/>
        <w:rPr>
          <w:sz w:val="24"/>
          <w:szCs w:val="24"/>
          <w:color w:val="auto"/>
        </w:rPr>
      </w:pPr>
    </w:p>
    <w:p>
      <w:pPr>
        <w:ind w:right="60" w:firstLine="316"/>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18" w:right="259" w:bottom="1440" w:gutter="0" w:footer="0" w:header="0"/>
          <w:type w:val="continuous"/>
        </w:sectPr>
      </w:pP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(Do not check if a smaller reporting company) [ ]</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7040" w:space="720"/>
            <w:col w:w="3640"/>
          </w:cols>
          <w:pgMar w:left="240" w:top="218" w:right="259" w:bottom="1440" w:gutter="0" w:footer="0" w:header="0"/>
          <w:type w:val="continuous"/>
        </w:sectPr>
      </w:pPr>
    </w:p>
    <w:p>
      <w:pPr>
        <w:spacing w:after="0" w:line="26" w:lineRule="exact"/>
        <w:rPr>
          <w:sz w:val="24"/>
          <w:szCs w:val="24"/>
          <w:color w:val="auto"/>
        </w:rPr>
      </w:pPr>
    </w:p>
    <w:p>
      <w:pPr>
        <w:ind w:left="320"/>
        <w:spacing w:after="0"/>
        <w:tabs>
          <w:tab w:leader="none" w:pos="84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 ]  NO [x]</w:t>
      </w:r>
    </w:p>
    <w:p>
      <w:pPr>
        <w:spacing w:after="0" w:line="24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April 12, 2013, there were 4,421,870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410210</wp:posOffset>
            </wp:positionV>
            <wp:extent cx="725424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18"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5"/>
          </w:tcPr>
          <w:p>
            <w:pPr>
              <w:spacing w:after="0"/>
              <w:rPr>
                <w:sz w:val="20"/>
                <w:szCs w:val="20"/>
                <w:color w:val="auto"/>
              </w:rPr>
            </w:pPr>
            <w:r>
              <w:rPr>
                <w:rFonts w:ascii="Arial" w:cs="Arial" w:eastAsia="Arial" w:hAnsi="Arial"/>
                <w:sz w:val="18"/>
                <w:szCs w:val="18"/>
                <w:b w:val="1"/>
                <w:bCs w:val="1"/>
                <w:color w:val="auto"/>
                <w:w w:val="90"/>
              </w:rPr>
              <w:t>Description</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gridSpan w:val="6"/>
          </w:tcPr>
          <w:p>
            <w:pPr>
              <w:ind w:left="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1010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71"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February 28, 2013 (unaudited) and August 31, 2012</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100" w:type="dxa"/>
            <w:vAlign w:val="bottom"/>
            <w:gridSpan w:val="19"/>
            <w:shd w:val="clear" w:color="auto" w:fill="CCEEFF"/>
          </w:tcPr>
          <w:p>
            <w:pPr>
              <w:spacing w:after="0" w:line="171"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Statements of Operations (unaudited) for the Three and Six Months Ended February 28, 2013 and February 29, 2012</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100" w:type="dxa"/>
            <w:vAlign w:val="bottom"/>
            <w:gridSpan w:val="19"/>
            <w:shd w:val="clear" w:color="auto" w:fill="CCEEFF"/>
          </w:tcPr>
          <w:p>
            <w:pPr>
              <w:spacing w:after="0" w:line="171"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Statements of Comprehensive Income (unaudited) for the Three and Six Months Ended February 28, 2013 and February 29,</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0000EE"/>
            </w:tcBorders>
            <w:gridSpan w:val="2"/>
            <w:shd w:val="clear" w:color="auto" w:fill="CCEEFF"/>
          </w:tcPr>
          <w:p>
            <w:pPr>
              <w:spacing w:after="0" w:line="191" w:lineRule="exact"/>
              <w:rPr>
                <w:rFonts w:ascii="Arial" w:cs="Arial" w:eastAsia="Arial" w:hAnsi="Arial"/>
                <w:sz w:val="18"/>
                <w:szCs w:val="18"/>
                <w:color w:val="0000EE"/>
              </w:rPr>
            </w:pPr>
            <w:hyperlink w:anchor="page6">
              <w:r>
                <w:rPr>
                  <w:rFonts w:ascii="Arial" w:cs="Arial" w:eastAsia="Arial" w:hAnsi="Arial"/>
                  <w:sz w:val="18"/>
                  <w:szCs w:val="18"/>
                  <w:color w:val="0000EE"/>
                </w:rPr>
                <w:t>2012</w:t>
              </w:r>
            </w:hyperlink>
          </w:p>
        </w:tc>
        <w:tc>
          <w:tcPr>
            <w:tcW w:w="1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0000EE"/>
            </w:tcBorders>
            <w:shd w:val="clear" w:color="auto" w:fill="CCEEFF"/>
          </w:tcPr>
          <w:p>
            <w:pPr>
              <w:spacing w:after="0"/>
              <w:rPr>
                <w:sz w:val="18"/>
                <w:szCs w:val="18"/>
                <w:color w:val="auto"/>
              </w:rPr>
            </w:pPr>
          </w:p>
        </w:tc>
        <w:tc>
          <w:tcPr>
            <w:tcW w:w="166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8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14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0000EE"/>
            </w:tcBorders>
            <w:shd w:val="clear" w:color="auto" w:fill="CCEEFF"/>
          </w:tcPr>
          <w:p>
            <w:pPr>
              <w:spacing w:after="0"/>
              <w:rPr>
                <w:sz w:val="18"/>
                <w:szCs w:val="18"/>
                <w:color w:val="auto"/>
              </w:rPr>
            </w:pPr>
          </w:p>
        </w:tc>
        <w:tc>
          <w:tcPr>
            <w:tcW w:w="50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Six Months Ended February 28, 2013 and February 29, 2012</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8">
              <w:r>
                <w:rPr>
                  <w:rFonts w:ascii="Arial" w:cs="Arial" w:eastAsia="Arial" w:hAnsi="Arial"/>
                  <w:sz w:val="18"/>
                  <w:szCs w:val="18"/>
                  <w:color w:val="0000EE"/>
                </w:rPr>
                <w:t>7-17</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71"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w w:val="82"/>
              </w:rPr>
            </w:pPr>
            <w:hyperlink w:anchor="page19">
              <w:r>
                <w:rPr>
                  <w:rFonts w:ascii="Arial" w:cs="Arial" w:eastAsia="Arial" w:hAnsi="Arial"/>
                  <w:sz w:val="18"/>
                  <w:szCs w:val="18"/>
                  <w:color w:val="0000EE"/>
                  <w:w w:val="82"/>
                </w:rPr>
                <w:t>18-31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71"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71"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1010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Item 1.</w:t>
              </w:r>
            </w:hyperlink>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10100" w:type="dxa"/>
            <w:vAlign w:val="bottom"/>
            <w:gridSpan w:val="19"/>
            <w:shd w:val="clear" w:color="auto" w:fill="CCEEFF"/>
          </w:tcPr>
          <w:p>
            <w:pPr>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w w:val="82"/>
              </w:rPr>
            </w:pPr>
            <w:hyperlink w:anchor="page33">
              <w:r>
                <w:rPr>
                  <w:rFonts w:ascii="Arial" w:cs="Arial" w:eastAsia="Arial" w:hAnsi="Arial"/>
                  <w:sz w:val="18"/>
                  <w:szCs w:val="18"/>
                  <w:color w:val="0000EE"/>
                  <w:w w:val="82"/>
                </w:rPr>
                <w:t>32-33</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1000" w:type="dxa"/>
            <w:vAlign w:val="bottom"/>
            <w:gridSpan w:val="23"/>
            <w:shd w:val="clear" w:color="auto" w:fill="CCEEFF"/>
          </w:tcPr>
          <w:p>
            <w:pPr>
              <w:spacing w:after="0" w:line="171"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SIGNATURE PAGE</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1000" w:type="dxa"/>
            <w:vAlign w:val="bottom"/>
            <w:gridSpan w:val="23"/>
            <w:shd w:val="clear" w:color="auto" w:fill="CCEEFF"/>
          </w:tcPr>
          <w:p>
            <w:pPr>
              <w:spacing w:after="0" w:line="171"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EXHIBIT INDEX</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gridSpan w:val="2"/>
          </w:tcPr>
          <w:p>
            <w:pPr>
              <w:spacing w:after="0"/>
              <w:rPr>
                <w:sz w:val="19"/>
                <w:szCs w:val="19"/>
                <w:color w:val="auto"/>
              </w:rPr>
            </w:pPr>
          </w:p>
        </w:tc>
        <w:tc>
          <w:tcPr>
            <w:tcW w:w="5680" w:type="dxa"/>
            <w:vAlign w:val="bottom"/>
            <w:tcBorders>
              <w:top w:val="single" w:sz="8" w:color="CCEEFF"/>
            </w:tcBorders>
            <w:gridSpan w:val="12"/>
          </w:tcPr>
          <w:p>
            <w:pPr>
              <w:jc w:val="right"/>
              <w:ind w:right="580"/>
              <w:spacing w:after="0"/>
              <w:rPr>
                <w:sz w:val="20"/>
                <w:szCs w:val="20"/>
                <w:color w:val="auto"/>
              </w:rPr>
            </w:pPr>
            <w:r>
              <w:rPr>
                <w:rFonts w:ascii="Arial" w:cs="Arial" w:eastAsia="Arial" w:hAnsi="Arial"/>
                <w:sz w:val="18"/>
                <w:szCs w:val="18"/>
                <w:color w:val="auto"/>
              </w:rPr>
              <w:t>_________________</w:t>
            </w:r>
          </w:p>
        </w:tc>
        <w:tc>
          <w:tcPr>
            <w:tcW w:w="240" w:type="dxa"/>
            <w:vAlign w:val="bottom"/>
            <w:tcBorders>
              <w:top w:val="single" w:sz="8" w:color="CCEEFF"/>
            </w:tcBorders>
          </w:tcPr>
          <w:p>
            <w:pPr>
              <w:spacing w:after="0"/>
              <w:rPr>
                <w:sz w:val="19"/>
                <w:szCs w:val="19"/>
                <w:color w:val="auto"/>
              </w:rPr>
            </w:pPr>
          </w:p>
        </w:tc>
        <w:tc>
          <w:tcPr>
            <w:tcW w:w="214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t>_________________</w:t>
      </w:r>
    </w:p>
    <w:p>
      <w:pPr>
        <w:spacing w:after="0" w:line="241"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subsidiaries, Zerust Prevenção de Corrosão S.A. and NTI Asean LLC, all of which are consolidated on NTIC’s consolidated financial statements.</w:t>
      </w:r>
    </w:p>
    <w:p>
      <w:pPr>
        <w:spacing w:after="0" w:line="18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NTIC’s consolidated financial statements do not include the accounts of any of its joint ventures. Except as otherwise indicated, references in this report to NTIC’s joint ventures do not include NTIC’s majority owned Brazilian subsidiary, Zerust Prevenção de Corrosão S.A., or NTIC’s majority owned subsidiary, NTI Asean LLC, which is a holding company that holds investments in eight entities that operate in the Association of Southeast Asian Nations (ASEAN) region, including the following countries: China, Indonesia, Korea, Malaysia, Philippines, Singapore, Taiwan and Thailand.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 owned Brazilian subsidiary, Zerust Prevenção de Corrosão S.A.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 Asean” refer to NTIC’s majority owned holding company subsidiary, NTI Asean LLC.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“HNTI” refer to NTIC’s joint venture in India, Harita NTI Limited.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used in this report, references to “EXCOR” refer to NTIC’s primary joint venture in Germany, Excor Korrosionsschutz – Technologien und Produkte GmbH.</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20"/>
          </w:cols>
          <w:pgMar w:left="240" w:top="27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6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FEBRUARY 28, 2013 (UNAUDITED)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2012 (AUDITED)</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29"/>
        </w:trPr>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ASSETS</w:t>
            </w:r>
          </w:p>
        </w:tc>
        <w:tc>
          <w:tcPr>
            <w:tcW w:w="8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80" w:type="dxa"/>
            <w:vAlign w:val="bottom"/>
            <w:gridSpan w:val="2"/>
            <w:vMerge w:val="continue"/>
          </w:tcPr>
          <w:p>
            <w:pPr>
              <w:spacing w:after="0"/>
              <w:rPr>
                <w:sz w:val="16"/>
                <w:szCs w:val="16"/>
                <w:color w:val="auto"/>
              </w:rPr>
            </w:pPr>
          </w:p>
        </w:tc>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ind w:left="1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4,261,145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4,137,547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22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0"/>
              </w:rPr>
              <w:t>Trade excluding joint ventures, less allowance for doubtful accounts of $20,000 at February 28, 2013 and August 31, 2012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2,752,750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2,516,961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380"/>
              <w:spacing w:after="0"/>
              <w:rPr>
                <w:sz w:val="20"/>
                <w:szCs w:val="20"/>
                <w:color w:val="auto"/>
              </w:rPr>
            </w:pPr>
            <w:r>
              <w:rPr>
                <w:rFonts w:ascii="Arial" w:cs="Arial" w:eastAsia="Arial" w:hAnsi="Arial"/>
                <w:sz w:val="18"/>
                <w:szCs w:val="18"/>
                <w:color w:val="auto"/>
              </w:rPr>
              <w:t>Trade joint ventures</w:t>
            </w: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982,009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734,543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2,437,920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1,316,933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38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109,677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58,129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5,153,531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4,151,197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22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640,286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548,331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bottom w:val="single" w:sz="8" w:color="CCEEFF"/>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596,085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596,085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560" w:type="dxa"/>
            <w:vAlign w:val="bottom"/>
          </w:tcPr>
          <w:p>
            <w:pPr>
              <w:ind w:left="20"/>
              <w:spacing w:after="0" w:line="204" w:lineRule="exact"/>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
              <w:spacing w:after="0" w:line="204" w:lineRule="exact"/>
              <w:rPr>
                <w:sz w:val="20"/>
                <w:szCs w:val="20"/>
                <w:color w:val="auto"/>
              </w:rPr>
            </w:pPr>
            <w:r>
              <w:rPr>
                <w:rFonts w:ascii="Arial" w:cs="Arial" w:eastAsia="Arial" w:hAnsi="Arial"/>
                <w:sz w:val="18"/>
                <w:szCs w:val="18"/>
                <w:color w:val="auto"/>
                <w:w w:val="88"/>
              </w:rPr>
              <w:t>16,933,403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w w:val="86"/>
              </w:rPr>
              <w:t>14,059,726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220" w:type="dxa"/>
            <w:vAlign w:val="bottom"/>
            <w:tcBorders>
              <w:right w:val="single" w:sz="8" w:color="CCEEFF"/>
            </w:tcBorders>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4,182,735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4,288,618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220" w:type="dxa"/>
            <w:vAlign w:val="bottom"/>
            <w:tcBorders>
              <w:right w:val="single" w:sz="8" w:color="CCEEFF"/>
            </w:tcBorders>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1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Investments in joint ventures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22,189,562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21,461,492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1,030,610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1,030,610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Patents and trademarks, net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1,027,097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961,181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w w:val="93"/>
              </w:rPr>
              <w:t>Other</w:t>
            </w:r>
          </w:p>
        </w:tc>
        <w:tc>
          <w:tcPr>
            <w:tcW w:w="8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76,000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560" w:type="dxa"/>
            <w:vAlign w:val="bottom"/>
            <w:tcBorders>
              <w:bottom w:val="single" w:sz="8" w:color="CCEEFF"/>
              <w:right w:val="single" w:sz="8" w:color="CCEEFF"/>
            </w:tcBorders>
            <w:shd w:val="clear" w:color="auto" w:fill="CCEEFF"/>
          </w:tcPr>
          <w:p>
            <w:pPr>
              <w:ind w:left="80"/>
              <w:spacing w:after="0" w:line="204" w:lineRule="exact"/>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24,323,269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6"/>
              </w:rPr>
              <w:t>23,529,283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560" w:type="dxa"/>
            <w:vAlign w:val="bottom"/>
          </w:tcPr>
          <w:p>
            <w:pPr>
              <w:ind w:left="80"/>
              <w:spacing w:after="0" w:line="204" w:lineRule="exact"/>
              <w:rPr>
                <w:sz w:val="20"/>
                <w:szCs w:val="20"/>
                <w:color w:val="auto"/>
              </w:rPr>
            </w:pPr>
            <w:r>
              <w:rPr>
                <w:rFonts w:ascii="Arial" w:cs="Arial" w:eastAsia="Arial" w:hAnsi="Arial"/>
                <w:sz w:val="18"/>
                <w:szCs w:val="18"/>
                <w:color w:val="auto"/>
              </w:rPr>
              <w:t>Total assets</w:t>
            </w:r>
          </w:p>
        </w:tc>
        <w:tc>
          <w:tcPr>
            <w:tcW w:w="14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color w:val="auto"/>
                <w:w w:val="88"/>
              </w:rPr>
              <w:t>45,439,407</w:t>
            </w:r>
          </w:p>
        </w:tc>
        <w:tc>
          <w:tcPr>
            <w:tcW w:w="2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86"/>
              </w:rPr>
              <w:t>41,877,627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9220" w:type="dxa"/>
            <w:vAlign w:val="bottom"/>
            <w:tcBorders>
              <w:right w:val="single" w:sz="8" w:color="CCEEFF"/>
            </w:tcBorders>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220"/>
              <w:spacing w:after="0"/>
              <w:rPr>
                <w:sz w:val="20"/>
                <w:szCs w:val="20"/>
                <w:color w:val="auto"/>
              </w:rPr>
            </w:pPr>
            <w:r>
              <w:rPr>
                <w:rFonts w:ascii="Arial" w:cs="Arial" w:eastAsia="Arial" w:hAnsi="Arial"/>
                <w:sz w:val="18"/>
                <w:szCs w:val="18"/>
                <w:color w:val="auto"/>
              </w:rPr>
              <w:t>Current portion of note payable</w:t>
            </w: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77,090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76,120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1,254,432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1,818,309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Payroll and related benefits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623,830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1,565,866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380"/>
              <w:spacing w:after="0"/>
              <w:rPr>
                <w:sz w:val="20"/>
                <w:szCs w:val="20"/>
                <w:color w:val="auto"/>
              </w:rPr>
            </w:pPr>
            <w:r>
              <w:rPr>
                <w:rFonts w:ascii="Arial" w:cs="Arial" w:eastAsia="Arial" w:hAnsi="Arial"/>
                <w:sz w:val="18"/>
                <w:szCs w:val="18"/>
                <w:color w:val="auto"/>
              </w:rPr>
              <w:t>Deferred joint venture royalties</w:t>
            </w: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288,000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bottom w:val="single" w:sz="8" w:color="CCEEFF"/>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100,484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251,350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560" w:type="dxa"/>
            <w:vAlign w:val="bottom"/>
          </w:tcPr>
          <w:p>
            <w:pPr>
              <w:ind w:left="180"/>
              <w:spacing w:after="0" w:line="204"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7"/>
                <w:szCs w:val="17"/>
                <w:color w:val="auto"/>
              </w:rPr>
            </w:pP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color w:val="auto"/>
                <w:w w:val="99"/>
              </w:rPr>
              <w:t>2,343,836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3,999,645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120"/>
              <w:spacing w:after="0"/>
              <w:rPr>
                <w:sz w:val="20"/>
                <w:szCs w:val="20"/>
                <w:color w:val="auto"/>
              </w:rPr>
            </w:pPr>
            <w:r>
              <w:rPr>
                <w:rFonts w:ascii="Arial" w:cs="Arial" w:eastAsia="Arial" w:hAnsi="Arial"/>
                <w:sz w:val="18"/>
                <w:szCs w:val="18"/>
                <w:color w:val="auto"/>
              </w:rPr>
              <w:t>NOTE PAYABLE, NET OF CURRENT PORTION (Note 7)</w:t>
            </w: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894,384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933,413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120"/>
              <w:spacing w:after="0"/>
              <w:rPr>
                <w:sz w:val="20"/>
                <w:szCs w:val="20"/>
                <w:color w:val="auto"/>
              </w:rPr>
            </w:pPr>
            <w:r>
              <w:rPr>
                <w:rFonts w:ascii="Arial" w:cs="Arial" w:eastAsia="Arial" w:hAnsi="Arial"/>
                <w:sz w:val="18"/>
                <w:szCs w:val="18"/>
                <w:color w:val="auto"/>
              </w:rPr>
              <w:t>COMMITMENTS AND CONTINGENCIES (Note 13)</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1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220" w:type="dxa"/>
            <w:vAlign w:val="bottom"/>
            <w:gridSpan w:val="2"/>
          </w:tcPr>
          <w:p>
            <w:pPr>
              <w:ind w:left="220"/>
              <w:spacing w:after="0" w:line="199" w:lineRule="exact"/>
              <w:rPr>
                <w:sz w:val="20"/>
                <w:szCs w:val="20"/>
                <w:color w:val="auto"/>
              </w:rPr>
            </w:pPr>
            <w:r>
              <w:rPr>
                <w:rFonts w:ascii="Arial" w:cs="Arial" w:eastAsia="Arial" w:hAnsi="Arial"/>
                <w:sz w:val="18"/>
                <w:szCs w:val="18"/>
                <w:color w:val="auto"/>
                <w:w w:val="90"/>
              </w:rPr>
              <w:t>Common stock, $0.02 par value per share; authorized 10,000,000 shares; issued and outstanding 4,418,821 and 4,403,656,</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ind w:left="22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88,376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88,073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11,399,966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11,130,966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26,084,067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25,260,034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bottom w:val="single" w:sz="8" w:color="CCEEFF"/>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618,099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277,583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560" w:type="dxa"/>
            <w:vAlign w:val="bottom"/>
          </w:tcPr>
          <w:p>
            <w:pPr>
              <w:ind w:left="40"/>
              <w:spacing w:after="0" w:line="204" w:lineRule="exact"/>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7"/>
                <w:szCs w:val="17"/>
                <w:color w:val="auto"/>
              </w:rPr>
            </w:pP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color w:val="auto"/>
                <w:w w:val="88"/>
              </w:rPr>
              <w:t>38,190,508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86"/>
              </w:rPr>
              <w:t>36,756,656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tcBorders>
              <w:bottom w:val="single" w:sz="8" w:color="CCEEFF"/>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4,010,679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560" w:type="dxa"/>
            <w:vAlign w:val="bottom"/>
          </w:tcPr>
          <w:p>
            <w:pPr>
              <w:ind w:left="40"/>
              <w:spacing w:after="0" w:line="204" w:lineRule="exact"/>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
              <w:spacing w:after="0" w:line="204" w:lineRule="exact"/>
              <w:rPr>
                <w:sz w:val="20"/>
                <w:szCs w:val="20"/>
                <w:color w:val="auto"/>
              </w:rPr>
            </w:pPr>
            <w:r>
              <w:rPr>
                <w:rFonts w:ascii="Arial" w:cs="Arial" w:eastAsia="Arial" w:hAnsi="Arial"/>
                <w:sz w:val="18"/>
                <w:szCs w:val="18"/>
                <w:color w:val="auto"/>
                <w:w w:val="88"/>
              </w:rPr>
              <w:t>42,201,187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w w:val="86"/>
              </w:rPr>
              <w:t>36,944,569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560" w:type="dxa"/>
            <w:vAlign w:val="bottom"/>
            <w:tcBorders>
              <w:right w:val="single" w:sz="8" w:color="CCEEFF"/>
            </w:tcBorders>
            <w:shd w:val="clear" w:color="auto" w:fill="CCEEFF"/>
          </w:tcPr>
          <w:p>
            <w:pPr>
              <w:ind w:left="40"/>
              <w:spacing w:after="0" w:line="204" w:lineRule="exact"/>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45,439,407</w:t>
            </w:r>
          </w:p>
        </w:tc>
        <w:tc>
          <w:tcPr>
            <w:tcW w:w="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6"/>
              </w:rPr>
              <w:t>41,877,627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40"/>
          </w:cols>
          <w:pgMar w:left="240" w:top="266"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28, 2013 AND 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266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6" w:lineRule="exact"/>
              <w:rPr>
                <w:sz w:val="20"/>
                <w:szCs w:val="20"/>
                <w:color w:val="auto"/>
              </w:rPr>
            </w:pPr>
            <w:r>
              <w:rPr>
                <w:rFonts w:ascii="Arial" w:cs="Arial" w:eastAsia="Arial" w:hAnsi="Arial"/>
                <w:sz w:val="18"/>
                <w:szCs w:val="18"/>
                <w:b w:val="1"/>
                <w:bCs w:val="1"/>
                <w:color w:val="auto"/>
                <w:w w:val="98"/>
              </w:rPr>
              <w:t>February 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132"/>
              <w:spacing w:after="0" w:line="186" w:lineRule="exact"/>
              <w:rPr>
                <w:sz w:val="20"/>
                <w:szCs w:val="20"/>
                <w:color w:val="auto"/>
              </w:rPr>
            </w:pPr>
            <w:r>
              <w:rPr>
                <w:rFonts w:ascii="Arial" w:cs="Arial" w:eastAsia="Arial" w:hAnsi="Arial"/>
                <w:sz w:val="18"/>
                <w:szCs w:val="18"/>
                <w:b w:val="1"/>
                <w:bCs w:val="1"/>
                <w:color w:val="auto"/>
                <w:w w:val="89"/>
              </w:rPr>
              <w:t>February 28,</w:t>
            </w:r>
          </w:p>
        </w:tc>
        <w:tc>
          <w:tcPr>
            <w:tcW w:w="1180" w:type="dxa"/>
            <w:vAlign w:val="bottom"/>
            <w:gridSpan w:val="3"/>
          </w:tcPr>
          <w:p>
            <w:pPr>
              <w:ind w:left="100"/>
              <w:spacing w:after="0" w:line="186" w:lineRule="exact"/>
              <w:rPr>
                <w:sz w:val="20"/>
                <w:szCs w:val="20"/>
                <w:color w:val="auto"/>
              </w:rPr>
            </w:pPr>
            <w:r>
              <w:rPr>
                <w:rFonts w:ascii="Arial" w:cs="Arial" w:eastAsia="Arial" w:hAnsi="Arial"/>
                <w:sz w:val="18"/>
                <w:szCs w:val="18"/>
                <w:b w:val="1"/>
                <w:bCs w:val="1"/>
                <w:color w:val="auto"/>
                <w:w w:val="98"/>
              </w:rPr>
              <w:t>February 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4"/>
        </w:trPr>
        <w:tc>
          <w:tcPr>
            <w:tcW w:w="6560" w:type="dxa"/>
            <w:vAlign w:val="bottom"/>
            <w:gridSpan w:val="2"/>
          </w:tcPr>
          <w:p>
            <w:pPr>
              <w:spacing w:after="0" w:line="204" w:lineRule="exact"/>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sales, excluding joint ventures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4,485,203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4,125,618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9,255,590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8,403,261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Pr>
          <w:p>
            <w:pPr>
              <w:ind w:left="300"/>
              <w:spacing w:after="0"/>
              <w:rPr>
                <w:sz w:val="20"/>
                <w:szCs w:val="20"/>
                <w:color w:val="auto"/>
              </w:rPr>
            </w:pPr>
            <w:r>
              <w:rPr>
                <w:rFonts w:ascii="Arial" w:cs="Arial" w:eastAsia="Arial" w:hAnsi="Arial"/>
                <w:sz w:val="18"/>
                <w:szCs w:val="18"/>
                <w:color w:val="auto"/>
              </w:rPr>
              <w:t>Net sales, to joint ventures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761,147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848,710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1,282,507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1,403,181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540" w:type="dxa"/>
            <w:vAlign w:val="bottom"/>
            <w:shd w:val="clear" w:color="auto" w:fill="CCEEFF"/>
          </w:tcPr>
          <w:p>
            <w:pPr>
              <w:ind w:left="560"/>
              <w:spacing w:after="0" w:line="204" w:lineRule="exact"/>
              <w:rPr>
                <w:sz w:val="20"/>
                <w:szCs w:val="20"/>
                <w:color w:val="auto"/>
              </w:rPr>
            </w:pPr>
            <w:r>
              <w:rPr>
                <w:rFonts w:ascii="Arial" w:cs="Arial" w:eastAsia="Arial" w:hAnsi="Arial"/>
                <w:sz w:val="18"/>
                <w:szCs w:val="18"/>
                <w:color w:val="auto"/>
              </w:rPr>
              <w:t>Total net sales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5,246,350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4,974,328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10,538,097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9,806,442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3,633,913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3,480,082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7,324,885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6,689,558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540" w:type="dxa"/>
            <w:vAlign w:val="bottom"/>
          </w:tcPr>
          <w:p>
            <w:pPr>
              <w:ind w:left="200"/>
              <w:spacing w:after="0" w:line="204" w:lineRule="exact"/>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1,612,437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1,494,246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2"/>
              <w:spacing w:after="0" w:line="204" w:lineRule="exact"/>
              <w:rPr>
                <w:sz w:val="20"/>
                <w:szCs w:val="20"/>
                <w:color w:val="auto"/>
              </w:rPr>
            </w:pPr>
            <w:r>
              <w:rPr>
                <w:rFonts w:ascii="Arial" w:cs="Arial" w:eastAsia="Arial" w:hAnsi="Arial"/>
                <w:sz w:val="18"/>
                <w:szCs w:val="18"/>
                <w:color w:val="auto"/>
              </w:rPr>
              <w:t>3,213,212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3,116,884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in income of joint ventures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1,138,438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1,224,675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2,292,734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2,582,355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Fees for services provided to joint ventures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1,770,881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1,298,126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3,617,158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2,743,378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540" w:type="dxa"/>
            <w:vAlign w:val="bottom"/>
            <w:shd w:val="clear" w:color="auto" w:fill="CCEEFF"/>
          </w:tcPr>
          <w:p>
            <w:pPr>
              <w:ind w:left="540"/>
              <w:spacing w:after="0" w:line="204" w:lineRule="exact"/>
              <w:rPr>
                <w:sz w:val="20"/>
                <w:szCs w:val="20"/>
                <w:color w:val="auto"/>
              </w:rPr>
            </w:pPr>
            <w:r>
              <w:rPr>
                <w:rFonts w:ascii="Arial" w:cs="Arial" w:eastAsia="Arial" w:hAnsi="Arial"/>
                <w:sz w:val="18"/>
                <w:szCs w:val="18"/>
                <w:color w:val="auto"/>
              </w:rPr>
              <w:t>Total joint venture operations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2,909,319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2,522,801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5,909,892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5,325,733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Selling expenses</w:t>
            </w: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1,174,065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1,014,082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2,345,160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2,122,568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1,143,987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1,100,812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2,392,683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2,370,825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Expenses incurred in support of joint ventures</w:t>
            </w: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321,456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235,557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691,143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435,821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912,393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974,777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1,850,599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1,789,082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540" w:type="dxa"/>
            <w:vAlign w:val="bottom"/>
          </w:tcPr>
          <w:p>
            <w:pPr>
              <w:ind w:left="560"/>
              <w:spacing w:after="0" w:line="204" w:lineRule="exact"/>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3,551,901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3,325,228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2"/>
              <w:spacing w:after="0" w:line="204" w:lineRule="exact"/>
              <w:rPr>
                <w:sz w:val="20"/>
                <w:szCs w:val="20"/>
                <w:color w:val="auto"/>
              </w:rPr>
            </w:pPr>
            <w:r>
              <w:rPr>
                <w:rFonts w:ascii="Arial" w:cs="Arial" w:eastAsia="Arial" w:hAnsi="Arial"/>
                <w:sz w:val="18"/>
                <w:szCs w:val="18"/>
                <w:color w:val="auto"/>
              </w:rPr>
              <w:t>7,279,585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6,718,296</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969,855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691,819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1,843,519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1,724,321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20,691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985,155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703,991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1,877,691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1,745,412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374,000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206,000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745,155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603,991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1,503,691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1,539,412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INCOME ATTRIBUTABLE TO NON CONTROLLING INTEREST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310,745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679,659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434,410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606,193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824,032</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1,564,950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540" w:type="dxa"/>
            <w:vAlign w:val="bottom"/>
          </w:tcPr>
          <w:p>
            <w:pPr>
              <w:ind w:left="300"/>
              <w:spacing w:after="0" w:line="190" w:lineRule="exact"/>
              <w:rPr>
                <w:sz w:val="20"/>
                <w:szCs w:val="20"/>
                <w:color w:val="auto"/>
              </w:rPr>
            </w:pPr>
            <w:r>
              <w:rPr>
                <w:rFonts w:ascii="Arial" w:cs="Arial" w:eastAsia="Arial" w:hAnsi="Arial"/>
                <w:sz w:val="18"/>
                <w:szCs w:val="18"/>
                <w:color w:val="auto"/>
              </w:rPr>
              <w:t>Diluted</w:t>
            </w:r>
          </w:p>
        </w:tc>
        <w:tc>
          <w:tcPr>
            <w:tcW w:w="18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0.10</w:t>
            </w:r>
          </w:p>
        </w:tc>
        <w:tc>
          <w:tcPr>
            <w:tcW w:w="10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0.14</w:t>
            </w:r>
          </w:p>
        </w:tc>
        <w:tc>
          <w:tcPr>
            <w:tcW w:w="22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0.18</w:t>
            </w:r>
          </w:p>
        </w:tc>
        <w:tc>
          <w:tcPr>
            <w:tcW w:w="280" w:type="dxa"/>
            <w:vAlign w:val="bottom"/>
            <w:gridSpan w:val="2"/>
          </w:tcPr>
          <w:p>
            <w:pPr>
              <w:ind w:left="100"/>
              <w:spacing w:after="0" w:line="19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4,418,821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4,398,356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4,409,954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4,366,932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40" w:type="dxa"/>
            <w:vAlign w:val="bottom"/>
          </w:tcPr>
          <w:p>
            <w:pPr>
              <w:ind w:left="300"/>
              <w:spacing w:after="0" w:line="190"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line="190" w:lineRule="exact"/>
              <w:rPr>
                <w:sz w:val="20"/>
                <w:szCs w:val="20"/>
                <w:color w:val="auto"/>
              </w:rPr>
            </w:pPr>
            <w:r>
              <w:rPr>
                <w:rFonts w:ascii="Arial" w:cs="Arial" w:eastAsia="Arial" w:hAnsi="Arial"/>
                <w:sz w:val="18"/>
                <w:szCs w:val="18"/>
                <w:color w:val="auto"/>
                <w:w w:val="97"/>
              </w:rPr>
              <w:t>4,485,076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line="190" w:lineRule="exact"/>
              <w:rPr>
                <w:sz w:val="20"/>
                <w:szCs w:val="20"/>
                <w:color w:val="auto"/>
              </w:rPr>
            </w:pPr>
            <w:r>
              <w:rPr>
                <w:rFonts w:ascii="Arial" w:cs="Arial" w:eastAsia="Arial" w:hAnsi="Arial"/>
                <w:sz w:val="18"/>
                <w:szCs w:val="18"/>
                <w:color w:val="auto"/>
                <w:w w:val="97"/>
              </w:rPr>
              <w:t>4,466,435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
              <w:spacing w:after="0" w:line="190" w:lineRule="exact"/>
              <w:rPr>
                <w:sz w:val="20"/>
                <w:szCs w:val="20"/>
                <w:color w:val="auto"/>
              </w:rPr>
            </w:pPr>
            <w:r>
              <w:rPr>
                <w:rFonts w:ascii="Arial" w:cs="Arial" w:eastAsia="Arial" w:hAnsi="Arial"/>
                <w:sz w:val="18"/>
                <w:szCs w:val="18"/>
                <w:color w:val="auto"/>
              </w:rPr>
              <w:t>4,460,197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line="190" w:lineRule="exact"/>
              <w:rPr>
                <w:sz w:val="20"/>
                <w:szCs w:val="20"/>
                <w:color w:val="auto"/>
              </w:rPr>
            </w:pPr>
            <w:r>
              <w:rPr>
                <w:rFonts w:ascii="Arial" w:cs="Arial" w:eastAsia="Arial" w:hAnsi="Arial"/>
                <w:sz w:val="18"/>
                <w:szCs w:val="18"/>
                <w:color w:val="auto"/>
                <w:w w:val="97"/>
              </w:rPr>
              <w:t>4,440,001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28, 2013 AND 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266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200" w:type="dxa"/>
            <w:vAlign w:val="bottom"/>
            <w:gridSpan w:val="2"/>
          </w:tcPr>
          <w:p>
            <w:pPr>
              <w:jc w:val="right"/>
              <w:ind w:right="72"/>
              <w:spacing w:after="0" w:line="187"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112"/>
              <w:spacing w:after="0" w:line="187" w:lineRule="exact"/>
              <w:rPr>
                <w:sz w:val="20"/>
                <w:szCs w:val="20"/>
                <w:color w:val="auto"/>
              </w:rPr>
            </w:pPr>
            <w:r>
              <w:rPr>
                <w:rFonts w:ascii="Arial" w:cs="Arial" w:eastAsia="Arial" w:hAnsi="Arial"/>
                <w:sz w:val="18"/>
                <w:szCs w:val="18"/>
                <w:b w:val="1"/>
                <w:bCs w:val="1"/>
                <w:color w:val="auto"/>
                <w:w w:val="89"/>
              </w:rPr>
              <w:t>February 29,</w:t>
            </w:r>
          </w:p>
        </w:tc>
        <w:tc>
          <w:tcPr>
            <w:tcW w:w="100" w:type="dxa"/>
            <w:vAlign w:val="bottom"/>
          </w:tcPr>
          <w:p>
            <w:pPr>
              <w:spacing w:after="0"/>
              <w:rPr>
                <w:sz w:val="16"/>
                <w:szCs w:val="16"/>
                <w:color w:val="auto"/>
              </w:rPr>
            </w:pPr>
          </w:p>
        </w:tc>
        <w:tc>
          <w:tcPr>
            <w:tcW w:w="1160" w:type="dxa"/>
            <w:vAlign w:val="bottom"/>
            <w:gridSpan w:val="2"/>
          </w:tcPr>
          <w:p>
            <w:pPr>
              <w:jc w:val="right"/>
              <w:ind w:right="52"/>
              <w:spacing w:after="0" w:line="187" w:lineRule="exact"/>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16"/>
                <w:szCs w:val="16"/>
                <w:color w:val="auto"/>
              </w:rPr>
            </w:pPr>
          </w:p>
        </w:tc>
        <w:tc>
          <w:tcPr>
            <w:tcW w:w="1220" w:type="dxa"/>
            <w:vAlign w:val="bottom"/>
            <w:gridSpan w:val="2"/>
          </w:tcPr>
          <w:p>
            <w:pPr>
              <w:jc w:val="right"/>
              <w:ind w:right="92"/>
              <w:spacing w:after="0" w:line="187" w:lineRule="exact"/>
              <w:rPr>
                <w:sz w:val="20"/>
                <w:szCs w:val="20"/>
                <w:color w:val="auto"/>
              </w:rPr>
            </w:pPr>
            <w:r>
              <w:rPr>
                <w:rFonts w:ascii="Arial" w:cs="Arial" w:eastAsia="Arial" w:hAnsi="Arial"/>
                <w:sz w:val="18"/>
                <w:szCs w:val="18"/>
                <w:b w:val="1"/>
                <w:bCs w:val="1"/>
                <w:color w:val="auto"/>
                <w:w w:val="95"/>
              </w:rPr>
              <w:t>February 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24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2"/>
              <w:spacing w:after="0" w:line="191"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745,155</w:t>
            </w:r>
          </w:p>
        </w:tc>
        <w:tc>
          <w:tcPr>
            <w:tcW w:w="20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603,991</w:t>
            </w:r>
          </w:p>
        </w:tc>
        <w:tc>
          <w:tcPr>
            <w:tcW w:w="320" w:type="dxa"/>
            <w:vAlign w:val="bottom"/>
            <w:gridSpan w:val="2"/>
            <w:shd w:val="clear" w:color="auto" w:fill="CCEEFF"/>
          </w:tcPr>
          <w:p>
            <w:pPr>
              <w:jc w:val="right"/>
              <w:ind w:right="32"/>
              <w:spacing w:after="0" w:line="191"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191" w:lineRule="exact"/>
              <w:rPr>
                <w:sz w:val="20"/>
                <w:szCs w:val="20"/>
                <w:color w:val="auto"/>
              </w:rPr>
            </w:pPr>
            <w:r>
              <w:rPr>
                <w:rFonts w:ascii="Arial" w:cs="Arial" w:eastAsia="Arial" w:hAnsi="Arial"/>
                <w:sz w:val="18"/>
                <w:szCs w:val="18"/>
                <w:color w:val="auto"/>
                <w:w w:val="99"/>
              </w:rPr>
              <w:t>1,503,691</w:t>
            </w:r>
          </w:p>
        </w:tc>
        <w:tc>
          <w:tcPr>
            <w:tcW w:w="320" w:type="dxa"/>
            <w:vAlign w:val="bottom"/>
            <w:gridSpan w:val="2"/>
            <w:shd w:val="clear" w:color="auto" w:fill="CCEEFF"/>
          </w:tcPr>
          <w:p>
            <w:pPr>
              <w:jc w:val="right"/>
              <w:ind w:right="52"/>
              <w:spacing w:after="0" w:line="19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1,539,412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40" w:type="dxa"/>
            <w:vAlign w:val="bottom"/>
          </w:tcPr>
          <w:p>
            <w:pPr>
              <w:ind w:left="200"/>
              <w:spacing w:after="0" w:line="199" w:lineRule="exact"/>
              <w:rPr>
                <w:sz w:val="20"/>
                <w:szCs w:val="20"/>
                <w:color w:val="auto"/>
              </w:rPr>
            </w:pPr>
            <w:r>
              <w:rPr>
                <w:rFonts w:ascii="Arial" w:cs="Arial" w:eastAsia="Arial" w:hAnsi="Arial"/>
                <w:sz w:val="18"/>
                <w:szCs w:val="18"/>
                <w:color w:val="auto"/>
              </w:rPr>
              <w:t>OTHER COMPREHENSIVE INCOME (LOSS)   – FOREIGN</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gridSpan w:val="2"/>
          </w:tcPr>
          <w:p>
            <w:pPr>
              <w:spacing w:after="0"/>
              <w:rPr>
                <w:sz w:val="20"/>
                <w:szCs w:val="20"/>
                <w:color w:val="auto"/>
              </w:rPr>
            </w:pPr>
            <w:r>
              <w:rPr>
                <w:rFonts w:ascii="Arial" w:cs="Arial" w:eastAsia="Arial" w:hAnsi="Arial"/>
                <w:sz w:val="18"/>
                <w:szCs w:val="18"/>
                <w:color w:val="auto"/>
              </w:rPr>
              <w:t>CURRENCY TRANSLATION  ADJUSTMENT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395,544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(1,253,876)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719,514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538,186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1,899,235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285,536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4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rPr>
              <w:t>COMPREHENSIVE INCOME (LOSS) ATTRIBUTABLE TO</w:t>
            </w:r>
          </w:p>
        </w:tc>
        <w:tc>
          <w:tcPr>
            <w:tcW w:w="2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331,252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734,687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60" w:type="dxa"/>
            <w:vAlign w:val="bottom"/>
            <w:gridSpan w:val="2"/>
          </w:tcPr>
          <w:p>
            <w:pPr>
              <w:spacing w:after="0" w:line="204" w:lineRule="exact"/>
              <w:rPr>
                <w:sz w:val="20"/>
                <w:szCs w:val="20"/>
                <w:color w:val="auto"/>
              </w:rPr>
            </w:pPr>
            <w:r>
              <w:rPr>
                <w:rFonts w:ascii="Arial" w:cs="Arial" w:eastAsia="Arial" w:hAnsi="Arial"/>
                <w:sz w:val="18"/>
                <w:szCs w:val="18"/>
                <w:color w:val="auto"/>
              </w:rPr>
              <w:t>COMPREHENSIVE INCOME (LOSS) ATTRIBUTABLE TO STOCKHOLDERS</w:t>
            </w:r>
          </w:p>
        </w:tc>
        <w:tc>
          <w:tcPr>
            <w:tcW w:w="240" w:type="dxa"/>
            <w:vAlign w:val="bottom"/>
          </w:tcPr>
          <w:p>
            <w:pPr>
              <w:jc w:val="right"/>
              <w:ind w:right="52"/>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line="204" w:lineRule="exact"/>
              <w:rPr>
                <w:sz w:val="20"/>
                <w:szCs w:val="20"/>
                <w:color w:val="auto"/>
              </w:rPr>
            </w:pPr>
            <w:r>
              <w:rPr>
                <w:rFonts w:ascii="Arial" w:cs="Arial" w:eastAsia="Arial" w:hAnsi="Arial"/>
                <w:sz w:val="18"/>
                <w:szCs w:val="18"/>
                <w:color w:val="auto"/>
              </w:rPr>
              <w:t>388,262</w:t>
            </w:r>
          </w:p>
        </w:tc>
        <w:tc>
          <w:tcPr>
            <w:tcW w:w="2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line="204" w:lineRule="exact"/>
              <w:rPr>
                <w:sz w:val="20"/>
                <w:szCs w:val="20"/>
                <w:color w:val="auto"/>
              </w:rPr>
            </w:pPr>
            <w:r>
              <w:rPr>
                <w:rFonts w:ascii="Arial" w:cs="Arial" w:eastAsia="Arial" w:hAnsi="Arial"/>
                <w:sz w:val="18"/>
                <w:szCs w:val="18"/>
                <w:color w:val="auto"/>
              </w:rPr>
              <w:t>537,886</w:t>
            </w:r>
          </w:p>
        </w:tc>
        <w:tc>
          <w:tcPr>
            <w:tcW w:w="320" w:type="dxa"/>
            <w:vAlign w:val="bottom"/>
            <w:gridSpan w:val="2"/>
          </w:tcPr>
          <w:p>
            <w:pPr>
              <w:jc w:val="right"/>
              <w:ind w:right="32"/>
              <w:spacing w:after="0" w:line="204"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color w:val="auto"/>
                <w:w w:val="99"/>
              </w:rPr>
              <w:t>1,164,548</w:t>
            </w:r>
          </w:p>
        </w:tc>
        <w:tc>
          <w:tcPr>
            <w:tcW w:w="320" w:type="dxa"/>
            <w:vAlign w:val="bottom"/>
            <w:gridSpan w:val="2"/>
          </w:tcPr>
          <w:p>
            <w:pPr>
              <w:jc w:val="right"/>
              <w:ind w:right="52"/>
              <w:spacing w:after="0" w:line="204"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4" w:lineRule="exact"/>
              <w:rPr>
                <w:sz w:val="20"/>
                <w:szCs w:val="20"/>
                <w:color w:val="auto"/>
              </w:rPr>
            </w:pPr>
            <w:r>
              <w:rPr>
                <w:rFonts w:ascii="Arial" w:cs="Arial" w:eastAsia="Arial" w:hAnsi="Arial"/>
                <w:sz w:val="18"/>
                <w:szCs w:val="18"/>
                <w:color w:val="auto"/>
              </w:rPr>
              <w:t>318,378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FEBRUARY 28, 2013 AND 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266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72"/>
              <w:spacing w:after="0" w:line="186" w:lineRule="exact"/>
              <w:rPr>
                <w:sz w:val="20"/>
                <w:szCs w:val="20"/>
                <w:color w:val="auto"/>
              </w:rPr>
            </w:pPr>
            <w:r>
              <w:rPr>
                <w:rFonts w:ascii="Arial" w:cs="Arial" w:eastAsia="Arial" w:hAnsi="Arial"/>
                <w:sz w:val="18"/>
                <w:szCs w:val="18"/>
                <w:b w:val="1"/>
                <w:bCs w:val="1"/>
                <w:color w:val="auto"/>
                <w:w w:val="93"/>
              </w:rPr>
              <w:t>February 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4"/>
        </w:trPr>
        <w:tc>
          <w:tcPr>
            <w:tcW w:w="5600" w:type="dxa"/>
            <w:vAlign w:val="bottom"/>
            <w:gridSpan w:val="2"/>
          </w:tcPr>
          <w:p>
            <w:pPr>
              <w:spacing w:after="0" w:line="204" w:lineRule="exact"/>
              <w:rPr>
                <w:sz w:val="20"/>
                <w:szCs w:val="20"/>
                <w:color w:val="auto"/>
              </w:rPr>
            </w:pPr>
            <w:r>
              <w:rPr>
                <w:rFonts w:ascii="Arial" w:cs="Arial" w:eastAsia="Arial" w:hAnsi="Arial"/>
                <w:sz w:val="18"/>
                <w:szCs w:val="18"/>
                <w:color w:val="auto"/>
              </w:rPr>
              <w:t>CASH FLOWS FROM OPERATING ACTIVITIES:</w:t>
            </w:r>
          </w:p>
        </w:tc>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38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1,503,691</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1,539,412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w w:val="89"/>
              </w:rPr>
              <w:t>Adjustments to reconcile net income to net cash used in operating activities:</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Expensing of fair value of stock options vested</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137,550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145,046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Depreciation expense</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211,874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163,171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expense</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77,493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Loss on disposal of assets</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13,845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Equity in income from joint ventures</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(2,292,734)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(2,582,355)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Changes in current assets and liabilities:</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Receivables:</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460"/>
              <w:spacing w:after="0"/>
              <w:rPr>
                <w:sz w:val="20"/>
                <w:szCs w:val="20"/>
                <w:color w:val="auto"/>
              </w:rPr>
            </w:pPr>
            <w:r>
              <w:rPr>
                <w:rFonts w:ascii="Arial" w:cs="Arial" w:eastAsia="Arial" w:hAnsi="Arial"/>
                <w:sz w:val="18"/>
                <w:szCs w:val="18"/>
                <w:color w:val="auto"/>
              </w:rPr>
              <w:t>Trade, excluding joint ventures</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(223,731)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(290,512)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joint ventures</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460"/>
              <w:spacing w:after="0"/>
              <w:rPr>
                <w:sz w:val="20"/>
                <w:szCs w:val="20"/>
                <w:color w:val="auto"/>
              </w:rPr>
            </w:pPr>
            <w:r>
              <w:rPr>
                <w:rFonts w:ascii="Arial" w:cs="Arial" w:eastAsia="Arial" w:hAnsi="Arial"/>
                <w:sz w:val="18"/>
                <w:szCs w:val="18"/>
                <w:color w:val="auto"/>
              </w:rPr>
              <w:t>Fees for services receivables, joint ventures</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221,099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164,795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taxes</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(990,720)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(111,041)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(902,749)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payable</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3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(1,094,446)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ind w:left="460"/>
              <w:spacing w:after="0" w:line="204" w:lineRule="exact"/>
              <w:rPr>
                <w:sz w:val="20"/>
                <w:szCs w:val="20"/>
                <w:color w:val="auto"/>
              </w:rPr>
            </w:pPr>
            <w:r>
              <w:rPr>
                <w:rFonts w:ascii="Arial" w:cs="Arial" w:eastAsia="Arial" w:hAnsi="Arial"/>
                <w:sz w:val="18"/>
                <w:szCs w:val="18"/>
                <w:color w:val="auto"/>
              </w:rPr>
              <w:t>Net cash used in operating activities</w:t>
            </w:r>
          </w:p>
        </w:tc>
        <w:tc>
          <w:tcPr>
            <w:tcW w:w="3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(3,445,681)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(2,790,007)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Investments in joint ventures</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received from joint ventures</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2,953,435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3,036,344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Additions to property and equipment</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(102,259)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(80,698)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NTI Asean consolidation on cash (Note 2)</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1,612,768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Additions to patents</w:t>
            </w:r>
          </w:p>
        </w:tc>
        <w:tc>
          <w:tcPr>
            <w:tcW w:w="3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(114,882)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ind w:left="460"/>
              <w:spacing w:after="0" w:line="204" w:lineRule="exact"/>
              <w:rPr>
                <w:sz w:val="20"/>
                <w:szCs w:val="20"/>
                <w:color w:val="auto"/>
              </w:rPr>
            </w:pPr>
            <w:r>
              <w:rPr>
                <w:rFonts w:ascii="Arial" w:cs="Arial" w:eastAsia="Arial" w:hAnsi="Arial"/>
                <w:sz w:val="18"/>
                <w:szCs w:val="18"/>
                <w:color w:val="auto"/>
              </w:rPr>
              <w:t>Net cash provided by investing activities</w:t>
            </w:r>
          </w:p>
        </w:tc>
        <w:tc>
          <w:tcPr>
            <w:tcW w:w="3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4,349,062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2,870,470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Repayment of note payable</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received by non-controlling interest</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ind w:left="140"/>
              <w:spacing w:after="0"/>
              <w:rPr>
                <w:sz w:val="20"/>
                <w:szCs w:val="20"/>
                <w:color w:val="auto"/>
              </w:rPr>
            </w:pPr>
            <w:r>
              <w:rPr>
                <w:rFonts w:ascii="Arial" w:cs="Arial" w:eastAsia="Arial" w:hAnsi="Arial"/>
                <w:sz w:val="18"/>
                <w:szCs w:val="18"/>
                <w:color w:val="auto"/>
              </w:rPr>
              <w:t>Proceeds from employee stock purchase plan</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28,938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102,815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tcPr>
          <w:p>
            <w:pPr>
              <w:ind w:left="460"/>
              <w:spacing w:after="0" w:line="204" w:lineRule="exact"/>
              <w:rPr>
                <w:sz w:val="20"/>
                <w:szCs w:val="20"/>
                <w:color w:val="auto"/>
              </w:rPr>
            </w:pPr>
            <w:r>
              <w:rPr>
                <w:rFonts w:ascii="Arial" w:cs="Arial" w:eastAsia="Arial" w:hAnsi="Arial"/>
                <w:sz w:val="18"/>
                <w:szCs w:val="18"/>
                <w:color w:val="auto"/>
              </w:rPr>
              <w:t>Net cash provided by financing activities</w:t>
            </w:r>
          </w:p>
        </w:tc>
        <w:tc>
          <w:tcPr>
            <w:tcW w:w="3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(779,147)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3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69,436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4,137,547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3,266,362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380" w:type="dxa"/>
            <w:vAlign w:val="bottom"/>
            <w:gridSpan w:val="2"/>
          </w:tcPr>
          <w:p>
            <w:pPr>
              <w:ind w:left="3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4,261,145</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3,335,798</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5600" w:type="dxa"/>
            <w:vAlign w:val="bottom"/>
            <w:gridSpan w:val="2"/>
            <w:vMerge w:val="continue"/>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240" w:type="dxa"/>
            <w:vAlign w:val="bottom"/>
          </w:tcPr>
          <w:p>
            <w:pPr>
              <w:jc w:val="right"/>
              <w:ind w:right="2992"/>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808080"/>
            </w:tcBorders>
          </w:tcPr>
          <w:p>
            <w:pPr>
              <w:spacing w:after="0"/>
              <w:rPr>
                <w:sz w:val="12"/>
                <w:szCs w:val="12"/>
                <w:color w:val="auto"/>
              </w:rPr>
            </w:pPr>
          </w:p>
        </w:tc>
        <w:tc>
          <w:tcPr>
            <w:tcW w:w="5580" w:type="dxa"/>
            <w:vAlign w:val="bottom"/>
            <w:tcBorders>
              <w:bottom w:val="single" w:sz="8" w:color="808080"/>
            </w:tcBorders>
          </w:tcPr>
          <w:p>
            <w:pPr>
              <w:spacing w:after="0"/>
              <w:rPr>
                <w:sz w:val="12"/>
                <w:szCs w:val="12"/>
                <w:color w:val="auto"/>
              </w:rPr>
            </w:pPr>
          </w:p>
        </w:tc>
        <w:tc>
          <w:tcPr>
            <w:tcW w:w="32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7" w:name="page8"/>
    <w:bookmarkEnd w:id="7"/>
    <w:p>
      <w:pPr>
        <w:ind w:right="4320"/>
        <w:spacing w:after="0" w:line="333" w:lineRule="auto"/>
        <w:rPr>
          <w:sz w:val="20"/>
          <w:szCs w:val="20"/>
          <w:color w:val="auto"/>
        </w:rPr>
      </w:pPr>
      <w:r>
        <w:rPr>
          <w:rFonts w:ascii="Arial" w:cs="Arial" w:eastAsia="Arial" w:hAnsi="Arial"/>
          <w:sz w:val="16"/>
          <w:szCs w:val="16"/>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2663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53" w:lineRule="exact"/>
        <w:rPr>
          <w:sz w:val="20"/>
          <w:szCs w:val="20"/>
          <w:color w:val="auto"/>
        </w:rPr>
      </w:pPr>
    </w:p>
    <w:p>
      <w:pPr>
        <w:ind w:left="620" w:hanging="615"/>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47"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2013 and August 31, 2012 and the results of their operations for the three and six months ended February 28, 2013 and February 29, 2012 and their cash flows for the six months ended February 28, 2013 and February 29, 2012, in conformity with accounting principles generally accepted in the United States of America (U.S. GAAP).</w:t>
      </w:r>
    </w:p>
    <w:p>
      <w:pPr>
        <w:spacing w:after="0" w:line="218"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Certain amounts reported in the consolidated financial statements for the previous reporting periods have been reclassified to conform to the current period presentation. These reclassifications did not have a material impact on the Company’s previously reported consolidated balance sheets or statements of cash flows.</w:t>
      </w:r>
    </w:p>
    <w:p>
      <w:pPr>
        <w:spacing w:after="0" w:line="216" w:lineRule="exact"/>
        <w:rPr>
          <w:sz w:val="20"/>
          <w:szCs w:val="20"/>
          <w:color w:val="auto"/>
        </w:rPr>
      </w:pPr>
    </w:p>
    <w:p>
      <w:pPr>
        <w:ind w:right="260"/>
        <w:spacing w:after="0" w:line="300"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2012. These consolidated financial statements also should be read in conjunction with the “Management’s Discussion and Analysis of Financial Condition and Results of Operations” section appearing in this report.</w:t>
      </w:r>
    </w:p>
    <w:p>
      <w:pPr>
        <w:spacing w:after="0" w:line="18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Operating results for the three and six months ended February 28, 2013 are not necessarily indicative of the results that may be expected for the full fiscal year ending August 31, 2013.</w:t>
      </w:r>
    </w:p>
    <w:p>
      <w:pPr>
        <w:spacing w:after="0" w:line="20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201" w:lineRule="exact"/>
        <w:rPr>
          <w:sz w:val="20"/>
          <w:szCs w:val="20"/>
          <w:color w:val="auto"/>
        </w:rPr>
      </w:pPr>
    </w:p>
    <w:p>
      <w:pPr>
        <w:ind w:left="620" w:hanging="615"/>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NTI ASEAN</w:t>
      </w:r>
    </w:p>
    <w:p>
      <w:pPr>
        <w:spacing w:after="0" w:line="247"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NTI Asean LLC (NTI Asean) is an entity that holds investments in eight entities operating in the Association of Southeast Asian Nations (ASEAN) region, including the following countries: China, Indonesia, Korea, Malaysia, Philippines, Singapore, Taiwan and Thailand.</w:t>
      </w:r>
    </w:p>
    <w:p>
      <w:pPr>
        <w:spacing w:after="0" w:line="20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Prior to September 1, 2012, the Company owned 50% of NTI Asean, which it considered to be less than a majority, of the equity and voting rights and accounted for its investment using the equity method. On September 1, 2012, the Company obtained an additional 10% ownership interest in NTI Asean in exchange for a license agreement, and thereafter holds 60% of the equity and voting rights of NTI Asean.</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Company accounted for the transaction resulting in the additional ownership as a business combination. Beginning in the first quarter of fiscal 2013, the Company consolidated the results of NTI Asean. Immediately prior to the transaction, the Company re-measured the fair value of NTI Asean and determined that there was no difference between the fair value and the book value of the entity. As a result, there was no accounting impact related to the business combination in the consolidated statements of operations.</w:t>
      </w:r>
    </w:p>
    <w:p>
      <w:pPr>
        <w:spacing w:after="0" w:line="21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Company determined the fair value of NTI Asean using the capitalized income method, including a capitalization rate of 25%. The allocation of the total transaction amount was as follow: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 (liabilities assumed):</w:t>
            </w:r>
          </w:p>
        </w:tc>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1,613,000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Accounts receivables</w:t>
            </w: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1,342,000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60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4,967,000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40" w:type="dxa"/>
            <w:vAlign w:val="bottom"/>
          </w:tcPr>
          <w:p>
            <w:pPr>
              <w:spacing w:after="0" w:line="205" w:lineRule="exact"/>
              <w:rPr>
                <w:sz w:val="20"/>
                <w:szCs w:val="20"/>
                <w:color w:val="auto"/>
              </w:rPr>
            </w:pPr>
            <w:r>
              <w:rPr>
                <w:rFonts w:ascii="Arial" w:cs="Arial" w:eastAsia="Arial" w:hAnsi="Arial"/>
                <w:sz w:val="18"/>
                <w:szCs w:val="18"/>
                <w:color w:val="auto"/>
              </w:rPr>
              <w:t>Value of assets</w:t>
            </w:r>
          </w:p>
        </w:tc>
        <w:tc>
          <w:tcPr>
            <w:tcW w:w="620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5" w:lineRule="exact"/>
              <w:rPr>
                <w:sz w:val="20"/>
                <w:szCs w:val="20"/>
                <w:color w:val="auto"/>
              </w:rPr>
            </w:pPr>
            <w:r>
              <w:rPr>
                <w:rFonts w:ascii="Arial" w:cs="Arial" w:eastAsia="Arial" w:hAnsi="Arial"/>
                <w:sz w:val="18"/>
                <w:szCs w:val="18"/>
                <w:color w:val="auto"/>
                <w:w w:val="92"/>
              </w:rPr>
              <w:t>7,922,000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Purchase price:</w:t>
            </w:r>
          </w:p>
        </w:tc>
        <w:tc>
          <w:tcPr>
            <w:tcW w:w="6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Fair value of non-controlling interest</w:t>
            </w:r>
          </w:p>
        </w:tc>
        <w:tc>
          <w:tcPr>
            <w:tcW w:w="6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3,961,000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 of previously held interest</w:t>
            </w:r>
          </w:p>
        </w:tc>
        <w:tc>
          <w:tcPr>
            <w:tcW w:w="60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3,961,000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40" w:type="dxa"/>
            <w:vAlign w:val="bottom"/>
          </w:tcPr>
          <w:p>
            <w:pPr>
              <w:spacing w:after="0" w:line="205" w:lineRule="exact"/>
              <w:rPr>
                <w:sz w:val="20"/>
                <w:szCs w:val="20"/>
                <w:color w:val="auto"/>
              </w:rPr>
            </w:pPr>
            <w:r>
              <w:rPr>
                <w:rFonts w:ascii="Arial" w:cs="Arial" w:eastAsia="Arial" w:hAnsi="Arial"/>
                <w:sz w:val="18"/>
                <w:szCs w:val="18"/>
                <w:color w:val="auto"/>
              </w:rPr>
              <w:t>Total consideration</w:t>
            </w:r>
          </w:p>
        </w:tc>
        <w:tc>
          <w:tcPr>
            <w:tcW w:w="620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5" w:lineRule="exact"/>
              <w:rPr>
                <w:sz w:val="20"/>
                <w:szCs w:val="20"/>
                <w:color w:val="auto"/>
              </w:rPr>
            </w:pPr>
            <w:r>
              <w:rPr>
                <w:rFonts w:ascii="Arial" w:cs="Arial" w:eastAsia="Arial" w:hAnsi="Arial"/>
                <w:sz w:val="18"/>
                <w:szCs w:val="18"/>
                <w:color w:val="auto"/>
                <w:w w:val="92"/>
              </w:rPr>
              <w:t>7,922,000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40" w:type="dxa"/>
            <w:vAlign w:val="bottom"/>
            <w:vMerge w:val="restart"/>
          </w:tcPr>
          <w:p>
            <w:pPr>
              <w:jc w:val="right"/>
              <w:ind w:right="4552"/>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808080"/>
            </w:tcBorders>
          </w:tcPr>
          <w:p>
            <w:pPr>
              <w:spacing w:after="0"/>
              <w:rPr>
                <w:sz w:val="12"/>
                <w:szCs w:val="12"/>
                <w:color w:val="auto"/>
              </w:rPr>
            </w:pPr>
          </w:p>
        </w:tc>
        <w:tc>
          <w:tcPr>
            <w:tcW w:w="4340" w:type="dxa"/>
            <w:vAlign w:val="bottom"/>
            <w:tcBorders>
              <w:bottom w:val="single" w:sz="8" w:color="808080"/>
            </w:tcBorders>
          </w:tcPr>
          <w:p>
            <w:pPr>
              <w:spacing w:after="0"/>
              <w:rPr>
                <w:sz w:val="12"/>
                <w:szCs w:val="12"/>
                <w:color w:val="auto"/>
              </w:rPr>
            </w:pPr>
          </w:p>
        </w:tc>
        <w:tc>
          <w:tcPr>
            <w:tcW w:w="60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8" w:name="page9"/>
    <w:bookmarkEnd w:id="8"/>
    <w:p>
      <w:pPr>
        <w:ind w:right="400"/>
        <w:spacing w:after="0" w:line="253" w:lineRule="auto"/>
        <w:rPr>
          <w:sz w:val="20"/>
          <w:szCs w:val="20"/>
          <w:color w:val="auto"/>
        </w:rPr>
      </w:pPr>
      <w:r>
        <w:rPr>
          <w:rFonts w:ascii="Arial" w:cs="Arial" w:eastAsia="Arial" w:hAnsi="Arial"/>
          <w:sz w:val="18"/>
          <w:szCs w:val="18"/>
          <w:color w:val="auto"/>
        </w:rPr>
        <w:t>The following is a summary of certain line items of the Company’s consolidated statement of operations for the three months ended February 29, 2012 as reported and on a pro forma basis, assuming the consolidation of NTI Asean on the Company’s consolidated financial statements as of the beginning of such period: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rPr>
              <w:t>NTI</w:t>
            </w: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Eliminated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6880" w:type="dxa"/>
            <w:vAlign w:val="bottom"/>
          </w:tcPr>
          <w:p>
            <w:pPr>
              <w:spacing w:after="0"/>
              <w:rPr>
                <w:sz w:val="19"/>
                <w:szCs w:val="19"/>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As Reported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2"/>
              </w:rPr>
              <w:t>Asean</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Consolidation</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3"/>
              </w:rPr>
              <w:t>Pro Forma</w:t>
            </w:r>
          </w:p>
        </w:tc>
      </w:tr>
      <w:tr>
        <w:trPr>
          <w:trHeight w:val="204"/>
        </w:trPr>
        <w:tc>
          <w:tcPr>
            <w:tcW w:w="68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4,974,328</w:t>
            </w:r>
          </w:p>
        </w:tc>
        <w:tc>
          <w:tcPr>
            <w:tcW w:w="2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4,974,328</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3,480,082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3,480,082</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1,494,246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1,494,246</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2,522,801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868,382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(322,654)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3,068,529</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3,325,228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3,345,698</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691,819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847,912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(322,654)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1,217,077</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703,991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847,912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1,229,249</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95,500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195,500</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603,991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752,412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1,033,749</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(300,965)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(303,167)</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606,193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451,447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734,804</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Net income per common diluted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0.16</w:t>
            </w:r>
          </w:p>
        </w:tc>
      </w:tr>
    </w:tbl>
    <w:p>
      <w:pPr>
        <w:spacing w:after="0" w:line="213" w:lineRule="exact"/>
        <w:rPr>
          <w:sz w:val="20"/>
          <w:szCs w:val="20"/>
          <w:color w:val="auto"/>
        </w:rPr>
      </w:pPr>
    </w:p>
    <w:p>
      <w:pPr>
        <w:ind w:right="80"/>
        <w:spacing w:after="0" w:line="363" w:lineRule="auto"/>
        <w:rPr>
          <w:sz w:val="20"/>
          <w:szCs w:val="20"/>
          <w:color w:val="auto"/>
        </w:rPr>
      </w:pPr>
      <w:r>
        <w:rPr>
          <w:rFonts w:ascii="Arial" w:cs="Arial" w:eastAsia="Arial" w:hAnsi="Arial"/>
          <w:sz w:val="15"/>
          <w:szCs w:val="15"/>
          <w:color w:val="auto"/>
        </w:rPr>
        <w:t>The following is a summary of certain line items of the Company’s consolidated statements of operations for the six months ended February 29, 2012 as reported and on a pro forma basis, assuming the consolidation of NTI Asean on the Company’s consolidated financial statements as of the beginning of such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rPr>
              <w:t>NTI</w:t>
            </w:r>
          </w:p>
        </w:tc>
        <w:tc>
          <w:tcPr>
            <w:tcW w:w="1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Eliminated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3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As Reported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6"/>
              </w:rPr>
              <w:t>Asean</w:t>
            </w:r>
          </w:p>
        </w:tc>
        <w:tc>
          <w:tcPr>
            <w:tcW w:w="120" w:type="dxa"/>
            <w:vAlign w:val="bottom"/>
          </w:tcPr>
          <w:p>
            <w:pPr>
              <w:spacing w:after="0"/>
              <w:rPr>
                <w:sz w:val="19"/>
                <w:szCs w:val="19"/>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Consolidation</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8"/>
                <w:szCs w:val="18"/>
                <w:b w:val="1"/>
                <w:bCs w:val="1"/>
                <w:color w:val="auto"/>
                <w:w w:val="91"/>
              </w:rPr>
              <w:t>Pro Forma</w:t>
            </w:r>
          </w:p>
        </w:tc>
      </w:tr>
      <w:tr>
        <w:trPr>
          <w:trHeight w:val="204"/>
        </w:trPr>
        <w:tc>
          <w:tcPr>
            <w:tcW w:w="46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2440" w:type="dxa"/>
            <w:vAlign w:val="bottom"/>
            <w:gridSpan w:val="2"/>
            <w:shd w:val="clear" w:color="auto" w:fill="CCEEFF"/>
          </w:tcPr>
          <w:p>
            <w:pPr>
              <w:ind w:left="228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9,806,442</w:t>
            </w:r>
          </w:p>
        </w:tc>
        <w:tc>
          <w:tcPr>
            <w:tcW w:w="24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9,806,442</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6,689,558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6,689,558</w:t>
            </w: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3,116,884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3,116,884</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Joint venture operations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5,325,733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1,699,280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6,332,898</w:t>
            </w: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6,718,296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6,741,431</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1,724,321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1,676,145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2,708,351</w:t>
            </w: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1,745,412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1,676,145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2,729,442</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206,000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184,811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390,811</w:t>
            </w: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1,539,412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1,491,334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2,338,631</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(596,534)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(622,072)</w:t>
            </w: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1,564,950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894,800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1,767,635</w:t>
            </w: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Net income per common diluted share</w:t>
            </w:r>
          </w:p>
        </w:tc>
        <w:tc>
          <w:tcPr>
            <w:tcW w:w="244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0.35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0.20</w:t>
            </w:r>
          </w:p>
        </w:tc>
        <w:tc>
          <w:tcPr>
            <w:tcW w:w="3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0.40</w:t>
            </w:r>
          </w:p>
        </w:tc>
      </w:tr>
      <w:tr>
        <w:trPr>
          <w:trHeight w:val="436"/>
        </w:trPr>
        <w:tc>
          <w:tcPr>
            <w:tcW w:w="380" w:type="dxa"/>
            <w:vAlign w:val="bottom"/>
          </w:tcPr>
          <w:p>
            <w:pPr>
              <w:spacing w:after="0"/>
              <w:rPr>
                <w:sz w:val="20"/>
                <w:szCs w:val="20"/>
                <w:color w:val="auto"/>
              </w:rPr>
            </w:pPr>
            <w:r>
              <w:rPr>
                <w:rFonts w:ascii="Arial" w:cs="Arial" w:eastAsia="Arial" w:hAnsi="Arial"/>
                <w:sz w:val="18"/>
                <w:szCs w:val="18"/>
                <w:b w:val="1"/>
                <w:bCs w:val="1"/>
                <w:color w:val="auto"/>
              </w:rPr>
              <w:t>3.</w:t>
            </w:r>
          </w:p>
        </w:tc>
        <w:tc>
          <w:tcPr>
            <w:tcW w:w="422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8"/>
        </w:trPr>
        <w:tc>
          <w:tcPr>
            <w:tcW w:w="460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1"/>
        </w:trPr>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24"/>
                <w:szCs w:val="24"/>
                <w:color w:val="auto"/>
              </w:rPr>
            </w:pPr>
          </w:p>
        </w:tc>
        <w:tc>
          <w:tcPr>
            <w:tcW w:w="100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6"/>
              </w:rPr>
              <w:t>August 31,</w:t>
            </w:r>
          </w:p>
        </w:tc>
      </w:tr>
      <w:tr>
        <w:trPr>
          <w:trHeight w:val="229"/>
        </w:trPr>
        <w:tc>
          <w:tcPr>
            <w:tcW w:w="3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4"/>
              </w:rPr>
              <w:t>2012</w:t>
            </w:r>
          </w:p>
        </w:tc>
      </w:tr>
      <w:tr>
        <w:trPr>
          <w:trHeight w:val="204"/>
        </w:trPr>
        <w:tc>
          <w:tcPr>
            <w:tcW w:w="46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Production materials</w:t>
            </w:r>
          </w:p>
        </w:tc>
        <w:tc>
          <w:tcPr>
            <w:tcW w:w="2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ind w:left="2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952,997</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1,462,615</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4,200,534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2"/>
              </w:rPr>
              <w:t>2,688,582</w:t>
            </w:r>
          </w:p>
        </w:tc>
      </w:tr>
      <w:tr>
        <w:trPr>
          <w:trHeight w:val="244"/>
        </w:trPr>
        <w:tc>
          <w:tcPr>
            <w:tcW w:w="380" w:type="dxa"/>
            <w:vAlign w:val="bottom"/>
            <w:shd w:val="clear" w:color="auto" w:fill="CCEEFF"/>
          </w:tcPr>
          <w:p>
            <w:pPr>
              <w:spacing w:after="0"/>
              <w:rPr>
                <w:sz w:val="21"/>
                <w:szCs w:val="21"/>
                <w:color w:val="auto"/>
              </w:rPr>
            </w:pPr>
          </w:p>
        </w:tc>
        <w:tc>
          <w:tcPr>
            <w:tcW w:w="42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gridSpan w:val="3"/>
            <w:shd w:val="clear" w:color="auto" w:fill="CCEEFF"/>
          </w:tcPr>
          <w:p>
            <w:pPr>
              <w:ind w:left="2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5,153,531</w:t>
            </w:r>
          </w:p>
        </w:tc>
        <w:tc>
          <w:tcPr>
            <w:tcW w:w="2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4,151,197</w:t>
            </w:r>
          </w:p>
        </w:tc>
      </w:tr>
      <w:tr>
        <w:trPr>
          <w:trHeight w:val="572"/>
        </w:trPr>
        <w:tc>
          <w:tcPr>
            <w:tcW w:w="380" w:type="dxa"/>
            <w:vAlign w:val="bottom"/>
            <w:tcBorders>
              <w:top w:val="single" w:sz="8" w:color="CCEEFF"/>
            </w:tcBorders>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2280" w:type="dxa"/>
            <w:vAlign w:val="bottom"/>
            <w:tcBorders>
              <w:top w:val="single" w:sz="8" w:color="CCEEFF"/>
            </w:tcBorders>
          </w:tcPr>
          <w:p>
            <w:pPr>
              <w:jc w:val="right"/>
              <w:ind w:right="1032"/>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142"/>
        </w:trPr>
        <w:tc>
          <w:tcPr>
            <w:tcW w:w="380" w:type="dxa"/>
            <w:vAlign w:val="bottom"/>
            <w:tcBorders>
              <w:bottom w:val="single" w:sz="8" w:color="808080"/>
            </w:tcBorders>
          </w:tcPr>
          <w:p>
            <w:pPr>
              <w:spacing w:after="0"/>
              <w:rPr>
                <w:sz w:val="12"/>
                <w:szCs w:val="12"/>
                <w:color w:val="auto"/>
              </w:rPr>
            </w:pPr>
          </w:p>
        </w:tc>
        <w:tc>
          <w:tcPr>
            <w:tcW w:w="4220" w:type="dxa"/>
            <w:vAlign w:val="bottom"/>
            <w:tcBorders>
              <w:bottom w:val="single" w:sz="8" w:color="808080"/>
            </w:tcBorders>
          </w:tcPr>
          <w:p>
            <w:pPr>
              <w:spacing w:after="0"/>
              <w:rPr>
                <w:sz w:val="12"/>
                <w:szCs w:val="12"/>
                <w:color w:val="auto"/>
              </w:rPr>
            </w:pPr>
          </w:p>
        </w:tc>
        <w:tc>
          <w:tcPr>
            <w:tcW w:w="22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9" w:name="page10"/>
    <w:bookmarkEnd w:id="9"/>
    <w:p>
      <w:pPr>
        <w:ind w:left="620" w:hanging="615"/>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780" w:type="dxa"/>
            <w:vAlign w:val="bottom"/>
            <w:gridSpan w:val="3"/>
          </w:tcPr>
          <w:p>
            <w:pPr>
              <w:ind w:left="2700"/>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8"/>
                <w:szCs w:val="18"/>
                <w:color w:val="auto"/>
              </w:rPr>
            </w:pPr>
          </w:p>
        </w:tc>
        <w:tc>
          <w:tcPr>
            <w:tcW w:w="100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6"/>
              </w:rPr>
              <w:t>August 31,</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4"/>
              </w:rPr>
              <w:t>2012</w:t>
            </w:r>
          </w:p>
        </w:tc>
        <w:tc>
          <w:tcPr>
            <w:tcW w:w="0" w:type="dxa"/>
            <w:vAlign w:val="bottom"/>
          </w:tcPr>
          <w:p>
            <w:pPr>
              <w:spacing w:after="0"/>
              <w:rPr>
                <w:sz w:val="1"/>
                <w:szCs w:val="1"/>
                <w:color w:val="auto"/>
              </w:rPr>
            </w:pPr>
          </w:p>
        </w:tc>
      </w:tr>
      <w:tr>
        <w:trPr>
          <w:trHeight w:val="204"/>
        </w:trPr>
        <w:tc>
          <w:tcPr>
            <w:tcW w:w="5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Land</w:t>
            </w:r>
          </w:p>
        </w:tc>
        <w:tc>
          <w:tcPr>
            <w:tcW w:w="604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ind w:left="2700"/>
              <w:spacing w:after="0" w:line="205"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310,365</w:t>
            </w:r>
          </w:p>
        </w:tc>
        <w:tc>
          <w:tcPr>
            <w:tcW w:w="2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1"/>
        </w:trPr>
        <w:tc>
          <w:tcPr>
            <w:tcW w:w="65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3,556,041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3,406,674</w:t>
            </w:r>
          </w:p>
        </w:tc>
        <w:tc>
          <w:tcPr>
            <w:tcW w:w="0" w:type="dxa"/>
            <w:vAlign w:val="bottom"/>
          </w:tcPr>
          <w:p>
            <w:pPr>
              <w:spacing w:after="0"/>
              <w:rPr>
                <w:sz w:val="1"/>
                <w:szCs w:val="1"/>
                <w:color w:val="auto"/>
              </w:rPr>
            </w:pPr>
          </w:p>
        </w:tc>
      </w:tr>
      <w:tr>
        <w:trPr>
          <w:trHeight w:val="211"/>
        </w:trPr>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2,861,709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2,908,021</w:t>
            </w: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color w:val="auto"/>
                <w:w w:val="99"/>
              </w:rPr>
              <w:t>6,728,115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4"/>
              </w:rPr>
              <w:t>6,625,060</w:t>
            </w:r>
          </w:p>
        </w:tc>
        <w:tc>
          <w:tcPr>
            <w:tcW w:w="0" w:type="dxa"/>
            <w:vAlign w:val="bottom"/>
          </w:tcPr>
          <w:p>
            <w:pPr>
              <w:spacing w:after="0"/>
              <w:rPr>
                <w:sz w:val="1"/>
                <w:szCs w:val="1"/>
                <w:color w:val="auto"/>
              </w:rPr>
            </w:pPr>
          </w:p>
        </w:tc>
      </w:tr>
      <w:tr>
        <w:trPr>
          <w:trHeight w:val="211"/>
        </w:trPr>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(2,545,380)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(2,336,442)</w:t>
            </w: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840" w:type="dxa"/>
            <w:vAlign w:val="bottom"/>
            <w:gridSpan w:val="2"/>
          </w:tcPr>
          <w:p>
            <w:pPr>
              <w:ind w:left="2700"/>
              <w:spacing w:after="0" w:line="204"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color w:val="auto"/>
                <w:w w:val="99"/>
              </w:rPr>
              <w:t>4,182,735</w:t>
            </w:r>
          </w:p>
        </w:tc>
        <w:tc>
          <w:tcPr>
            <w:tcW w:w="2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4"/>
              </w:rPr>
              <w:t>4,288,618</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60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PATENTS AND TRADEMARKS, NET</w:t>
            </w: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500" w:type="dxa"/>
            <w:vAlign w:val="bottom"/>
            <w:vMerge w:val="continue"/>
          </w:tcPr>
          <w:p>
            <w:pPr>
              <w:spacing w:after="0"/>
              <w:rPr>
                <w:sz w:val="24"/>
                <w:szCs w:val="24"/>
                <w:color w:val="auto"/>
              </w:rPr>
            </w:pPr>
          </w:p>
        </w:tc>
        <w:tc>
          <w:tcPr>
            <w:tcW w:w="604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654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780" w:type="dxa"/>
            <w:vAlign w:val="bottom"/>
            <w:gridSpan w:val="3"/>
          </w:tcPr>
          <w:p>
            <w:pPr>
              <w:ind w:left="2700"/>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24"/>
                <w:szCs w:val="24"/>
                <w:color w:val="auto"/>
              </w:rPr>
            </w:pPr>
          </w:p>
        </w:tc>
        <w:tc>
          <w:tcPr>
            <w:tcW w:w="100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6"/>
              </w:rPr>
              <w:t>August 31,</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4"/>
              </w:rPr>
              <w:t>2012</w:t>
            </w:r>
          </w:p>
        </w:tc>
        <w:tc>
          <w:tcPr>
            <w:tcW w:w="0" w:type="dxa"/>
            <w:vAlign w:val="bottom"/>
          </w:tcPr>
          <w:p>
            <w:pPr>
              <w:spacing w:after="0"/>
              <w:rPr>
                <w:sz w:val="1"/>
                <w:szCs w:val="1"/>
                <w:color w:val="auto"/>
              </w:rPr>
            </w:pPr>
          </w:p>
        </w:tc>
      </w:tr>
      <w:tr>
        <w:trPr>
          <w:trHeight w:val="204"/>
        </w:trPr>
        <w:tc>
          <w:tcPr>
            <w:tcW w:w="65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Patents and trademarks</w:t>
            </w:r>
          </w:p>
        </w:tc>
        <w:tc>
          <w:tcPr>
            <w:tcW w:w="2840" w:type="dxa"/>
            <w:vAlign w:val="bottom"/>
            <w:gridSpan w:val="2"/>
            <w:shd w:val="clear" w:color="auto" w:fill="CCEEFF"/>
          </w:tcPr>
          <w:p>
            <w:pPr>
              <w:ind w:left="2700"/>
              <w:spacing w:after="0" w:line="205"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99"/>
              </w:rPr>
              <w:t>2,045,102</w:t>
            </w:r>
          </w:p>
        </w:tc>
        <w:tc>
          <w:tcPr>
            <w:tcW w:w="2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4"/>
              </w:rPr>
              <w:t>1,945,785</w:t>
            </w:r>
          </w:p>
        </w:tc>
        <w:tc>
          <w:tcPr>
            <w:tcW w:w="0" w:type="dxa"/>
            <w:vAlign w:val="bottom"/>
          </w:tcPr>
          <w:p>
            <w:pPr>
              <w:spacing w:after="0"/>
              <w:rPr>
                <w:sz w:val="1"/>
                <w:szCs w:val="1"/>
                <w:color w:val="auto"/>
              </w:rPr>
            </w:pPr>
          </w:p>
        </w:tc>
      </w:tr>
      <w:tr>
        <w:trPr>
          <w:trHeight w:val="211"/>
        </w:trPr>
        <w:tc>
          <w:tcPr>
            <w:tcW w:w="654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(1,018,005)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(984,604)</w:t>
            </w:r>
          </w:p>
        </w:tc>
        <w:tc>
          <w:tcPr>
            <w:tcW w:w="0" w:type="dxa"/>
            <w:vAlign w:val="bottom"/>
          </w:tcPr>
          <w:p>
            <w:pPr>
              <w:spacing w:after="0"/>
              <w:rPr>
                <w:sz w:val="1"/>
                <w:szCs w:val="1"/>
                <w:color w:val="auto"/>
              </w:rPr>
            </w:pPr>
          </w:p>
        </w:tc>
      </w:tr>
      <w:tr>
        <w:trPr>
          <w:trHeight w:val="224"/>
        </w:trPr>
        <w:tc>
          <w:tcPr>
            <w:tcW w:w="50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7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9"/>
              </w:rPr>
              <w:t>1,027,097</w:t>
            </w:r>
          </w:p>
        </w:tc>
        <w:tc>
          <w:tcPr>
            <w:tcW w:w="2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961,181</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$80,000 in each of the next five fiscal years.</w:t>
      </w:r>
    </w:p>
    <w:p>
      <w:pPr>
        <w:spacing w:after="0" w:line="210" w:lineRule="exact"/>
        <w:rPr>
          <w:sz w:val="20"/>
          <w:szCs w:val="20"/>
          <w:color w:val="auto"/>
        </w:rPr>
      </w:pPr>
    </w:p>
    <w:p>
      <w:pPr>
        <w:ind w:left="620" w:hanging="615"/>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4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approximate U.S. GAAP in all material respects. All material profits recorded on sales from the Company to its joint ventures of goods that remain in inventory, have been eliminated for financial reporting purposes.</w:t>
      </w:r>
    </w:p>
    <w:p>
      <w:pPr>
        <w:spacing w:after="0" w:line="189"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Financial information from the audited and unaudited financial statements of the Company’s joint venture in Germany, Excor Korrosionsschutz – Technologien und Produkte GmbH (EXCOR), China, NTI Asean and all of the Company’s other joint ventures, are summarized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rPr>
              <w:t>At February 28, 2013</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4"/>
        </w:trPr>
        <w:tc>
          <w:tcPr>
            <w:tcW w:w="6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Borders>
              <w:bottom w:val="single" w:sz="8" w:color="auto"/>
            </w:tcBorders>
          </w:tcPr>
          <w:p>
            <w:pPr>
              <w:jc w:val="right"/>
              <w:ind w:right="292"/>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172"/>
              <w:spacing w:after="0" w:line="205" w:lineRule="exact"/>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2"/>
              <w:spacing w:after="0" w:line="205" w:lineRule="exact"/>
              <w:rPr>
                <w:sz w:val="20"/>
                <w:szCs w:val="20"/>
                <w:color w:val="auto"/>
              </w:rPr>
            </w:pPr>
            <w:r>
              <w:rPr>
                <w:rFonts w:ascii="Arial" w:cs="Arial" w:eastAsia="Arial" w:hAnsi="Arial"/>
                <w:sz w:val="18"/>
                <w:szCs w:val="18"/>
                <w:b w:val="1"/>
                <w:bCs w:val="1"/>
                <w:color w:val="auto"/>
              </w:rPr>
              <w:t>China</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69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Current assets</w:t>
            </w:r>
          </w:p>
        </w:tc>
        <w:tc>
          <w:tcPr>
            <w:tcW w:w="110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1"/>
              </w:rPr>
              <w:t>$ 61,997,739</w:t>
            </w:r>
          </w:p>
        </w:tc>
        <w:tc>
          <w:tcPr>
            <w:tcW w:w="116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7"/>
              </w:rPr>
              <w:t>$ 22,196,110</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6"/>
              </w:rPr>
              <w:t>12,442,364</w:t>
            </w:r>
          </w:p>
        </w:tc>
        <w:tc>
          <w:tcPr>
            <w:tcW w:w="1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27,359,265</w:t>
            </w:r>
          </w:p>
        </w:tc>
      </w:tr>
      <w:tr>
        <w:trPr>
          <w:trHeight w:val="211"/>
        </w:trPr>
        <w:tc>
          <w:tcPr>
            <w:tcW w:w="692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68,522,275</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24,625,927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86"/>
              </w:rPr>
              <w:t>12,474,170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31,422,178</w:t>
            </w: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19,532,691</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3,848,126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5,094,516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10,590,049</w:t>
            </w:r>
          </w:p>
        </w:tc>
      </w:tr>
      <w:tr>
        <w:trPr>
          <w:trHeight w:val="211"/>
        </w:trPr>
        <w:tc>
          <w:tcPr>
            <w:tcW w:w="6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4,210,364</w:t>
            </w:r>
          </w:p>
        </w:tc>
        <w:tc>
          <w:tcPr>
            <w:tcW w:w="1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856,978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3,353,386</w:t>
            </w: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44,779,219</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20,777,801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6,522,675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17,478,742</w:t>
            </w:r>
          </w:p>
        </w:tc>
      </w:tr>
      <w:tr>
        <w:trPr>
          <w:trHeight w:val="211"/>
        </w:trPr>
        <w:tc>
          <w:tcPr>
            <w:tcW w:w="692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22,189,562</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10,388,902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3,261,338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8,539,322</w:t>
            </w: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0"/>
              </w:rPr>
              <w:t>Northern Technologies International Corporation’s share of joint ventures’ undistributed earnings</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1"/>
              </w:rPr>
              <w:t>$ 20,075,092</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7"/>
              </w:rPr>
              <w:t>$ 10,357,997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3,215,436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6,501,659</w:t>
            </w:r>
          </w:p>
        </w:tc>
      </w:tr>
      <w:tr>
        <w:trPr>
          <w:trHeight w:val="593"/>
        </w:trPr>
        <w:tc>
          <w:tcPr>
            <w:tcW w:w="6920" w:type="dxa"/>
            <w:vAlign w:val="bottom"/>
          </w:tcPr>
          <w:p>
            <w:pPr>
              <w:ind w:left="568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2"/>
        </w:trPr>
        <w:tc>
          <w:tcPr>
            <w:tcW w:w="69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9"/>
        </w:trPr>
        <w:tc>
          <w:tcPr>
            <w:tcW w:w="6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b w:val="1"/>
                <w:bCs w:val="1"/>
                <w:color w:val="auto"/>
              </w:rPr>
              <w:t>At August 31, 2012</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4"/>
        </w:trPr>
        <w:tc>
          <w:tcPr>
            <w:tcW w:w="6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Borders>
              <w:bottom w:val="single" w:sz="8" w:color="auto"/>
            </w:tcBorders>
          </w:tcPr>
          <w:p>
            <w:pPr>
              <w:jc w:val="right"/>
              <w:ind w:right="292"/>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152"/>
              <w:spacing w:after="0" w:line="205" w:lineRule="exact"/>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7"/>
                <w:szCs w:val="17"/>
                <w:color w:val="auto"/>
              </w:rPr>
            </w:pPr>
          </w:p>
        </w:tc>
        <w:tc>
          <w:tcPr>
            <w:tcW w:w="106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NTI ASEAN</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69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Current assets</w:t>
            </w:r>
          </w:p>
        </w:tc>
        <w:tc>
          <w:tcPr>
            <w:tcW w:w="110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1"/>
              </w:rPr>
              <w:t>$ 61,973,725</w:t>
            </w:r>
          </w:p>
        </w:tc>
        <w:tc>
          <w:tcPr>
            <w:tcW w:w="114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5"/>
              </w:rPr>
              <w:t>$ 24,357,139</w:t>
            </w:r>
          </w:p>
        </w:tc>
        <w:tc>
          <w:tcPr>
            <w:tcW w:w="22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15,358,967</w:t>
            </w:r>
          </w:p>
        </w:tc>
        <w:tc>
          <w:tcPr>
            <w:tcW w:w="1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22,257,619</w:t>
            </w:r>
          </w:p>
        </w:tc>
      </w:tr>
      <w:tr>
        <w:trPr>
          <w:trHeight w:val="211"/>
        </w:trPr>
        <w:tc>
          <w:tcPr>
            <w:tcW w:w="692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68,585,974</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26,620,589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15,522,456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26,442,929</w:t>
            </w: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18,686,181</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4,749,574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5,763,857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8,172,750</w:t>
            </w:r>
          </w:p>
        </w:tc>
      </w:tr>
      <w:tr>
        <w:trPr>
          <w:trHeight w:val="211"/>
        </w:trPr>
        <w:tc>
          <w:tcPr>
            <w:tcW w:w="6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4,700,458</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1,055965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3,644,493</w:t>
            </w: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45,199,335</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21,871,015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8,702,634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14,625,686</w:t>
            </w:r>
          </w:p>
        </w:tc>
      </w:tr>
      <w:tr>
        <w:trPr>
          <w:trHeight w:val="211"/>
        </w:trPr>
        <w:tc>
          <w:tcPr>
            <w:tcW w:w="692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21,461,492</w:t>
            </w:r>
          </w:p>
        </w:tc>
        <w:tc>
          <w:tcPr>
            <w:tcW w:w="1140" w:type="dxa"/>
            <w:vAlign w:val="bottom"/>
            <w:gridSpan w:val="2"/>
          </w:tcPr>
          <w:p>
            <w:pPr>
              <w:jc w:val="right"/>
              <w:ind w:right="32"/>
              <w:spacing w:after="0"/>
              <w:rPr>
                <w:sz w:val="20"/>
                <w:szCs w:val="20"/>
                <w:color w:val="auto"/>
              </w:rPr>
            </w:pPr>
            <w:r>
              <w:rPr>
                <w:rFonts w:ascii="Arial" w:cs="Arial" w:eastAsia="Arial" w:hAnsi="Arial"/>
                <w:sz w:val="18"/>
                <w:szCs w:val="18"/>
                <w:color w:val="auto"/>
              </w:rPr>
              <w:t>10,935,509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3,685,404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6,840,579</w:t>
            </w: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0"/>
              </w:rPr>
              <w:t>Northern Technologies International Corporation’s share of joint ventures’ undistributed earnings</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1"/>
              </w:rPr>
              <w:t>$ 19,403,150</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5"/>
              </w:rPr>
              <w:t>$ 10,904,604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3,314,445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5,184,101</w:t>
            </w: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10"/>
          </w:tcPr>
          <w:p>
            <w:pPr>
              <w:jc w:val="right"/>
              <w:ind w:right="792"/>
              <w:spacing w:after="0"/>
              <w:rPr>
                <w:sz w:val="20"/>
                <w:szCs w:val="20"/>
                <w:color w:val="auto"/>
              </w:rPr>
            </w:pPr>
            <w:r>
              <w:rPr>
                <w:rFonts w:ascii="Arial" w:cs="Arial" w:eastAsia="Arial" w:hAnsi="Arial"/>
                <w:sz w:val="18"/>
                <w:szCs w:val="18"/>
                <w:b w:val="1"/>
                <w:bCs w:val="1"/>
                <w:color w:val="auto"/>
              </w:rPr>
              <w:t>Six Months Ended February 28, 2013</w:t>
            </w:r>
          </w:p>
        </w:tc>
      </w:tr>
      <w:tr>
        <w:trPr>
          <w:trHeight w:val="204"/>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2"/>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2"/>
              <w:spacing w:after="0" w:line="205" w:lineRule="exact"/>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2"/>
              <w:spacing w:after="0" w:line="205" w:lineRule="exact"/>
              <w:rPr>
                <w:sz w:val="20"/>
                <w:szCs w:val="20"/>
                <w:color w:val="auto"/>
              </w:rPr>
            </w:pPr>
            <w:r>
              <w:rPr>
                <w:rFonts w:ascii="Arial" w:cs="Arial" w:eastAsia="Arial" w:hAnsi="Arial"/>
                <w:sz w:val="18"/>
                <w:szCs w:val="18"/>
                <w:b w:val="1"/>
                <w:bCs w:val="1"/>
                <w:color w:val="auto"/>
              </w:rPr>
              <w:t>China</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67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54,247,135</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17,451,153</w:t>
            </w:r>
          </w:p>
        </w:tc>
        <w:tc>
          <w:tcPr>
            <w:tcW w:w="26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2"/>
              </w:rPr>
              <w:t>6,929,260</w:t>
            </w:r>
          </w:p>
        </w:tc>
        <w:tc>
          <w:tcPr>
            <w:tcW w:w="1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29,866,722</w:t>
            </w:r>
          </w:p>
        </w:tc>
      </w:tr>
      <w:tr>
        <w:trPr>
          <w:trHeight w:val="211"/>
        </w:trPr>
        <w:tc>
          <w:tcPr>
            <w:tcW w:w="678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25,852,537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9,105,579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w w:val="92"/>
              </w:rPr>
              <w:t>3,290,660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13,456,298</w:t>
            </w: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4,728,680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3,260,575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524,546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943,559</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w w:val="91"/>
              </w:rPr>
              <w:t>Northern Technologies International Corporation’s share of equity in income of joint ventures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2,292,734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1,631,125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262,148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399,461</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10"/>
          </w:tcPr>
          <w:p>
            <w:pPr>
              <w:jc w:val="right"/>
              <w:ind w:right="792"/>
              <w:spacing w:after="0"/>
              <w:rPr>
                <w:sz w:val="20"/>
                <w:szCs w:val="20"/>
                <w:color w:val="auto"/>
              </w:rPr>
            </w:pPr>
            <w:r>
              <w:rPr>
                <w:rFonts w:ascii="Arial" w:cs="Arial" w:eastAsia="Arial" w:hAnsi="Arial"/>
                <w:sz w:val="18"/>
                <w:szCs w:val="18"/>
                <w:b w:val="1"/>
                <w:bCs w:val="1"/>
                <w:color w:val="auto"/>
              </w:rPr>
              <w:t>Six Months Ended February 29, 2012</w:t>
            </w:r>
          </w:p>
        </w:tc>
      </w:tr>
      <w:tr>
        <w:trPr>
          <w:trHeight w:val="204"/>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2"/>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2"/>
              <w:spacing w:after="0" w:line="205" w:lineRule="exact"/>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7"/>
                <w:szCs w:val="17"/>
                <w:color w:val="auto"/>
              </w:rPr>
            </w:pPr>
          </w:p>
        </w:tc>
        <w:tc>
          <w:tcPr>
            <w:tcW w:w="106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NTI ASEAN</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67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54,792,662</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6"/>
              </w:rPr>
              <w:t>16,958,519</w:t>
            </w:r>
          </w:p>
        </w:tc>
        <w:tc>
          <w:tcPr>
            <w:tcW w:w="22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10,482,144</w:t>
            </w:r>
          </w:p>
        </w:tc>
        <w:tc>
          <w:tcPr>
            <w:tcW w:w="1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27,351,999</w:t>
            </w:r>
          </w:p>
        </w:tc>
      </w:tr>
      <w:tr>
        <w:trPr>
          <w:trHeight w:val="211"/>
        </w:trPr>
        <w:tc>
          <w:tcPr>
            <w:tcW w:w="678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25,945,925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8,860,381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4,705,397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12,380,147</w:t>
            </w: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4,798,435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3,158,682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1,276,056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363,697</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w w:val="91"/>
              </w:rPr>
              <w:t>Northern Technologies International Corporation’s share of equity in income of joint ventures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2,582,355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1,576,496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692,115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313,744</w:t>
            </w:r>
          </w:p>
        </w:tc>
      </w:tr>
    </w:tbl>
    <w:p>
      <w:pPr>
        <w:spacing w:after="0" w:line="213"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*Prior to September 1, 2012, the Company owned 50% of NTI Asean, which included the joint venture in China, and disclosed its financial information accordingly. On September 1, 2012, the Company obtained an additional 10% ownership interest in NTI Asean and has consolidated the results of NTI Asean subsequent to that date. As a result the Company now discloses the financial information for only its joint venture in China and not all of NTI Asean accordingly.</w:t>
      </w:r>
    </w:p>
    <w:p>
      <w:pPr>
        <w:spacing w:after="0" w:line="180"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The Company records expenses that are directly attributable to the joint ventures on the consolidated statements of operations on the line “Expenses incurred in support of joint ventures”. The expenses include items such as employee compensation and benefit expenses, travel expense and consulting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other joint venture investments during the six months ended February 28, 2013 and February 29, 2012.</w:t>
      </w:r>
    </w:p>
    <w:p>
      <w:pPr>
        <w:spacing w:after="0" w:line="235" w:lineRule="exact"/>
        <w:rPr>
          <w:sz w:val="20"/>
          <w:szCs w:val="20"/>
          <w:color w:val="auto"/>
        </w:rPr>
      </w:pPr>
    </w:p>
    <w:p>
      <w:pPr>
        <w:ind w:left="620" w:hanging="615"/>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February 28, 2013, Northern Technologies Holding Company, LLC (NTI LLC) had a term loan with a principal amount of $971,474 outstanding that NTI LLC obtained from PNC Bank, National Association (PNC Bank) in connection with the purchase of NTIC’s corporate headquarters in September 2006. The term loan matures on January 10, 2016, bears interest at an annual rate based on the daily LIBOR rate plus 2.15% and is payable in consecutive monthly installments equal to approximately $6,343 (inclusive of principal but exclusive of interest). The term loan is secured by a first lien on the real estate and building owned by NTI LLC and all of the assets of the Company and is guaranteed by the Company.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1" w:name="page12"/>
    <w:bookmarkEnd w:id="11"/>
    <w:p>
      <w:pPr>
        <w:ind w:right="280"/>
        <w:spacing w:after="0" w:line="282" w:lineRule="auto"/>
        <w:rPr>
          <w:sz w:val="20"/>
          <w:szCs w:val="20"/>
          <w:color w:val="auto"/>
        </w:rPr>
      </w:pPr>
      <w:r>
        <w:rPr>
          <w:rFonts w:ascii="Arial" w:cs="Arial" w:eastAsia="Arial" w:hAnsi="Arial"/>
          <w:sz w:val="16"/>
          <w:szCs w:val="16"/>
          <w:color w:val="auto"/>
        </w:rPr>
        <w:t>The Company has a revolving line of credit with PNC Bank of $3,000,000. No amounts were outstanding under the line of credit as of February 28, 2013 and August 31, 2012. At the option of the Company, outstanding advances under the line of credit bear interest at either (a) an annual rate based on LIBOR plus</w:t>
      </w:r>
    </w:p>
    <w:p>
      <w:pPr>
        <w:spacing w:after="0" w:line="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February 28, 2013, the interest rate was 2.93% and the weighted average rate was 3.04% for the six months ended February 28, 2013. As of February 29, 2012, the interest rate was 3.24% and the weighted average rate was 3.13% for the six months ended February 29, 2012. The revolving line of credit is secured by cash, receivables and inventory.</w:t>
      </w:r>
    </w:p>
    <w:p>
      <w:pPr>
        <w:spacing w:after="0" w:line="19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term loan and the line of credit are governed under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 As of February 28, 2013, the Company was in compliance with all debt covenants.</w:t>
      </w:r>
    </w:p>
    <w:p>
      <w:pPr>
        <w:spacing w:after="0" w:line="19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December 11, 2012, PNC Bank extended the maturity date of the line of credit from January 9, 2013 to January 8, 2014, and waived a technical covenant default by the Company to deliver quarterly compliance certificates. All other terms of the line of credit and the loan agreement and other documents evidencing the line of credit remain the same.</w:t>
      </w:r>
    </w:p>
    <w:p>
      <w:pPr>
        <w:spacing w:after="0" w:line="210" w:lineRule="exact"/>
        <w:rPr>
          <w:sz w:val="20"/>
          <w:szCs w:val="20"/>
          <w:color w:val="auto"/>
        </w:rPr>
      </w:pPr>
    </w:p>
    <w:p>
      <w:pPr>
        <w:ind w:left="620" w:hanging="615"/>
        <w:spacing w:after="0"/>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six months ended February 28, 2013, the Company did not purchase or retire any shares of its common stock. The following stock options to purchase shares of common stock were exercised during the six months ended February 28, 2013:</w:t>
      </w:r>
    </w:p>
    <w:p>
      <w:pPr>
        <w:spacing w:after="0" w:line="184" w:lineRule="exact"/>
        <w:rPr>
          <w:sz w:val="20"/>
          <w:szCs w:val="20"/>
          <w:color w:val="auto"/>
        </w:rPr>
      </w:pPr>
    </w:p>
    <w:tbl>
      <w:tblPr>
        <w:tblLayout w:type="fixed"/>
        <w:tblInd w:w="2000" w:type="dxa"/>
        <w:tblCellMar>
          <w:top w:w="0" w:type="dxa"/>
          <w:left w:w="0" w:type="dxa"/>
          <w:bottom w:w="0" w:type="dxa"/>
          <w:right w:w="0" w:type="dxa"/>
        </w:tblCellMar>
      </w:tblPr>
      <w:tr>
        <w:trPr>
          <w:trHeight w:val="217"/>
        </w:trPr>
        <w:tc>
          <w:tcPr>
            <w:tcW w:w="3780" w:type="dxa"/>
            <w:vAlign w:val="bottom"/>
            <w:gridSpan w:val="3"/>
          </w:tcPr>
          <w:p>
            <w:pPr>
              <w:ind w:left="1220"/>
              <w:spacing w:after="0"/>
              <w:rPr>
                <w:sz w:val="20"/>
                <w:szCs w:val="20"/>
                <w:color w:val="auto"/>
              </w:rPr>
            </w:pPr>
            <w:r>
              <w:rPr>
                <w:rFonts w:ascii="Arial" w:cs="Arial" w:eastAsia="Arial" w:hAnsi="Arial"/>
                <w:sz w:val="18"/>
                <w:szCs w:val="18"/>
                <w:color w:val="auto"/>
              </w:rPr>
              <w:t>Options Exercised</w:t>
            </w:r>
          </w:p>
        </w:tc>
        <w:tc>
          <w:tcPr>
            <w:tcW w:w="3640" w:type="dxa"/>
            <w:vAlign w:val="bottom"/>
            <w:gridSpan w:val="3"/>
          </w:tcPr>
          <w:p>
            <w:pPr>
              <w:ind w:left="1280"/>
              <w:spacing w:after="0"/>
              <w:rPr>
                <w:sz w:val="20"/>
                <w:szCs w:val="20"/>
                <w:color w:val="auto"/>
              </w:rPr>
            </w:pPr>
            <w:r>
              <w:rPr>
                <w:rFonts w:ascii="Arial" w:cs="Arial" w:eastAsia="Arial" w:hAnsi="Arial"/>
                <w:sz w:val="18"/>
                <w:szCs w:val="18"/>
                <w:color w:val="auto"/>
              </w:rPr>
              <w:t>Exercise Price</w:t>
            </w:r>
          </w:p>
        </w:tc>
      </w:tr>
      <w:tr>
        <w:trPr>
          <w:trHeight w:val="221"/>
        </w:trPr>
        <w:tc>
          <w:tcPr>
            <w:tcW w:w="1220" w:type="dxa"/>
            <w:vAlign w:val="bottom"/>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25,140</w:t>
            </w:r>
          </w:p>
        </w:tc>
        <w:tc>
          <w:tcPr>
            <w:tcW w:w="1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$9.95</w:t>
            </w:r>
          </w:p>
        </w:tc>
        <w:tc>
          <w:tcPr>
            <w:tcW w:w="1340" w:type="dxa"/>
            <w:vAlign w:val="bottom"/>
            <w:shd w:val="clear" w:color="auto" w:fill="CCEEFF"/>
          </w:tcPr>
          <w:p>
            <w:pPr>
              <w:spacing w:after="0"/>
              <w:rPr>
                <w:sz w:val="19"/>
                <w:szCs w:val="19"/>
                <w:color w:val="auto"/>
              </w:rPr>
            </w:pPr>
          </w:p>
        </w:tc>
      </w:tr>
      <w:tr>
        <w:trPr>
          <w:trHeight w:val="223"/>
        </w:trPr>
        <w:tc>
          <w:tcPr>
            <w:tcW w:w="2500" w:type="dxa"/>
            <w:vAlign w:val="bottom"/>
            <w:gridSpan w:val="2"/>
          </w:tcPr>
          <w:p>
            <w:pPr>
              <w:jc w:val="right"/>
              <w:ind w:right="352"/>
              <w:spacing w:after="0"/>
              <w:rPr>
                <w:sz w:val="20"/>
                <w:szCs w:val="20"/>
                <w:color w:val="auto"/>
              </w:rPr>
            </w:pPr>
            <w:r>
              <w:rPr>
                <w:rFonts w:ascii="Arial" w:cs="Arial" w:eastAsia="Arial" w:hAnsi="Arial"/>
                <w:sz w:val="18"/>
                <w:szCs w:val="18"/>
                <w:color w:val="auto"/>
              </w:rPr>
              <w:t>1,734</w:t>
            </w:r>
          </w:p>
        </w:tc>
        <w:tc>
          <w:tcPr>
            <w:tcW w:w="1280" w:type="dxa"/>
            <w:vAlign w:val="bottom"/>
          </w:tcPr>
          <w:p>
            <w:pPr>
              <w:spacing w:after="0"/>
              <w:rPr>
                <w:sz w:val="19"/>
                <w:szCs w:val="19"/>
                <w:color w:val="auto"/>
              </w:rPr>
            </w:pPr>
          </w:p>
        </w:tc>
        <w:tc>
          <w:tcPr>
            <w:tcW w:w="2300" w:type="dxa"/>
            <w:vAlign w:val="bottom"/>
            <w:gridSpan w:val="2"/>
          </w:tcPr>
          <w:p>
            <w:pPr>
              <w:jc w:val="right"/>
              <w:ind w:right="272"/>
              <w:spacing w:after="0"/>
              <w:rPr>
                <w:sz w:val="20"/>
                <w:szCs w:val="20"/>
                <w:color w:val="auto"/>
              </w:rPr>
            </w:pPr>
            <w:r>
              <w:rPr>
                <w:rFonts w:ascii="Arial" w:cs="Arial" w:eastAsia="Arial" w:hAnsi="Arial"/>
                <w:sz w:val="18"/>
                <w:szCs w:val="18"/>
                <w:color w:val="auto"/>
              </w:rPr>
              <w:t>7.65</w:t>
            </w:r>
          </w:p>
        </w:tc>
        <w:tc>
          <w:tcPr>
            <w:tcW w:w="1340" w:type="dxa"/>
            <w:vAlign w:val="bottom"/>
          </w:tcPr>
          <w:p>
            <w:pPr>
              <w:spacing w:after="0"/>
              <w:rPr>
                <w:sz w:val="19"/>
                <w:szCs w:val="19"/>
                <w:color w:val="auto"/>
              </w:rPr>
            </w:pPr>
          </w:p>
        </w:tc>
      </w:tr>
    </w:tbl>
    <w:p>
      <w:pPr>
        <w:spacing w:after="0" w:line="213"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The Company granted stock options under the Northern Technologies International Corporation Amended and Restated 2007 Stock Incentive Plan (the 2007 Plan) to purchase an aggregate of 118,294 shares of its common stock to various employees and directors during the six months ended February 28, 2013. The weighted average per share exercise price of the stock options is $10.25, which is equal to the fair market value of the Company’s common stock on the date of grant.</w:t>
      </w:r>
    </w:p>
    <w:p>
      <w:pPr>
        <w:spacing w:after="0" w:line="21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six months ended February 29, 2012, the Company did not purchase or retire any shares of its common stock. The following stock options to purchase shares of common stock were exercised during the six months ended February 29,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00" w:type="dxa"/>
            <w:vAlign w:val="bottom"/>
          </w:tcPr>
          <w:p>
            <w:pPr>
              <w:spacing w:after="0"/>
              <w:rPr>
                <w:sz w:val="18"/>
                <w:szCs w:val="18"/>
                <w:color w:val="auto"/>
              </w:rPr>
            </w:pPr>
          </w:p>
        </w:tc>
        <w:tc>
          <w:tcPr>
            <w:tcW w:w="3060" w:type="dxa"/>
            <w:vAlign w:val="bottom"/>
            <w:gridSpan w:val="3"/>
          </w:tcPr>
          <w:p>
            <w:pPr>
              <w:ind w:left="1220"/>
              <w:spacing w:after="0"/>
              <w:rPr>
                <w:sz w:val="20"/>
                <w:szCs w:val="20"/>
                <w:color w:val="auto"/>
              </w:rPr>
            </w:pPr>
            <w:r>
              <w:rPr>
                <w:rFonts w:ascii="Arial" w:cs="Arial" w:eastAsia="Arial" w:hAnsi="Arial"/>
                <w:sz w:val="18"/>
                <w:szCs w:val="18"/>
                <w:color w:val="auto"/>
              </w:rPr>
              <w:t>Options Exercised</w:t>
            </w:r>
          </w:p>
        </w:tc>
        <w:tc>
          <w:tcPr>
            <w:tcW w:w="4360" w:type="dxa"/>
            <w:vAlign w:val="bottom"/>
            <w:gridSpan w:val="4"/>
          </w:tcPr>
          <w:p>
            <w:pPr>
              <w:ind w:left="2000"/>
              <w:spacing w:after="0"/>
              <w:rPr>
                <w:sz w:val="20"/>
                <w:szCs w:val="20"/>
                <w:color w:val="auto"/>
              </w:rPr>
            </w:pPr>
            <w:r>
              <w:rPr>
                <w:rFonts w:ascii="Arial" w:cs="Arial" w:eastAsia="Arial" w:hAnsi="Arial"/>
                <w:sz w:val="18"/>
                <w:szCs w:val="18"/>
                <w:color w:val="auto"/>
              </w:rPr>
              <w:t>Exercise Price</w:t>
            </w:r>
          </w:p>
        </w:tc>
        <w:tc>
          <w:tcPr>
            <w:tcW w:w="2000" w:type="dxa"/>
            <w:vAlign w:val="bottom"/>
          </w:tcPr>
          <w:p>
            <w:pPr>
              <w:spacing w:after="0"/>
              <w:rPr>
                <w:sz w:val="18"/>
                <w:szCs w:val="18"/>
                <w:color w:val="auto"/>
              </w:rPr>
            </w:pPr>
          </w:p>
        </w:tc>
      </w:tr>
      <w:tr>
        <w:trPr>
          <w:trHeight w:val="221"/>
        </w:trPr>
        <w:tc>
          <w:tcPr>
            <w:tcW w:w="2000" w:type="dxa"/>
            <w:vAlign w:val="bottom"/>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1,966</w:t>
            </w:r>
          </w:p>
        </w:tc>
        <w:tc>
          <w:tcPr>
            <w:tcW w:w="5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340" w:type="dxa"/>
            <w:vAlign w:val="bottom"/>
            <w:shd w:val="clear" w:color="auto" w:fill="CCEEFF"/>
          </w:tcPr>
          <w:p>
            <w:pPr>
              <w:spacing w:after="0"/>
              <w:rPr>
                <w:sz w:val="19"/>
                <w:szCs w:val="19"/>
                <w:color w:val="auto"/>
              </w:rPr>
            </w:pPr>
          </w:p>
        </w:tc>
        <w:tc>
          <w:tcPr>
            <w:tcW w:w="2000" w:type="dxa"/>
            <w:vAlign w:val="bottom"/>
          </w:tcPr>
          <w:p>
            <w:pPr>
              <w:spacing w:after="0"/>
              <w:rPr>
                <w:sz w:val="19"/>
                <w:szCs w:val="19"/>
                <w:color w:val="auto"/>
              </w:rPr>
            </w:pPr>
          </w:p>
        </w:tc>
      </w:tr>
      <w:tr>
        <w:trPr>
          <w:trHeight w:val="593"/>
        </w:trPr>
        <w:tc>
          <w:tcPr>
            <w:tcW w:w="2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jc w:val="right"/>
              <w:ind w:right="1172"/>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42"/>
        </w:trPr>
        <w:tc>
          <w:tcPr>
            <w:tcW w:w="200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0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20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2" w:name="page13"/>
    <w:bookmarkEnd w:id="12"/>
    <w:p>
      <w:pPr>
        <w:ind w:right="240"/>
        <w:spacing w:after="0" w:line="253" w:lineRule="auto"/>
        <w:rPr>
          <w:sz w:val="20"/>
          <w:szCs w:val="20"/>
          <w:color w:val="auto"/>
        </w:rPr>
      </w:pPr>
      <w:r>
        <w:rPr>
          <w:rFonts w:ascii="Arial" w:cs="Arial" w:eastAsia="Arial" w:hAnsi="Arial"/>
          <w:sz w:val="18"/>
          <w:szCs w:val="18"/>
          <w:color w:val="auto"/>
        </w:rPr>
        <w:t>The Company granted stock options under the 2007 Plan to purchase an aggregate of 26,000 shares of its common stock to various employees and directors during the six months ended February 29, 2012. The weighted average per share exercise price of the stock options is $16.45, which is equal to the fair market value of the Company’s common stock on the date of grant.</w:t>
      </w:r>
    </w:p>
    <w:p>
      <w:pPr>
        <w:spacing w:after="0" w:line="2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During the six months ended February 29, 2012, the Company paid stock bonuses under the 2007 Plan for an aggregate of 42,707 shares of its common stock to various employees at a grant price of $14.42 per share. The aggregate fair value of the shares of the Company’s common stock as of the date of payment of the stock bonuses was $615,830, based on the closing sale price of a share of the Company’s common stock on the date of payment. The fair value of common stock granted during the six months ended February 29, 2012 was based on fiscal 2011 performance and was included in accrued liabilities at August 31, 2011.</w:t>
      </w:r>
    </w:p>
    <w:p>
      <w:pPr>
        <w:spacing w:after="0" w:line="183" w:lineRule="exact"/>
        <w:rPr>
          <w:sz w:val="20"/>
          <w:szCs w:val="20"/>
          <w:color w:val="auto"/>
        </w:rPr>
      </w:pPr>
    </w:p>
    <w:p>
      <w:pPr>
        <w:ind w:left="620" w:hanging="615"/>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20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Options to purchase shares of common stock of 48,000 were excluded from the computation of common share equivalents for the three and six months ended February 28, 2013, as the exercise prices of such options were greater than market price of a share of common stock. Options to purchase shares of common stock of 26,000 were excluded from the computation of common share equivalents for the three and six months ended February 29, 2012, as the exercise prices of such options were greater than market price of a share of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earnings per share computation for the three and six months ended February 28, 2013 and February 29, 2012: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29,</w:t>
            </w:r>
          </w:p>
        </w:tc>
        <w:tc>
          <w:tcPr>
            <w:tcW w:w="12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29,</w:t>
            </w:r>
          </w:p>
        </w:tc>
        <w:tc>
          <w:tcPr>
            <w:tcW w:w="0" w:type="dxa"/>
            <w:vAlign w:val="bottom"/>
          </w:tcPr>
          <w:p>
            <w:pPr>
              <w:spacing w:after="0"/>
              <w:rPr>
                <w:sz w:val="1"/>
                <w:szCs w:val="1"/>
                <w:color w:val="auto"/>
              </w:rPr>
            </w:pP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Numerators:</w:t>
            </w: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income attributable to NTIC</w:t>
            </w:r>
          </w:p>
        </w:tc>
        <w:tc>
          <w:tcPr>
            <w:tcW w:w="2160" w:type="dxa"/>
            <w:vAlign w:val="bottom"/>
            <w:gridSpan w:val="2"/>
            <w:shd w:val="clear" w:color="auto" w:fill="CCEEFF"/>
          </w:tcPr>
          <w:p>
            <w:pPr>
              <w:ind w:left="198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434,410</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606,193</w:t>
            </w:r>
          </w:p>
        </w:tc>
        <w:tc>
          <w:tcPr>
            <w:tcW w:w="300" w:type="dxa"/>
            <w:vAlign w:val="bottom"/>
            <w:gridSpan w:val="2"/>
            <w:shd w:val="clear" w:color="auto" w:fill="CCEEFF"/>
          </w:tcPr>
          <w:p>
            <w:pPr>
              <w:ind w:left="12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824,032</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1,564,950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4,418,821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4,398,356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4,409,954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4,366,932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66,255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68,079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50,243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73,069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80" w:type="dxa"/>
            <w:vAlign w:val="bottom"/>
          </w:tcPr>
          <w:p>
            <w:pPr>
              <w:spacing w:after="0" w:line="204" w:lineRule="exact"/>
              <w:rPr>
                <w:sz w:val="20"/>
                <w:szCs w:val="20"/>
                <w:color w:val="auto"/>
              </w:rPr>
            </w:pPr>
            <w:r>
              <w:rPr>
                <w:rFonts w:ascii="Arial" w:cs="Arial" w:eastAsia="Arial" w:hAnsi="Arial"/>
                <w:sz w:val="18"/>
                <w:szCs w:val="18"/>
                <w:color w:val="auto"/>
              </w:rPr>
              <w:t>Diluted – weighted shares outstanding</w:t>
            </w: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4,485,076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4,466,435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4,460,197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4,440,001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1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980" w:type="dxa"/>
            <w:vAlign w:val="bottom"/>
          </w:tcPr>
          <w:p>
            <w:pPr>
              <w:jc w:val="right"/>
              <w:ind w:right="892"/>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808080"/>
            </w:tcBorders>
          </w:tcPr>
          <w:p>
            <w:pPr>
              <w:spacing w:after="0"/>
              <w:rPr>
                <w:sz w:val="12"/>
                <w:szCs w:val="12"/>
                <w:color w:val="auto"/>
              </w:rPr>
            </w:pPr>
          </w:p>
        </w:tc>
        <w:tc>
          <w:tcPr>
            <w:tcW w:w="4780" w:type="dxa"/>
            <w:vAlign w:val="bottom"/>
            <w:tcBorders>
              <w:bottom w:val="single" w:sz="8" w:color="808080"/>
            </w:tcBorders>
          </w:tcPr>
          <w:p>
            <w:pPr>
              <w:spacing w:after="0"/>
              <w:rPr>
                <w:sz w:val="12"/>
                <w:szCs w:val="12"/>
                <w:color w:val="auto"/>
              </w:rPr>
            </w:pPr>
          </w:p>
        </w:tc>
        <w:tc>
          <w:tcPr>
            <w:tcW w:w="19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3" w:name="page14"/>
    <w:bookmarkEnd w:id="13"/>
    <w:p>
      <w:pPr>
        <w:ind w:right="60"/>
        <w:spacing w:after="0" w:line="250"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213" w:lineRule="exact"/>
        <w:rPr>
          <w:sz w:val="20"/>
          <w:szCs w:val="20"/>
          <w:color w:val="auto"/>
        </w:rPr>
      </w:pPr>
    </w:p>
    <w:p>
      <w:pPr>
        <w:ind w:left="700" w:hanging="695"/>
        <w:spacing w:after="0"/>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sz w:val="20"/>
          <w:szCs w:val="20"/>
          <w:color w:val="auto"/>
        </w:rPr>
      </w:pPr>
    </w:p>
    <w:p>
      <w:pPr>
        <w:ind w:right="260"/>
        <w:spacing w:after="0" w:line="300" w:lineRule="auto"/>
        <w:rPr>
          <w:sz w:val="20"/>
          <w:szCs w:val="20"/>
          <w:color w:val="auto"/>
        </w:rPr>
      </w:pPr>
      <w:r>
        <w:rPr>
          <w:rFonts w:ascii="Arial" w:cs="Arial" w:eastAsia="Arial" w:hAnsi="Arial"/>
          <w:sz w:val="16"/>
          <w:szCs w:val="16"/>
          <w:color w:val="auto"/>
        </w:rPr>
        <w:t>The Company has two stock-based compensation plans under which stock options and other stock-based awards have been granted, including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administers these plans.</w:t>
      </w:r>
    </w:p>
    <w:p>
      <w:pPr>
        <w:spacing w:after="0" w:line="18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19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options to purchase an aggregate of 118,294 and 26,000 shares of its common stock during the six months ended February 28, 2013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February 29, 2012, respectively. The fair value of option grants is determined at date of grant, using the Black-Scholes option pricing model with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assumptions listed below. Based on these valuations, the Company recognized compensation expense of $137,550 and $145,046 during the six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2013 and February 29, 2012, respectively, related to the options that vested during such time period. The stock-based expense recorded reduced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after-tax net income per share by $0.03 for each of the six months ended February 28, 2013 and February 29, 2012, respectively. As of February 28, 2013,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total compensation cost for non-vested options not yet recognized in the Company’s consolidated statements of operations was $478,992 net of estimated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forfeitures. Additional stock-based compensation expense of $173,220 is expected through the remainder of fiscal year 2013, and expense of $185,815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$99,964 is expected to be recognized during fiscal 2014 and fiscal 2015, respectively. Future option grants will impact the compensation expense recognized.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72" w:right="259" w:bottom="1440" w:gutter="0" w:footer="0" w:header="0"/>
        </w:sectPr>
      </w:pPr>
    </w:p>
    <w:bookmarkStart w:id="14" w:name="page15"/>
    <w:bookmarkEnd w:id="14"/>
    <w:p>
      <w:pPr>
        <w:ind w:right="40"/>
        <w:spacing w:after="0" w:line="262"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00" w:type="dxa"/>
            <w:vAlign w:val="bottom"/>
          </w:tcPr>
          <w:p>
            <w:pPr>
              <w:spacing w:after="0"/>
              <w:rPr>
                <w:sz w:val="17"/>
                <w:szCs w:val="17"/>
                <w:color w:val="auto"/>
              </w:rPr>
            </w:pPr>
          </w:p>
        </w:tc>
        <w:tc>
          <w:tcPr>
            <w:tcW w:w="1060" w:type="dxa"/>
            <w:vAlign w:val="bottom"/>
            <w:tcBorders>
              <w:top w:val="single" w:sz="8" w:color="auto"/>
            </w:tcBorders>
          </w:tcPr>
          <w:p>
            <w:pPr>
              <w:ind w:left="40"/>
              <w:spacing w:after="0" w:line="206" w:lineRule="exact"/>
              <w:rPr>
                <w:sz w:val="20"/>
                <w:szCs w:val="20"/>
                <w:color w:val="auto"/>
              </w:rPr>
            </w:pPr>
            <w:r>
              <w:rPr>
                <w:rFonts w:ascii="Arial" w:cs="Arial" w:eastAsia="Arial" w:hAnsi="Arial"/>
                <w:sz w:val="18"/>
                <w:szCs w:val="18"/>
                <w:b w:val="1"/>
                <w:bCs w:val="1"/>
                <w:color w:val="auto"/>
                <w:w w:val="93"/>
              </w:rPr>
              <w:t>February 28,</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w w:val="93"/>
              </w:rPr>
              <w:t>February 29,</w:t>
            </w:r>
          </w:p>
        </w:tc>
      </w:tr>
      <w:tr>
        <w:trPr>
          <w:trHeight w:val="229"/>
        </w:trPr>
        <w:tc>
          <w:tcPr>
            <w:tcW w:w="9200" w:type="dxa"/>
            <w:vAlign w:val="bottom"/>
          </w:tcPr>
          <w:p>
            <w:pPr>
              <w:spacing w:after="0"/>
              <w:rPr>
                <w:sz w:val="19"/>
                <w:szCs w:val="19"/>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2012</w:t>
            </w:r>
          </w:p>
        </w:tc>
      </w:tr>
      <w:tr>
        <w:trPr>
          <w:trHeight w:val="204"/>
        </w:trPr>
        <w:tc>
          <w:tcPr>
            <w:tcW w:w="92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Dividend yield</w:t>
            </w:r>
          </w:p>
        </w:tc>
        <w:tc>
          <w:tcPr>
            <w:tcW w:w="1060" w:type="dxa"/>
            <w:vAlign w:val="bottom"/>
            <w:shd w:val="clear" w:color="auto" w:fill="CCEEFF"/>
          </w:tcPr>
          <w:p>
            <w:pPr>
              <w:ind w:left="360"/>
              <w:spacing w:after="0" w:line="205" w:lineRule="exact"/>
              <w:rPr>
                <w:sz w:val="20"/>
                <w:szCs w:val="20"/>
                <w:color w:val="auto"/>
              </w:rPr>
            </w:pPr>
            <w:r>
              <w:rPr>
                <w:rFonts w:ascii="Arial" w:cs="Arial" w:eastAsia="Arial" w:hAnsi="Arial"/>
                <w:sz w:val="18"/>
                <w:szCs w:val="18"/>
                <w:color w:val="auto"/>
              </w:rPr>
              <w:t>0.00%</w:t>
            </w:r>
          </w:p>
        </w:tc>
        <w:tc>
          <w:tcPr>
            <w:tcW w:w="11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0.00%</w:t>
            </w:r>
          </w:p>
        </w:tc>
      </w:tr>
      <w:tr>
        <w:trPr>
          <w:trHeight w:val="211"/>
        </w:trPr>
        <w:tc>
          <w:tcPr>
            <w:tcW w:w="9200" w:type="dxa"/>
            <w:vAlign w:val="bottom"/>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ind w:left="360"/>
              <w:spacing w:after="0"/>
              <w:rPr>
                <w:sz w:val="20"/>
                <w:szCs w:val="20"/>
                <w:color w:val="auto"/>
              </w:rPr>
            </w:pPr>
            <w:r>
              <w:rPr>
                <w:rFonts w:ascii="Arial" w:cs="Arial" w:eastAsia="Arial" w:hAnsi="Arial"/>
                <w:sz w:val="18"/>
                <w:szCs w:val="18"/>
                <w:color w:val="auto"/>
              </w:rPr>
              <w:t>48.0%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48.8%</w:t>
            </w:r>
          </w:p>
        </w:tc>
      </w:tr>
      <w:tr>
        <w:trPr>
          <w:trHeight w:val="211"/>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  -  10</w:t>
            </w:r>
          </w:p>
        </w:tc>
        <w:tc>
          <w:tcPr>
            <w:tcW w:w="11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060" w:type="dxa"/>
            <w:vAlign w:val="bottom"/>
          </w:tcPr>
          <w:p>
            <w:pPr>
              <w:ind w:left="360"/>
              <w:spacing w:after="0"/>
              <w:rPr>
                <w:sz w:val="20"/>
                <w:szCs w:val="20"/>
                <w:color w:val="auto"/>
              </w:rPr>
            </w:pPr>
            <w:r>
              <w:rPr>
                <w:rFonts w:ascii="Arial" w:cs="Arial" w:eastAsia="Arial" w:hAnsi="Arial"/>
                <w:sz w:val="18"/>
                <w:szCs w:val="18"/>
                <w:color w:val="auto"/>
              </w:rPr>
              <w:t>0.71%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1.31%</w:t>
            </w:r>
          </w:p>
        </w:tc>
      </w:tr>
    </w:tbl>
    <w:p>
      <w:pPr>
        <w:spacing w:after="0" w:line="21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weighted average per share fair value of options granted during six months ended February 28, 2013 and February 29, 2012 was $5.53 and $7.14, respectively. The weighted average remaining contractual life of the options outstanding as of February 28, 2013 and February 29, 2012 was 4.58 years and 2.07 years, respectively.</w:t>
      </w:r>
    </w:p>
    <w:p>
      <w:pPr>
        <w:spacing w:after="0" w:line="210" w:lineRule="exact"/>
        <w:rPr>
          <w:sz w:val="20"/>
          <w:szCs w:val="20"/>
          <w:color w:val="auto"/>
        </w:rPr>
      </w:pPr>
    </w:p>
    <w:p>
      <w:pPr>
        <w:ind w:left="700" w:hanging="695"/>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Net sales by geographic location as a percentage of total consolidated net sales for the three and six months ended February 28, 2013 and February 29, 2012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80" w:type="dxa"/>
            <w:vAlign w:val="bottom"/>
          </w:tcPr>
          <w:p>
            <w:pPr>
              <w:spacing w:after="0"/>
              <w:rPr>
                <w:sz w:val="19"/>
                <w:szCs w:val="19"/>
                <w:color w:val="auto"/>
              </w:rPr>
            </w:pPr>
          </w:p>
        </w:tc>
        <w:tc>
          <w:tcPr>
            <w:tcW w:w="23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38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8"/>
                <w:szCs w:val="18"/>
                <w:b w:val="1"/>
                <w:bCs w:val="1"/>
                <w:color w:val="auto"/>
              </w:rPr>
              <w:t>Six Months Ended</w:t>
            </w:r>
          </w:p>
        </w:tc>
      </w:tr>
      <w:tr>
        <w:trPr>
          <w:trHeight w:val="186"/>
        </w:trPr>
        <w:tc>
          <w:tcPr>
            <w:tcW w:w="6580" w:type="dxa"/>
            <w:vAlign w:val="bottom"/>
          </w:tcPr>
          <w:p>
            <w:pPr>
              <w:spacing w:after="0"/>
              <w:rPr>
                <w:sz w:val="16"/>
                <w:szCs w:val="16"/>
                <w:color w:val="auto"/>
              </w:rPr>
            </w:pPr>
          </w:p>
        </w:tc>
        <w:tc>
          <w:tcPr>
            <w:tcW w:w="1120" w:type="dxa"/>
            <w:vAlign w:val="bottom"/>
          </w:tcPr>
          <w:p>
            <w:pPr>
              <w:jc w:val="right"/>
              <w:ind w:right="72"/>
              <w:spacing w:after="0" w:line="187" w:lineRule="exact"/>
              <w:rPr>
                <w:sz w:val="20"/>
                <w:szCs w:val="20"/>
                <w:color w:val="auto"/>
              </w:rPr>
            </w:pPr>
            <w:r>
              <w:rPr>
                <w:rFonts w:ascii="Arial" w:cs="Arial" w:eastAsia="Arial" w:hAnsi="Arial"/>
                <w:sz w:val="18"/>
                <w:szCs w:val="18"/>
                <w:b w:val="1"/>
                <w:bCs w:val="1"/>
                <w:color w:val="auto"/>
                <w:w w:val="87"/>
              </w:rPr>
              <w:t>February 28,</w:t>
            </w:r>
          </w:p>
        </w:tc>
        <w:tc>
          <w:tcPr>
            <w:tcW w:w="1240" w:type="dxa"/>
            <w:vAlign w:val="bottom"/>
            <w:gridSpan w:val="2"/>
          </w:tcPr>
          <w:p>
            <w:pPr>
              <w:jc w:val="right"/>
              <w:ind w:right="72"/>
              <w:spacing w:after="0" w:line="187" w:lineRule="exact"/>
              <w:rPr>
                <w:sz w:val="20"/>
                <w:szCs w:val="20"/>
                <w:color w:val="auto"/>
              </w:rPr>
            </w:pPr>
            <w:r>
              <w:rPr>
                <w:rFonts w:ascii="Arial" w:cs="Arial" w:eastAsia="Arial" w:hAnsi="Arial"/>
                <w:sz w:val="18"/>
                <w:szCs w:val="18"/>
                <w:b w:val="1"/>
                <w:bCs w:val="1"/>
                <w:color w:val="auto"/>
                <w:w w:val="98"/>
              </w:rPr>
              <w:t>February 29,</w:t>
            </w:r>
          </w:p>
        </w:tc>
        <w:tc>
          <w:tcPr>
            <w:tcW w:w="100" w:type="dxa"/>
            <w:vAlign w:val="bottom"/>
          </w:tcPr>
          <w:p>
            <w:pPr>
              <w:spacing w:after="0"/>
              <w:rPr>
                <w:sz w:val="16"/>
                <w:szCs w:val="16"/>
                <w:color w:val="auto"/>
              </w:rPr>
            </w:pPr>
          </w:p>
        </w:tc>
        <w:tc>
          <w:tcPr>
            <w:tcW w:w="1140" w:type="dxa"/>
            <w:vAlign w:val="bottom"/>
          </w:tcPr>
          <w:p>
            <w:pPr>
              <w:jc w:val="right"/>
              <w:ind w:right="72"/>
              <w:spacing w:after="0" w:line="187" w:lineRule="exact"/>
              <w:rPr>
                <w:sz w:val="20"/>
                <w:szCs w:val="20"/>
                <w:color w:val="auto"/>
              </w:rPr>
            </w:pPr>
            <w:r>
              <w:rPr>
                <w:rFonts w:ascii="Arial" w:cs="Arial" w:eastAsia="Arial" w:hAnsi="Arial"/>
                <w:sz w:val="18"/>
                <w:szCs w:val="18"/>
                <w:b w:val="1"/>
                <w:bCs w:val="1"/>
                <w:color w:val="auto"/>
                <w:w w:val="89"/>
              </w:rPr>
              <w:t>February 28,</w:t>
            </w:r>
          </w:p>
        </w:tc>
        <w:tc>
          <w:tcPr>
            <w:tcW w:w="100" w:type="dxa"/>
            <w:vAlign w:val="bottom"/>
          </w:tcPr>
          <w:p>
            <w:pPr>
              <w:spacing w:after="0"/>
              <w:rPr>
                <w:sz w:val="16"/>
                <w:szCs w:val="16"/>
                <w:color w:val="auto"/>
              </w:rPr>
            </w:pPr>
          </w:p>
        </w:tc>
        <w:tc>
          <w:tcPr>
            <w:tcW w:w="1140" w:type="dxa"/>
            <w:vAlign w:val="bottom"/>
          </w:tcPr>
          <w:p>
            <w:pPr>
              <w:jc w:val="right"/>
              <w:ind w:right="72"/>
              <w:spacing w:after="0" w:line="187" w:lineRule="exact"/>
              <w:rPr>
                <w:sz w:val="20"/>
                <w:szCs w:val="20"/>
                <w:color w:val="auto"/>
              </w:rPr>
            </w:pPr>
            <w:r>
              <w:rPr>
                <w:rFonts w:ascii="Arial" w:cs="Arial" w:eastAsia="Arial" w:hAnsi="Arial"/>
                <w:sz w:val="18"/>
                <w:szCs w:val="18"/>
                <w:b w:val="1"/>
                <w:bCs w:val="1"/>
                <w:color w:val="auto"/>
                <w:w w:val="89"/>
              </w:rPr>
              <w:t>February 29,</w:t>
            </w:r>
          </w:p>
        </w:tc>
      </w:tr>
      <w:tr>
        <w:trPr>
          <w:trHeight w:val="229"/>
        </w:trPr>
        <w:tc>
          <w:tcPr>
            <w:tcW w:w="6580" w:type="dxa"/>
            <w:vAlign w:val="bottom"/>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2012</w:t>
            </w:r>
          </w:p>
        </w:tc>
      </w:tr>
      <w:tr>
        <w:trPr>
          <w:trHeight w:val="204"/>
        </w:trPr>
        <w:tc>
          <w:tcPr>
            <w:tcW w:w="65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Inside the U.S.A. to unaffiliated customers</w:t>
            </w:r>
          </w:p>
        </w:tc>
        <w:tc>
          <w:tcPr>
            <w:tcW w:w="11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65.6%</w:t>
            </w:r>
          </w:p>
        </w:tc>
        <w:tc>
          <w:tcPr>
            <w:tcW w:w="1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58.9%</w:t>
            </w:r>
          </w:p>
        </w:tc>
        <w:tc>
          <w:tcPr>
            <w:tcW w:w="1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68.4%</w:t>
            </w:r>
          </w:p>
        </w:tc>
        <w:tc>
          <w:tcPr>
            <w:tcW w:w="1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63.3%</w:t>
            </w:r>
          </w:p>
        </w:tc>
      </w:tr>
      <w:tr>
        <w:trPr>
          <w:trHeight w:val="211"/>
        </w:trPr>
        <w:tc>
          <w:tcPr>
            <w:tcW w:w="6580" w:type="dxa"/>
            <w:vAlign w:val="bottom"/>
          </w:tcPr>
          <w:p>
            <w:pPr>
              <w:spacing w:after="0"/>
              <w:rPr>
                <w:sz w:val="20"/>
                <w:szCs w:val="20"/>
                <w:color w:val="auto"/>
              </w:rPr>
            </w:pPr>
            <w:r>
              <w:rPr>
                <w:rFonts w:ascii="Arial" w:cs="Arial" w:eastAsia="Arial" w:hAnsi="Arial"/>
                <w:sz w:val="18"/>
                <w:szCs w:val="18"/>
                <w:color w:val="auto"/>
              </w:rPr>
              <w:t>Outside the U.S.A to:</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1"/>
        </w:trPr>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1"/>
        </w:trPr>
        <w:tc>
          <w:tcPr>
            <w:tcW w:w="6580" w:type="dxa"/>
            <w:vAlign w:val="bottom"/>
          </w:tcPr>
          <w:p>
            <w:pPr>
              <w:ind w:left="160"/>
              <w:spacing w:after="0"/>
              <w:rPr>
                <w:sz w:val="20"/>
                <w:szCs w:val="20"/>
                <w:color w:val="auto"/>
              </w:rPr>
            </w:pPr>
            <w:r>
              <w:rPr>
                <w:rFonts w:ascii="Arial" w:cs="Arial" w:eastAsia="Arial" w:hAnsi="Arial"/>
                <w:sz w:val="18"/>
                <w:szCs w:val="18"/>
                <w:color w:val="auto"/>
              </w:rPr>
              <w:t>Unaffiliated customers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04"/>
        </w:trPr>
        <w:tc>
          <w:tcPr>
            <w:tcW w:w="6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4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months ended February 28, 2013 and February 29, 2012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86"/>
        </w:trPr>
        <w:tc>
          <w:tcPr>
            <w:tcW w:w="39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87"/>
              </w:rPr>
              <w:t>% of Total Fees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52"/>
              <w:spacing w:after="0" w:line="186" w:lineRule="exact"/>
              <w:rPr>
                <w:sz w:val="20"/>
                <w:szCs w:val="20"/>
                <w:color w:val="auto"/>
              </w:rPr>
            </w:pPr>
            <w:r>
              <w:rPr>
                <w:rFonts w:ascii="Arial" w:cs="Arial" w:eastAsia="Arial" w:hAnsi="Arial"/>
                <w:sz w:val="18"/>
                <w:szCs w:val="18"/>
                <w:b w:val="1"/>
                <w:bCs w:val="1"/>
                <w:color w:val="auto"/>
                <w:w w:val="89"/>
              </w:rPr>
              <w:t>% of Total Fees</w:t>
            </w:r>
          </w:p>
        </w:tc>
      </w:tr>
      <w:tr>
        <w:trPr>
          <w:trHeight w:val="211"/>
        </w:trPr>
        <w:tc>
          <w:tcPr>
            <w:tcW w:w="39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r>
      <w:tr>
        <w:trPr>
          <w:trHeight w:val="211"/>
        </w:trPr>
        <w:tc>
          <w:tcPr>
            <w:tcW w:w="3940" w:type="dxa"/>
            <w:vAlign w:val="bottom"/>
          </w:tcPr>
          <w:p>
            <w:pPr>
              <w:spacing w:after="0"/>
              <w:rPr>
                <w:sz w:val="18"/>
                <w:szCs w:val="18"/>
                <w:color w:val="auto"/>
              </w:rPr>
            </w:pPr>
          </w:p>
        </w:tc>
        <w:tc>
          <w:tcPr>
            <w:tcW w:w="3440" w:type="dxa"/>
            <w:vAlign w:val="bottom"/>
            <w:gridSpan w:val="3"/>
          </w:tcPr>
          <w:p>
            <w:pPr>
              <w:ind w:left="2360"/>
              <w:spacing w:after="0"/>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8"/>
                <w:szCs w:val="18"/>
                <w:color w:val="auto"/>
              </w:rPr>
            </w:pPr>
          </w:p>
        </w:tc>
        <w:tc>
          <w:tcPr>
            <w:tcW w:w="132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Provided to</w:t>
            </w:r>
          </w:p>
        </w:tc>
        <w:tc>
          <w:tcPr>
            <w:tcW w:w="118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February 29,</w:t>
            </w: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Provided to</w:t>
            </w:r>
          </w:p>
        </w:tc>
      </w:tr>
      <w:tr>
        <w:trPr>
          <w:trHeight w:val="229"/>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Joint Ventures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Joint Ventures</w:t>
            </w:r>
          </w:p>
        </w:tc>
      </w:tr>
      <w:tr>
        <w:trPr>
          <w:trHeight w:val="204"/>
        </w:trPr>
        <w:tc>
          <w:tcPr>
            <w:tcW w:w="39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China*</w:t>
            </w:r>
          </w:p>
        </w:tc>
        <w:tc>
          <w:tcPr>
            <w:tcW w:w="2540" w:type="dxa"/>
            <w:vAlign w:val="bottom"/>
            <w:gridSpan w:val="2"/>
            <w:shd w:val="clear" w:color="auto" w:fill="CCEEFF"/>
          </w:tcPr>
          <w:p>
            <w:pPr>
              <w:ind w:left="236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450,586</w:t>
            </w:r>
          </w:p>
        </w:tc>
        <w:tc>
          <w:tcPr>
            <w:tcW w:w="14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25.4%</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0.0%</w:t>
            </w: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Germany</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249,513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251,387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19.4%</w:t>
            </w: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169,205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214,984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Poland</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154,839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130,470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148,303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France</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147,896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127,004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123,388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Sweden</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77,627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148,277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72,329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118,911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United Kingdom</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35,754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80,639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163,689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2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141,441</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62,233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4"/>
        </w:trPr>
        <w:tc>
          <w:tcPr>
            <w:tcW w:w="394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ind w:left="236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1,770,881</w:t>
            </w:r>
          </w:p>
        </w:tc>
        <w:tc>
          <w:tcPr>
            <w:tcW w:w="14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1,298,126</w:t>
            </w:r>
          </w:p>
        </w:tc>
        <w:tc>
          <w:tcPr>
            <w:tcW w:w="14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r>
      <w:tr>
        <w:trPr>
          <w:trHeight w:val="239"/>
        </w:trPr>
        <w:tc>
          <w:tcPr>
            <w:tcW w:w="3940" w:type="dxa"/>
            <w:vAlign w:val="bottom"/>
          </w:tcPr>
          <w:p>
            <w:pPr>
              <w:spacing w:after="0" w:line="239" w:lineRule="exact"/>
              <w:rPr>
                <w:sz w:val="20"/>
                <w:szCs w:val="20"/>
                <w:color w:val="auto"/>
              </w:rPr>
            </w:pPr>
            <w:r>
              <w:rPr>
                <w:rFonts w:ascii="Arial" w:cs="Arial" w:eastAsia="Arial" w:hAnsi="Arial"/>
                <w:sz w:val="21"/>
                <w:szCs w:val="21"/>
                <w:color w:val="auto"/>
              </w:rPr>
              <w:t>_______________</w:t>
            </w: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ind w:left="640" w:hanging="63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venture owned by NTI Asean.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5" w:name="page16"/>
    <w:bookmarkEnd w:id="15"/>
    <w:p>
      <w:pPr>
        <w:ind w:left="640" w:right="300" w:hanging="635"/>
        <w:spacing w:after="0" w:line="26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venture owned by NTI Asean as of February 28, 2013, but not as of February 29, 2012. NTI Asean results are not included on the consolidated financial statements for the three months ended February 29, 2012. (See Note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86"/>
        </w:trPr>
        <w:tc>
          <w:tcPr>
            <w:tcW w:w="40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87"/>
              </w:rPr>
              <w:t>% of Total Fees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52"/>
              <w:spacing w:after="0" w:line="186" w:lineRule="exact"/>
              <w:rPr>
                <w:sz w:val="20"/>
                <w:szCs w:val="20"/>
                <w:color w:val="auto"/>
              </w:rPr>
            </w:pPr>
            <w:r>
              <w:rPr>
                <w:rFonts w:ascii="Arial" w:cs="Arial" w:eastAsia="Arial" w:hAnsi="Arial"/>
                <w:sz w:val="18"/>
                <w:szCs w:val="18"/>
                <w:b w:val="1"/>
                <w:bCs w:val="1"/>
                <w:color w:val="auto"/>
                <w:w w:val="89"/>
              </w:rPr>
              <w:t>% of Total Fees</w:t>
            </w:r>
          </w:p>
        </w:tc>
      </w:tr>
      <w:tr>
        <w:trPr>
          <w:trHeight w:val="211"/>
        </w:trPr>
        <w:tc>
          <w:tcPr>
            <w:tcW w:w="40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r>
      <w:tr>
        <w:trPr>
          <w:trHeight w:val="211"/>
        </w:trPr>
        <w:tc>
          <w:tcPr>
            <w:tcW w:w="4000" w:type="dxa"/>
            <w:vAlign w:val="bottom"/>
          </w:tcPr>
          <w:p>
            <w:pPr>
              <w:spacing w:after="0"/>
              <w:rPr>
                <w:sz w:val="18"/>
                <w:szCs w:val="18"/>
                <w:color w:val="auto"/>
              </w:rPr>
            </w:pPr>
          </w:p>
        </w:tc>
        <w:tc>
          <w:tcPr>
            <w:tcW w:w="3380" w:type="dxa"/>
            <w:vAlign w:val="bottom"/>
            <w:gridSpan w:val="3"/>
          </w:tcPr>
          <w:p>
            <w:pPr>
              <w:ind w:left="2300"/>
              <w:spacing w:after="0"/>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8"/>
                <w:szCs w:val="18"/>
                <w:color w:val="auto"/>
              </w:rPr>
            </w:pPr>
          </w:p>
        </w:tc>
        <w:tc>
          <w:tcPr>
            <w:tcW w:w="132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Provided to</w:t>
            </w:r>
          </w:p>
        </w:tc>
        <w:tc>
          <w:tcPr>
            <w:tcW w:w="118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February 29,</w:t>
            </w: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Provided to</w:t>
            </w:r>
          </w:p>
        </w:tc>
      </w:tr>
      <w:tr>
        <w:trPr>
          <w:trHeight w:val="229"/>
        </w:trPr>
        <w:tc>
          <w:tcPr>
            <w:tcW w:w="40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Joint Ventures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Joint Ventures</w:t>
            </w:r>
          </w:p>
        </w:tc>
      </w:tr>
      <w:tr>
        <w:trPr>
          <w:trHeight w:val="204"/>
        </w:trPr>
        <w:tc>
          <w:tcPr>
            <w:tcW w:w="40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China*</w:t>
            </w:r>
          </w:p>
        </w:tc>
        <w:tc>
          <w:tcPr>
            <w:tcW w:w="2480" w:type="dxa"/>
            <w:vAlign w:val="bottom"/>
            <w:gridSpan w:val="2"/>
            <w:shd w:val="clear" w:color="auto" w:fill="CCEEFF"/>
          </w:tcPr>
          <w:p>
            <w:pPr>
              <w:ind w:left="23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943,897</w:t>
            </w:r>
          </w:p>
        </w:tc>
        <w:tc>
          <w:tcPr>
            <w:tcW w:w="14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26.1%</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0.0%</w:t>
            </w:r>
          </w:p>
        </w:tc>
      </w:tr>
      <w:tr>
        <w:trPr>
          <w:trHeight w:val="211"/>
        </w:trPr>
        <w:tc>
          <w:tcPr>
            <w:tcW w:w="4000" w:type="dxa"/>
            <w:vAlign w:val="bottom"/>
          </w:tcPr>
          <w:p>
            <w:pPr>
              <w:spacing w:after="0"/>
              <w:rPr>
                <w:sz w:val="20"/>
                <w:szCs w:val="20"/>
                <w:color w:val="auto"/>
              </w:rPr>
            </w:pPr>
            <w:r>
              <w:rPr>
                <w:rFonts w:ascii="Arial" w:cs="Arial" w:eastAsia="Arial" w:hAnsi="Arial"/>
                <w:sz w:val="18"/>
                <w:szCs w:val="18"/>
                <w:color w:val="auto"/>
              </w:rPr>
              <w:t>Germany</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492,213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500,833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18.3%</w:t>
            </w: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371,186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503,522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1"/>
        </w:trPr>
        <w:tc>
          <w:tcPr>
            <w:tcW w:w="4000" w:type="dxa"/>
            <w:vAlign w:val="bottom"/>
          </w:tcPr>
          <w:p>
            <w:pPr>
              <w:spacing w:after="0"/>
              <w:rPr>
                <w:sz w:val="20"/>
                <w:szCs w:val="20"/>
                <w:color w:val="auto"/>
              </w:rPr>
            </w:pPr>
            <w:r>
              <w:rPr>
                <w:rFonts w:ascii="Arial" w:cs="Arial" w:eastAsia="Arial" w:hAnsi="Arial"/>
                <w:sz w:val="18"/>
                <w:szCs w:val="18"/>
                <w:color w:val="auto"/>
              </w:rPr>
              <w:t>Thailand*</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301,989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276,398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268,643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1"/>
        </w:trPr>
        <w:tc>
          <w:tcPr>
            <w:tcW w:w="4000" w:type="dxa"/>
            <w:vAlign w:val="bottom"/>
          </w:tcPr>
          <w:p>
            <w:pPr>
              <w:spacing w:after="0"/>
              <w:rPr>
                <w:sz w:val="20"/>
                <w:szCs w:val="20"/>
                <w:color w:val="auto"/>
              </w:rPr>
            </w:pPr>
            <w:r>
              <w:rPr>
                <w:rFonts w:ascii="Arial" w:cs="Arial" w:eastAsia="Arial" w:hAnsi="Arial"/>
                <w:sz w:val="18"/>
                <w:szCs w:val="18"/>
                <w:color w:val="auto"/>
              </w:rPr>
              <w:t>Poland</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266,311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228,298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262,131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76,997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1"/>
        </w:trPr>
        <w:tc>
          <w:tcPr>
            <w:tcW w:w="4000" w:type="dxa"/>
            <w:vAlign w:val="bottom"/>
          </w:tcPr>
          <w:p>
            <w:pPr>
              <w:spacing w:after="0"/>
              <w:rPr>
                <w:sz w:val="20"/>
                <w:szCs w:val="20"/>
                <w:color w:val="auto"/>
              </w:rPr>
            </w:pPr>
            <w:r>
              <w:rPr>
                <w:rFonts w:ascii="Arial" w:cs="Arial" w:eastAsia="Arial" w:hAnsi="Arial"/>
                <w:sz w:val="18"/>
                <w:szCs w:val="18"/>
                <w:color w:val="auto"/>
              </w:rPr>
              <w:t>Sweden</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164,619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304,934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160,180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251,407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1"/>
        </w:trPr>
        <w:tc>
          <w:tcPr>
            <w:tcW w:w="4000" w:type="dxa"/>
            <w:vAlign w:val="bottom"/>
          </w:tcPr>
          <w:p>
            <w:pPr>
              <w:spacing w:after="0"/>
              <w:rPr>
                <w:sz w:val="20"/>
                <w:szCs w:val="20"/>
                <w:color w:val="auto"/>
              </w:rPr>
            </w:pPr>
            <w:r>
              <w:rPr>
                <w:rFonts w:ascii="Arial" w:cs="Arial" w:eastAsia="Arial" w:hAnsi="Arial"/>
                <w:sz w:val="18"/>
                <w:szCs w:val="18"/>
                <w:color w:val="auto"/>
              </w:rPr>
              <w:t>United Kingdom</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102,812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160,138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299,844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1"/>
        </w:trPr>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275,422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148,762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4"/>
        </w:trPr>
        <w:tc>
          <w:tcPr>
            <w:tcW w:w="400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ind w:left="23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3,617,158</w:t>
            </w:r>
          </w:p>
        </w:tc>
        <w:tc>
          <w:tcPr>
            <w:tcW w:w="14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2,743,378</w:t>
            </w:r>
          </w:p>
        </w:tc>
        <w:tc>
          <w:tcPr>
            <w:tcW w:w="14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r>
      <w:tr>
        <w:trPr>
          <w:trHeight w:val="239"/>
        </w:trPr>
        <w:tc>
          <w:tcPr>
            <w:tcW w:w="4000" w:type="dxa"/>
            <w:vAlign w:val="bottom"/>
          </w:tcPr>
          <w:p>
            <w:pPr>
              <w:spacing w:after="0" w:line="239" w:lineRule="exact"/>
              <w:rPr>
                <w:sz w:val="20"/>
                <w:szCs w:val="20"/>
                <w:color w:val="auto"/>
              </w:rPr>
            </w:pPr>
            <w:r>
              <w:rPr>
                <w:rFonts w:ascii="Arial" w:cs="Arial" w:eastAsia="Arial" w:hAnsi="Arial"/>
                <w:sz w:val="21"/>
                <w:szCs w:val="21"/>
                <w:color w:val="auto"/>
              </w:rPr>
              <w:t>________________</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ind w:left="640" w:hanging="63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Joint venture owned by NTI Asean.</w:t>
      </w:r>
    </w:p>
    <w:p>
      <w:pPr>
        <w:spacing w:after="0" w:line="2" w:lineRule="exact"/>
        <w:rPr>
          <w:sz w:val="20"/>
          <w:szCs w:val="20"/>
          <w:color w:val="auto"/>
        </w:rPr>
      </w:pPr>
    </w:p>
    <w:p>
      <w:pPr>
        <w:ind w:left="640" w:right="300" w:hanging="635"/>
        <w:spacing w:after="0" w:line="24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Joint venture owned by NTI Asean as of February 28, 2013, but not as of February 29, 2012. NTI Asean results are not included on the consolidated financial statements for the six months ended February 29, 2012. (See Note 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net sales for the three and six months ended February 28, 2013 and February 29, 2012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Six Months Ended</w:t>
            </w:r>
          </w:p>
        </w:tc>
      </w:tr>
      <w:tr>
        <w:trPr>
          <w:trHeight w:val="186"/>
        </w:trPr>
        <w:tc>
          <w:tcPr>
            <w:tcW w:w="40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29,</w:t>
            </w:r>
          </w:p>
        </w:tc>
        <w:tc>
          <w:tcPr>
            <w:tcW w:w="12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29,</w:t>
            </w:r>
          </w:p>
        </w:tc>
      </w:tr>
      <w:tr>
        <w:trPr>
          <w:trHeight w:val="229"/>
        </w:trPr>
        <w:tc>
          <w:tcPr>
            <w:tcW w:w="40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2012</w:t>
            </w:r>
          </w:p>
        </w:tc>
      </w:tr>
      <w:tr>
        <w:trPr>
          <w:trHeight w:val="204"/>
        </w:trPr>
        <w:tc>
          <w:tcPr>
            <w:tcW w:w="40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ZERUST® sales</w:t>
            </w:r>
          </w:p>
        </w:tc>
        <w:tc>
          <w:tcPr>
            <w:tcW w:w="2940" w:type="dxa"/>
            <w:vAlign w:val="bottom"/>
            <w:gridSpan w:val="2"/>
            <w:shd w:val="clear" w:color="auto" w:fill="CCEEFF"/>
          </w:tcPr>
          <w:p>
            <w:pPr>
              <w:ind w:left="276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4,710,412</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4,570,779</w:t>
            </w:r>
          </w:p>
        </w:tc>
        <w:tc>
          <w:tcPr>
            <w:tcW w:w="26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9,505,695</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9,023,425</w:t>
            </w: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Natur-Tec™ sales</w:t>
            </w:r>
          </w:p>
        </w:tc>
        <w:tc>
          <w:tcPr>
            <w:tcW w:w="2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535,938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403,549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1,032,402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783,017</w:t>
            </w:r>
          </w:p>
        </w:tc>
      </w:tr>
      <w:tr>
        <w:trPr>
          <w:trHeight w:val="204"/>
        </w:trPr>
        <w:tc>
          <w:tcPr>
            <w:tcW w:w="402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76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5,246,350</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4,974,328</w:t>
            </w:r>
          </w:p>
        </w:tc>
        <w:tc>
          <w:tcPr>
            <w:tcW w:w="26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0"/>
              </w:rPr>
              <w:t>10,538,097</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9,806,442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cost of goods sold for the three and six months ended February 28, 2013 and February 29, 2012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w w:val="98"/>
              </w:rPr>
              <w:t>Six Months Ended</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86"/>
        </w:trPr>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99"/>
              </w:rPr>
              <w:t>% of</w:t>
            </w:r>
          </w:p>
        </w:tc>
      </w:tr>
      <w:tr>
        <w:trPr>
          <w:trHeight w:val="211"/>
        </w:trPr>
        <w:tc>
          <w:tcPr>
            <w:tcW w:w="27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29,</w:t>
            </w:r>
          </w:p>
        </w:tc>
        <w:tc>
          <w:tcPr>
            <w:tcW w:w="10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c>
          <w:tcPr>
            <w:tcW w:w="118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8"/>
                <w:szCs w:val="18"/>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Product</w:t>
            </w: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29,</w:t>
            </w:r>
          </w:p>
        </w:tc>
        <w:tc>
          <w:tcPr>
            <w:tcW w:w="120" w:type="dxa"/>
            <w:vAlign w:val="bottom"/>
          </w:tcPr>
          <w:p>
            <w:pPr>
              <w:spacing w:after="0"/>
              <w:rPr>
                <w:sz w:val="18"/>
                <w:szCs w:val="18"/>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Product</w:t>
            </w:r>
          </w:p>
        </w:tc>
      </w:tr>
      <w:tr>
        <w:trPr>
          <w:trHeight w:val="229"/>
        </w:trPr>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5"/>
              </w:rPr>
              <w:t>Sales*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5"/>
              </w:rPr>
              <w:t>Sales*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5"/>
              </w:rPr>
              <w:t>Sales*</w:t>
            </w:r>
          </w:p>
        </w:tc>
      </w:tr>
      <w:tr>
        <w:trPr>
          <w:trHeight w:val="204"/>
        </w:trPr>
        <w:tc>
          <w:tcPr>
            <w:tcW w:w="2720" w:type="dxa"/>
            <w:vAlign w:val="bottom"/>
          </w:tcPr>
          <w:p>
            <w:pPr>
              <w:spacing w:after="0" w:line="204" w:lineRule="exact"/>
              <w:rPr>
                <w:sz w:val="20"/>
                <w:szCs w:val="20"/>
                <w:color w:val="auto"/>
              </w:rPr>
            </w:pPr>
            <w:r>
              <w:rPr>
                <w:rFonts w:ascii="Arial" w:cs="Arial" w:eastAsia="Arial" w:hAnsi="Arial"/>
                <w:sz w:val="18"/>
                <w:szCs w:val="18"/>
                <w:color w:val="auto"/>
              </w:rPr>
              <w:t>Direct cost of goods sold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1"/>
        </w:trPr>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ZERUST®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2,623,070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2,569,588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5,267,365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5,027,387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11"/>
        </w:trPr>
        <w:tc>
          <w:tcPr>
            <w:tcW w:w="2720" w:type="dxa"/>
            <w:vAlign w:val="bottom"/>
          </w:tcPr>
          <w:p>
            <w:pPr>
              <w:ind w:left="140"/>
              <w:spacing w:after="0"/>
              <w:rPr>
                <w:sz w:val="20"/>
                <w:szCs w:val="20"/>
                <w:color w:val="auto"/>
              </w:rPr>
            </w:pPr>
            <w:r>
              <w:rPr>
                <w:rFonts w:ascii="Arial" w:cs="Arial" w:eastAsia="Arial" w:hAnsi="Arial"/>
                <w:sz w:val="18"/>
                <w:szCs w:val="18"/>
                <w:color w:val="auto"/>
              </w:rPr>
              <w:t>Natur-Tec®</w:t>
            </w: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453,147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361,704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892,820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658,265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84.1%</w:t>
            </w:r>
          </w:p>
        </w:tc>
      </w:tr>
      <w:tr>
        <w:trPr>
          <w:trHeight w:val="211"/>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557,696</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548,790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1,164,700</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1,003,906</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183"/>
        </w:trPr>
        <w:tc>
          <w:tcPr>
            <w:tcW w:w="2720" w:type="dxa"/>
            <w:vAlign w:val="bottom"/>
          </w:tcPr>
          <w:p>
            <w:pPr>
              <w:ind w:left="340"/>
              <w:spacing w:after="0" w:line="182" w:lineRule="exact"/>
              <w:rPr>
                <w:sz w:val="20"/>
                <w:szCs w:val="20"/>
                <w:color w:val="auto"/>
              </w:rPr>
            </w:pPr>
            <w:r>
              <w:rPr>
                <w:rFonts w:ascii="Arial" w:cs="Arial" w:eastAsia="Arial" w:hAnsi="Arial"/>
                <w:sz w:val="18"/>
                <w:szCs w:val="18"/>
                <w:color w:val="auto"/>
              </w:rPr>
              <w:t>Total net cost of goods sold</w:t>
            </w:r>
          </w:p>
        </w:tc>
        <w:tc>
          <w:tcPr>
            <w:tcW w:w="18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82" w:lineRule="exact"/>
              <w:rPr>
                <w:sz w:val="20"/>
                <w:szCs w:val="20"/>
                <w:color w:val="auto"/>
              </w:rPr>
            </w:pPr>
            <w:r>
              <w:rPr>
                <w:rFonts w:ascii="Arial" w:cs="Arial" w:eastAsia="Arial" w:hAnsi="Arial"/>
                <w:sz w:val="18"/>
                <w:szCs w:val="18"/>
                <w:color w:val="auto"/>
                <w:w w:val="97"/>
              </w:rPr>
              <w:t>3,633,913</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82" w:lineRule="exact"/>
              <w:rPr>
                <w:sz w:val="20"/>
                <w:szCs w:val="20"/>
                <w:color w:val="auto"/>
              </w:rPr>
            </w:pPr>
            <w:r>
              <w:rPr>
                <w:rFonts w:ascii="Arial" w:cs="Arial" w:eastAsia="Arial" w:hAnsi="Arial"/>
                <w:sz w:val="18"/>
                <w:szCs w:val="18"/>
                <w:color w:val="auto"/>
                <w:w w:val="97"/>
              </w:rPr>
              <w:t>3,480,082</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82" w:lineRule="exact"/>
              <w:rPr>
                <w:sz w:val="20"/>
                <w:szCs w:val="20"/>
                <w:color w:val="auto"/>
              </w:rPr>
            </w:pPr>
            <w:r>
              <w:rPr>
                <w:rFonts w:ascii="Arial" w:cs="Arial" w:eastAsia="Arial" w:hAnsi="Arial"/>
                <w:sz w:val="18"/>
                <w:szCs w:val="18"/>
                <w:color w:val="auto"/>
                <w:w w:val="97"/>
              </w:rPr>
              <w:t>7,324,885</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82" w:lineRule="exact"/>
              <w:rPr>
                <w:sz w:val="20"/>
                <w:szCs w:val="20"/>
                <w:color w:val="auto"/>
              </w:rPr>
            </w:pPr>
            <w:r>
              <w:rPr>
                <w:rFonts w:ascii="Arial" w:cs="Arial" w:eastAsia="Arial" w:hAnsi="Arial"/>
                <w:sz w:val="18"/>
                <w:szCs w:val="18"/>
                <w:color w:val="auto"/>
                <w:w w:val="97"/>
              </w:rPr>
              <w:t>6,689,558</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60"/>
        </w:trPr>
        <w:tc>
          <w:tcPr>
            <w:tcW w:w="2720" w:type="dxa"/>
            <w:vAlign w:val="bottom"/>
          </w:tcPr>
          <w:p>
            <w:pPr>
              <w:spacing w:after="0"/>
              <w:rPr>
                <w:sz w:val="20"/>
                <w:szCs w:val="20"/>
                <w:color w:val="auto"/>
              </w:rPr>
            </w:pPr>
            <w:r>
              <w:rPr>
                <w:rFonts w:ascii="Arial" w:cs="Arial" w:eastAsia="Arial" w:hAnsi="Arial"/>
                <w:sz w:val="21"/>
                <w:szCs w:val="21"/>
                <w:color w:val="auto"/>
              </w:rPr>
              <w:t>______________</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bl>
    <w:p>
      <w:pPr>
        <w:ind w:left="480" w:right="100" w:hanging="475"/>
        <w:spacing w:after="0" w:line="246"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221"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6" w:name="page17"/>
    <w:bookmarkEnd w:id="16"/>
    <w:p>
      <w:pPr>
        <w:ind w:right="20"/>
        <w:spacing w:after="0" w:line="363" w:lineRule="auto"/>
        <w:rPr>
          <w:sz w:val="20"/>
          <w:szCs w:val="20"/>
          <w:color w:val="auto"/>
        </w:rPr>
      </w:pPr>
      <w:r>
        <w:rPr>
          <w:rFonts w:ascii="Arial" w:cs="Arial" w:eastAsia="Arial" w:hAnsi="Arial"/>
          <w:sz w:val="15"/>
          <w:szCs w:val="15"/>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49"/>
        </w:trPr>
        <w:tc>
          <w:tcPr>
            <w:tcW w:w="6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left="572"/>
              <w:spacing w:after="0"/>
              <w:rPr>
                <w:sz w:val="20"/>
                <w:szCs w:val="20"/>
                <w:color w:val="auto"/>
              </w:rPr>
            </w:pPr>
            <w:r>
              <w:rPr>
                <w:rFonts w:ascii="Arial" w:cs="Arial" w:eastAsia="Arial" w:hAnsi="Arial"/>
                <w:sz w:val="18"/>
                <w:szCs w:val="18"/>
                <w:b w:val="1"/>
                <w:bCs w:val="1"/>
                <w:color w:val="auto"/>
                <w:w w:val="90"/>
              </w:rPr>
              <w:t>At February 28, 2013</w:t>
            </w:r>
          </w:p>
        </w:tc>
        <w:tc>
          <w:tcPr>
            <w:tcW w:w="900" w:type="dxa"/>
            <w:vAlign w:val="bottom"/>
            <w:tcBorders>
              <w:bottom w:val="single" w:sz="8" w:color="auto"/>
            </w:tcBorders>
          </w:tcPr>
          <w:p>
            <w:pPr>
              <w:spacing w:after="0"/>
              <w:rPr>
                <w:sz w:val="24"/>
                <w:szCs w:val="24"/>
                <w:color w:val="auto"/>
              </w:rPr>
            </w:pPr>
          </w:p>
        </w:tc>
      </w:tr>
      <w:tr>
        <w:trPr>
          <w:trHeight w:val="186"/>
        </w:trPr>
        <w:tc>
          <w:tcPr>
            <w:tcW w:w="6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32"/>
              <w:spacing w:after="0" w:line="186" w:lineRule="exact"/>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6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Brazil</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2"/>
              </w:rPr>
              <w:t>America</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r>
      <w:tr>
        <w:trPr>
          <w:trHeight w:val="204"/>
        </w:trPr>
        <w:tc>
          <w:tcPr>
            <w:tcW w:w="6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assets</w:t>
            </w:r>
          </w:p>
        </w:tc>
        <w:tc>
          <w:tcPr>
            <w:tcW w:w="156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94"/>
              </w:rPr>
              <w:t>1,456,793</w:t>
            </w:r>
          </w:p>
        </w:tc>
        <w:tc>
          <w:tcPr>
            <w:tcW w:w="24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86"/>
              </w:rPr>
              <w:t>43,982,614</w:t>
            </w:r>
          </w:p>
        </w:tc>
        <w:tc>
          <w:tcPr>
            <w:tcW w:w="20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86"/>
              </w:rPr>
              <w:t>45,439,407</w:t>
            </w:r>
          </w:p>
        </w:tc>
      </w:tr>
      <w:tr>
        <w:trPr>
          <w:trHeight w:val="448"/>
        </w:trPr>
        <w:tc>
          <w:tcPr>
            <w:tcW w:w="6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left="572"/>
              <w:spacing w:after="0"/>
              <w:rPr>
                <w:sz w:val="20"/>
                <w:szCs w:val="20"/>
                <w:color w:val="auto"/>
              </w:rPr>
            </w:pPr>
            <w:r>
              <w:rPr>
                <w:rFonts w:ascii="Arial" w:cs="Arial" w:eastAsia="Arial" w:hAnsi="Arial"/>
                <w:sz w:val="18"/>
                <w:szCs w:val="18"/>
                <w:b w:val="1"/>
                <w:bCs w:val="1"/>
                <w:color w:val="auto"/>
                <w:w w:val="89"/>
              </w:rPr>
              <w:t>At August 31, 2012</w:t>
            </w:r>
          </w:p>
        </w:tc>
        <w:tc>
          <w:tcPr>
            <w:tcW w:w="900" w:type="dxa"/>
            <w:vAlign w:val="bottom"/>
            <w:tcBorders>
              <w:bottom w:val="single" w:sz="8" w:color="auto"/>
            </w:tcBorders>
          </w:tcPr>
          <w:p>
            <w:pPr>
              <w:spacing w:after="0"/>
              <w:rPr>
                <w:sz w:val="24"/>
                <w:szCs w:val="24"/>
                <w:color w:val="auto"/>
              </w:rPr>
            </w:pPr>
          </w:p>
        </w:tc>
      </w:tr>
      <w:tr>
        <w:trPr>
          <w:trHeight w:val="186"/>
        </w:trPr>
        <w:tc>
          <w:tcPr>
            <w:tcW w:w="6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32"/>
              <w:spacing w:after="0" w:line="186" w:lineRule="exact"/>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6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Brazil</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2"/>
              </w:rPr>
              <w:t>America</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r>
      <w:tr>
        <w:trPr>
          <w:trHeight w:val="204"/>
        </w:trPr>
        <w:tc>
          <w:tcPr>
            <w:tcW w:w="6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assets</w:t>
            </w:r>
          </w:p>
        </w:tc>
        <w:tc>
          <w:tcPr>
            <w:tcW w:w="156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94"/>
              </w:rPr>
              <w:t>1,744,693</w:t>
            </w:r>
          </w:p>
        </w:tc>
        <w:tc>
          <w:tcPr>
            <w:tcW w:w="24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86"/>
              </w:rPr>
              <w:t>40,132,934</w:t>
            </w:r>
          </w:p>
        </w:tc>
        <w:tc>
          <w:tcPr>
            <w:tcW w:w="20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86"/>
              </w:rPr>
              <w:t>41,877,627</w:t>
            </w:r>
          </w:p>
        </w:tc>
      </w:tr>
      <w:tr>
        <w:trPr>
          <w:trHeight w:val="448"/>
        </w:trPr>
        <w:tc>
          <w:tcPr>
            <w:tcW w:w="6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8"/>
                <w:szCs w:val="18"/>
                <w:b w:val="1"/>
                <w:bCs w:val="1"/>
                <w:color w:val="auto"/>
                <w:w w:val="89"/>
              </w:rPr>
              <w:t>Six Months Ended February 28, 2013</w:t>
            </w:r>
          </w:p>
        </w:tc>
      </w:tr>
      <w:tr>
        <w:trPr>
          <w:trHeight w:val="186"/>
        </w:trPr>
        <w:tc>
          <w:tcPr>
            <w:tcW w:w="6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32"/>
              <w:spacing w:after="0" w:line="186" w:lineRule="exact"/>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6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Brazil</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2"/>
              </w:rPr>
              <w:t>America</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r>
      <w:tr>
        <w:trPr>
          <w:trHeight w:val="204"/>
        </w:trPr>
        <w:tc>
          <w:tcPr>
            <w:tcW w:w="6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56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94"/>
              </w:rPr>
              <w:t>1,131,469</w:t>
            </w:r>
          </w:p>
        </w:tc>
        <w:tc>
          <w:tcPr>
            <w:tcW w:w="24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97"/>
              </w:rPr>
              <w:t>9,406,628</w:t>
            </w:r>
          </w:p>
        </w:tc>
        <w:tc>
          <w:tcPr>
            <w:tcW w:w="20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86"/>
              </w:rPr>
              <w:t>10,538,097</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Operating income</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(106,759)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1,950,278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1,843,519</w:t>
            </w:r>
          </w:p>
        </w:tc>
      </w:tr>
      <w:tr>
        <w:trPr>
          <w:trHeight w:val="436"/>
        </w:trPr>
        <w:tc>
          <w:tcPr>
            <w:tcW w:w="6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8"/>
                <w:szCs w:val="18"/>
                <w:b w:val="1"/>
                <w:bCs w:val="1"/>
                <w:color w:val="auto"/>
                <w:w w:val="89"/>
              </w:rPr>
              <w:t>Six Months Ended February 29, 2012</w:t>
            </w:r>
          </w:p>
        </w:tc>
      </w:tr>
      <w:tr>
        <w:trPr>
          <w:trHeight w:val="186"/>
        </w:trPr>
        <w:tc>
          <w:tcPr>
            <w:tcW w:w="6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32"/>
              <w:spacing w:after="0" w:line="186" w:lineRule="exact"/>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6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Brazil</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2"/>
              </w:rPr>
              <w:t>America</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r>
      <w:tr>
        <w:trPr>
          <w:trHeight w:val="204"/>
        </w:trPr>
        <w:tc>
          <w:tcPr>
            <w:tcW w:w="6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56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94"/>
              </w:rPr>
              <w:t>1,216,532</w:t>
            </w:r>
          </w:p>
        </w:tc>
        <w:tc>
          <w:tcPr>
            <w:tcW w:w="24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97"/>
              </w:rPr>
              <w:t>8,589,910</w:t>
            </w:r>
          </w:p>
        </w:tc>
        <w:tc>
          <w:tcPr>
            <w:tcW w:w="20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9,806,442</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Operating income</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(173,651)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1,897,972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1,724,321</w:t>
            </w:r>
          </w:p>
        </w:tc>
      </w:tr>
    </w:tbl>
    <w:p>
      <w:pPr>
        <w:spacing w:after="0" w:line="213" w:lineRule="exact"/>
        <w:rPr>
          <w:sz w:val="20"/>
          <w:szCs w:val="20"/>
          <w:color w:val="auto"/>
        </w:rPr>
      </w:pPr>
    </w:p>
    <w:p>
      <w:pPr>
        <w:ind w:right="60"/>
        <w:spacing w:after="0" w:line="325" w:lineRule="auto"/>
        <w:rPr>
          <w:sz w:val="20"/>
          <w:szCs w:val="20"/>
          <w:color w:val="auto"/>
        </w:rPr>
      </w:pPr>
      <w:r>
        <w:rPr>
          <w:rFonts w:ascii="Arial" w:cs="Arial" w:eastAsia="Arial" w:hAnsi="Arial"/>
          <w:sz w:val="16"/>
          <w:szCs w:val="16"/>
          <w:color w:val="auto"/>
        </w:rPr>
        <w:t>Total assets located in Brazil primarily consist of cash and cash equivalents, customer receivables and inventory. These assets are periodically reviewed to assure the net realizable value from the estimated future production based on forecasted sales exceeds the carrying value of the assets.</w:t>
      </w:r>
    </w:p>
    <w:p>
      <w:pPr>
        <w:spacing w:after="0" w:line="155" w:lineRule="exact"/>
        <w:rPr>
          <w:sz w:val="20"/>
          <w:szCs w:val="20"/>
          <w:color w:val="auto"/>
        </w:rPr>
      </w:pPr>
    </w:p>
    <w:p>
      <w:pPr>
        <w:ind w:left="700" w:hanging="695"/>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Company expenses all costs related to product research and development as incurred. The Company incurred $1,850,599 and $1,789,082 of expense during the six months ended February 28, 2013 and February 29, 2012, respectively, in connection with its research and development activities. These costs related to product research and development are net of reimbursements related to certain research and development contracts of $137,364 and $228,576 for the six months ended February 28, 2013 and February 29, 2012, respectively. The net fees are accounted for in the “Research and Development Expenses” section of the consolidated statements of operations.</w:t>
      </w:r>
    </w:p>
    <w:p>
      <w:pPr>
        <w:spacing w:after="0" w:line="218"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color w:val="auto"/>
        </w:rPr>
        <w:t>The Company has certain research and development contracts. The Company accrues proceeds received under such contracts and offsets research and development expenses incurred in equal installments over the timelines associated with completion of the contracts’ specific objectives and milestones. At February 28, 2013, the Company had $85,418 as a receivable, and as of August 31, 2012, the Company had $96,861 of deferred amounts in other accrued liabilities as the Company had not yet performed under the obligations of the contract at that time.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7" w:name="page18"/>
    <w:bookmarkEnd w:id="17"/>
    <w:p>
      <w:pPr>
        <w:ind w:left="700" w:hanging="695"/>
        <w:spacing w:after="0"/>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7"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On August 31, 2012, the Board of Directors of the Company, upon recommendation of the Compensation Committee of the Board of Directors, approved the material terms of an annual bonus plan for the Company’s executive officers and certain officers and employees for the fiscal year ending August 31, 2013. For fiscal 2013 as in past years, the total amount available under the bonus plan will be up to 25% of the Company’s earnings before interest, taxes and other income, as adjusted to take into account amounts to be paid under the bonus plan and certain other adjustments (Adjusted EBITOI), assuming the achievement of at least a minimum Adjusted EBITOI, which is generally 70% of a budgeted target Adjusted EBITOI for fiscal 2013. For each plan participant, 50% of the amount of the participant’s individual bonus payout will be determined based upon the participant’s individual allocation percentage of the total amount available under the bonus plan and 50% of the participant’s payout will be determined based upon the participant’s achievement of certain pre-established but more qualitative individual performance objectives. The payment of bonuses under the plan are discretionary and may be paid to executive officer participants in both cash and shares of NTIC common stock, the exact amount and percentages of which will be determined by the Company’s Board of Directors, upon recommendation of the Compensation Committee, after the completion of the Company’s consolidated financial statements for fiscal 2013. There was $275,000 for management bonuses accrued for six months ended February 28, 2013 compared to a management bonus accrual of $542,720 for the six months ended February 29,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property with future lease payments as follows: fiscal 2013 - $119,250; fiscal 2014 - $59,500 and thereafter - $0.</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Three joint ventures accounted for 54.2% and 55.3% of the Company’s trade joint venture receivables at February 28, 2013 and August 31, 2012, respectively.</w:t>
      </w:r>
    </w:p>
    <w:p>
      <w:pPr>
        <w:spacing w:after="0" w:line="264" w:lineRule="exact"/>
        <w:rPr>
          <w:sz w:val="20"/>
          <w:szCs w:val="20"/>
          <w:color w:val="auto"/>
        </w:rPr>
      </w:pPr>
    </w:p>
    <w:p>
      <w:pPr>
        <w:ind w:right="220"/>
        <w:spacing w:after="0" w:line="325"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18" w:name="page19"/>
    <w:bookmarkEnd w:id="18"/>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NTIC develops and markets proprietary environmentally beneficial products and services in over 55 countries either directly or via a network of majority owned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subsidiaries, joint ventures, independent distributors and agents. NTIC’s primary business is corrosion prevention marketed mainly under the ZERUST®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brand. NTIC has been selling its proprietary ZERUST® rust and corrosion inhibiting products and services to the automotive, electronics, electrical, mechanical,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military and retail consumer markets for over 35 years, and more recently, has targeted and expanded into the oil and gas industry. NTIC also sells a portfolio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bio-based and biodegradable (compostable) polymer resin compounds and finished products marketed under the Natur-Tec® brand. These products are intended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reduce NTIC’s customers’ carbon footprint and provide environmentally sound disposal options.</w:t>
      </w:r>
    </w:p>
    <w:p>
      <w:pPr>
        <w:spacing w:after="0" w:line="23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NTIC’s ZERUST®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Brazilian subsidiary, Zerust Prevenção de Corrosão S.A. (Zerust Brazil), its majority owned joint venture holding company for NTIC’s joint venture investments in the Association of Southeast Asian Nations (ASEAN) region, NTI Asian LLC (NTI Asean), and joint venture arrangements in North America and Europe.</w:t>
      </w:r>
    </w:p>
    <w:p>
      <w:pPr>
        <w:spacing w:after="0" w:line="195"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One of NTIC’s strategic initiatives is to expand into and penetrate other markets for its ZERUST® corrosion prevention solutions. For the past several years, NTIC has focused its sales and marketing efforts on the oil and gas industry since the infrastructure that supports that industry is typically constructed using metals that are highly susceptible to corrosion and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189"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Petroleo Brasileiro S.A. (Petrobras), an oil company located in Brazil, has conducted extensive multi-year product field trials of NTIC’s ZERUST® rust and corrosion inhibiting products against competitive alternatives. During fiscal 2010, Zerust Brazil received a Phase 1 contract for an initial implementation of $1.4 million in ZERUST® products which was delivered in fiscal 2010 and fiscal 2011. During fiscal 2011, Zerust Brazil signed a Phase 2 contract with Petrobras to supply $2.4 million in ZERUST® products. During fiscal 2012, Petrobras expanded this Phase 2 contract to supply an additional $657,000 in ZERUST® products, bringing the total Phase 2 contract value to $3.1 million in ZERUST® products, which were delivered in fiscal 2012. During first quarter of fiscal 2013, Zerust Brazil signed a Phase 3 contract with Petrobras to supply $3.7 million in ZERUST® products. While NTIC initially had anticipated that Petrobras would fulfill this Phase 3 contract in one large order prior to the end of fiscal 2013, based on NTIC’s recent discussions with Petrobras, NTIC believes that Petrobras intends to place a larger number of smaller orders during the remainder of fiscal 2013 and fiscal 2014, rather than one large order prior to the end of fiscal 2013 as NTIC previously had anticipated.</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80"/>
          </w:cols>
          <w:pgMar w:left="240" w:top="266" w:right="279" w:bottom="1440" w:gutter="0" w:footer="0" w:header="0"/>
        </w:sectPr>
      </w:pPr>
    </w:p>
    <w:bookmarkStart w:id="19" w:name="page20"/>
    <w:bookmarkEnd w:id="19"/>
    <w:p>
      <w:pPr>
        <w:spacing w:after="0" w:line="250" w:lineRule="auto"/>
        <w:rPr>
          <w:sz w:val="20"/>
          <w:szCs w:val="20"/>
          <w:color w:val="auto"/>
        </w:rPr>
      </w:pPr>
      <w:r>
        <w:rPr>
          <w:rFonts w:ascii="Arial" w:cs="Arial" w:eastAsia="Arial" w:hAnsi="Arial"/>
          <w:sz w:val="18"/>
          <w:szCs w:val="18"/>
          <w:color w:val="auto"/>
        </w:rPr>
        <w:t>NTIC is also pursuing opportunities to market its ZERUST® rust and corrosion prevention solutions to other targeted potential customers in the oil and gas industry across several geographies through NTIC’s joint venture partners as well as other strategic partners. NTIC believes that sales of its ZERUST® corrosion prevention solutions to customers in the oil and gas industry require long sales cycles that include trial periods of at least one year with each customer, followed by a slow integration process thereafter.</w:t>
      </w:r>
    </w:p>
    <w:p>
      <w:pPr>
        <w:spacing w:after="0" w:line="21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Natur-Tec® bio-based and biodegradable plastics are manufactured using NTIC’s patented and/or proprietary technologies and are intended to replace conventional petroleum-based plastics. The Natur-Tec® biopolymer resin compound portfolio include formulations that have been optimized for a variety of applications including blown-film extrusion, extrusion coating, injection molding, and engineered plastics. These resin compounds are fully biodegradable in a composting environment and are currently being used to produce finished products including shopping and grocery bags, lawn and leaf bags, can liners, pet waste collection bags, cutlery, packaging foam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some of its joint ventures.</w:t>
      </w:r>
    </w:p>
    <w:p>
      <w:pPr>
        <w:spacing w:after="0" w:line="195"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During fiscal 2012, NTIC’s joint venture in India, Harita NTI Limited (HNTI) entered into an agreement to supply a major global apparel brand compostable packaging for branded garments. HNTI is also pursuing bioplastic opportunities in food and personal care product packaging. During fiscal 2011, NTIC entered into an agreement with Italy-based Naturfuels s.r.l. to distribute its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bioplastic materials and products in the Italian market. Under the terms of the distribution agreement, NTIC supplies Naturfuels with patented high-strength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film grade resin compounds suited to producing compostable shopping and garbage bags on conventional plastic film production equipment. In 2011, the Italian government passed legislation banning the use of non-biodegradable disposable plastic shopping bags. However, enforcement of this law was delayed to allow Italian bag manufacturers to exhaust their current supply of conventional polyolefinic resins. Consequently, significant sales of these to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film grade resin compounds to Naturfuels are not expected until fiscal 2014.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47" w:lineRule="exact"/>
        <w:rPr>
          <w:sz w:val="20"/>
          <w:szCs w:val="20"/>
          <w:color w:val="auto"/>
        </w:rPr>
      </w:pPr>
    </w:p>
    <w:p>
      <w:pPr>
        <w:jc w:val="both"/>
        <w:ind w:right="80"/>
        <w:spacing w:after="0" w:line="300" w:lineRule="auto"/>
        <w:rPr>
          <w:sz w:val="20"/>
          <w:szCs w:val="20"/>
          <w:color w:val="auto"/>
        </w:rPr>
      </w:pPr>
      <w:r>
        <w:rPr>
          <w:rFonts w:ascii="Arial" w:cs="Arial" w:eastAsia="Arial" w:hAnsi="Arial"/>
          <w:sz w:val="16"/>
          <w:szCs w:val="16"/>
          <w:color w:val="auto"/>
        </w:rPr>
        <w:t>NTIC participates in 23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 resin compounds. NTIC historically has funded its investments in joint ventures with cash generated from operations.</w:t>
      </w:r>
    </w:p>
    <w:p>
      <w:pPr>
        <w:spacing w:after="0" w:line="18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owns only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72" w:right="259" w:bottom="1440" w:gutter="0" w:footer="0" w:header="0"/>
        </w:sectPr>
      </w:pPr>
    </w:p>
    <w:bookmarkStart w:id="20" w:name="page21"/>
    <w:bookmarkEnd w:id="20"/>
    <w:p>
      <w:pPr>
        <w:ind w:right="160"/>
        <w:spacing w:after="0" w:line="262" w:lineRule="auto"/>
        <w:rPr>
          <w:sz w:val="20"/>
          <w:szCs w:val="20"/>
          <w:color w:val="auto"/>
        </w:rPr>
      </w:pPr>
      <w:r>
        <w:rPr>
          <w:rFonts w:ascii="Arial" w:cs="Arial" w:eastAsia="Arial" w:hAnsi="Arial"/>
          <w:sz w:val="18"/>
          <w:szCs w:val="18"/>
          <w:color w:val="auto"/>
        </w:rPr>
        <w:t>NTIC does not consolidate the results of its 23 joint ventures in its consolidated financial statements. NTIC’s investments in its joint ventures are accounted for using the equity method.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Zerust Brazil’s results are consolidated in NTIC’s consolidated financial statements. NTIC holds 85% of the equity and 85% of the voting rights of Zerust Brazil.</w:t>
      </w:r>
    </w:p>
    <w:p>
      <w:pPr>
        <w:spacing w:after="0" w:line="264"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In addition, beginning in the first quarter of fiscal 2013, NTIC has consolidated the results of NTI Asean, which effective as of September 1, 2012 is a majority owned subsidiary of NTIC. On September 1, 2012, NTIC and the other 50% owner in NTI Asean contributed their respective shares of capital stock of Korea Zerust Co., Ltd. (Korea Zerust), constituting an aggregate of 50% of the equity and voting rights of Korea Zerust, to NTI Asean, and NTIC contributed exclusive license rights and other intellectual property to NTI Asean in exchange for an additional 10% ownership interest in NTI Asean. As a result of the transaction, NTIC holds 60% of the equity and 60% of the voting rights of NTI Asean. NTI Asean holds investments in eight entities that operate in the following eight territories located in the ASEAN region: China, Indonesia, Korea, Malaysia, Philippines, Singapore, Taiwan and Thailand. With respect to NTIC’s joint ventures, NTIC considers EXCOR and China to be individually significant to NTIC’s consolidated assets and income; and therefore, provides certain additional information regarding EXCOR and China in the notes to NTIC’s consolidated financial statements and in this section of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47" w:lineRule="exact"/>
        <w:rPr>
          <w:sz w:val="20"/>
          <w:szCs w:val="20"/>
          <w:color w:val="auto"/>
        </w:rPr>
      </w:pPr>
    </w:p>
    <w:p>
      <w:pPr>
        <w:ind w:right="620"/>
        <w:spacing w:after="0" w:line="363" w:lineRule="auto"/>
        <w:rPr>
          <w:sz w:val="20"/>
          <w:szCs w:val="20"/>
          <w:color w:val="auto"/>
        </w:rPr>
      </w:pPr>
      <w:r>
        <w:rPr>
          <w:rFonts w:ascii="Arial" w:cs="Arial" w:eastAsia="Arial" w:hAnsi="Arial"/>
          <w:sz w:val="15"/>
          <w:szCs w:val="15"/>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3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NTIC’s consolidated net sales increased 5.5% and 7.5% during the three and six months ended February 28, 2013, respectively, compared to the three and six months ended February 29, 2012. These increases were primarily a result of increased demand for Natur-Tec® products and ZERUST® rust and corrosion inhibiting packaging products and services. During the three and six months ended February 28, 2013, 89.8% and 90.2% of NTIC’s consolidated net sales, respectively, were derived from sales of ZERUST® products and services, which increased 3.1% and 5.3% to $4,710,412 and $9,505,695 during the three and six months ended February 28, 2013, respectively, compared to $4,570,779 and $9,023,425 during the three and six months ended February 29, 2012, respectively, due to increased demand from both new and existing customers. NTIC has strategically focused its sales efforts for ZERUST® products and services on customers with sizeable corrosion problems in sectors, including the oil and gas, that offer sizable growth opportunities. NTIC’s consolidated net sales for the three and six months ended February 28, 2013 included $579,655 and $1,131,469, respectively, of sales made by Zerust Brazil, and of those sales, $149,257 and $189,642, respectively, in sales were made to the oil and gas industry in Brazil. Overall demand for ZERUST® products and services depends heavily on the overall health of the markets in which NTIC sells its products, including in particular the automotive market.</w:t>
      </w:r>
    </w:p>
    <w:p>
      <w:pPr>
        <w:spacing w:after="0" w:line="200"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During the three and six months ended February 28, 2013, 10.2% and 9.8%, of NTIC’s consolidated net sales were derived from sales of Natur-Tec® products compared to 8.1% and 8.0% during the three and six months ended February 29, 2012, respectively. Net sales of Natur-Tec® products increased 32.8% and 31.8% during the three and six months ended February 28, 2013 compared to the three and six months ended February 29, 2012. These increases were due to increased sales to Natur-Tec® expanding industrial distributor base in the United States. Additionally, NTIC continues to target key regional and national retailers through independent sales agents. Demand for the Natur-Tec® products depends primarily on market acceptance and the reach of NTIC’s distribution network.</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72" w:right="259" w:bottom="1440" w:gutter="0" w:footer="0" w:header="0"/>
        </w:sectPr>
      </w:pPr>
    </w:p>
    <w:bookmarkStart w:id="21" w:name="page22"/>
    <w:bookmarkEnd w:id="21"/>
    <w:p>
      <w:pPr>
        <w:ind w:right="40"/>
        <w:spacing w:after="0" w:line="248" w:lineRule="auto"/>
        <w:rPr>
          <w:sz w:val="20"/>
          <w:szCs w:val="20"/>
          <w:color w:val="auto"/>
        </w:rPr>
      </w:pPr>
      <w:r>
        <w:rPr>
          <w:rFonts w:ascii="Arial" w:cs="Arial" w:eastAsia="Arial" w:hAnsi="Arial"/>
          <w:sz w:val="18"/>
          <w:szCs w:val="18"/>
          <w:color w:val="auto"/>
        </w:rPr>
        <w:t>Cost of goods sold as a percentage of net sales decreased to 69.3% during the three months ended February 28, 2013 compared to 70.0% during the three months ended February 28, 2013 primarily as a result of slightly decreased production expense associated with the production and shipping of both ZERUST® and Natur Tec® products. Cost of goods sold as a percentage of net sales increased slightly to 69.5% during the six months ended February 28, 2013 compared to 68.2% during the six months ended February 29, 2012 primarily as a result of increased production expenses associated with the production and shipping of both ZERUST® and Natur Tec® products. The increase in production expenses for the six month comparison is considered temporary as new suppliers are ramping up for new products and applications.</w:t>
      </w:r>
    </w:p>
    <w:p>
      <w:pPr>
        <w:spacing w:after="0" w:line="220" w:lineRule="exact"/>
        <w:rPr>
          <w:sz w:val="20"/>
          <w:szCs w:val="20"/>
          <w:color w:val="auto"/>
        </w:rPr>
      </w:pPr>
    </w:p>
    <w:p>
      <w:pPr>
        <w:jc w:val="both"/>
        <w:ind w:right="640"/>
        <w:spacing w:after="0" w:line="300" w:lineRule="auto"/>
        <w:rPr>
          <w:sz w:val="20"/>
          <w:szCs w:val="20"/>
          <w:color w:val="auto"/>
        </w:rPr>
      </w:pPr>
      <w:r>
        <w:rPr>
          <w:rFonts w:ascii="Arial" w:cs="Arial" w:eastAsia="Arial" w:hAnsi="Arial"/>
          <w:sz w:val="16"/>
          <w:szCs w:val="16"/>
          <w:color w:val="auto"/>
        </w:rPr>
        <w:t>NTIC’s equity in income of joint ventures decreased 7.0% and 11.2% to $1,138,438 and $2,292,734, respectively, during the three and six months ended February 28, 2013 compared to $1,224,675 and $2,582,355 during the three and six months ended February 29, 2012, which was primarily a result of the consolidation of NTI Asean which was included in the current fiscal year periods, but not in the prior fiscal year periods.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NTIC recognized a 36.4% and 31.9% increase in fees for services provided to joint ventures during the three and six months ended February 28, 2013 compared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to the three and six months ended February 29, 2012, respectively. These increases were primarily a result of the consolidation of fees for services earned by NTI</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Asean which are included in the current fiscal year periods, but not in the prior fiscal year periods. Fees for services provided are a function of the net sales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NTIC’s joint ventures which were $26,722,201 and $54,247,135 during the three and six months ended February 28, 2013 compared to $25,997,430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$54,792,662 for the three and six months ended February 29, 2012. Total net sales of NTIC’s joint ventures were adversely affected in part by the European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economic slowdown, which NTIC believes adversely affected the net sales of NTIC’s European joint ventures as well as certain of NTIC’s other non-European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joint ventures, and the weakening of the EURO and other currencies compared to the U.S. dollar.</w:t>
      </w:r>
    </w:p>
    <w:p>
      <w:pPr>
        <w:spacing w:after="0" w:line="230"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NTIC’s total operating expenses increased 8.4%, or $561,289, to $7,279,585 during the six months ended February 28, 2013 compared to the six months ended February 29, 2012. These increases were primarily the result of increases in selling expenses, general and administrative expenses and expenses incurred in support of joint ventures, research and development expenses, and overall reflected NTIC’s efforts to support its new business efforts.</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NTIC expenses all costs related to product research and development as incurred. NTIC incurred $1,850,599 and $1,789,082 of expense during the six months ended February 28, 2013 and February 29, 2012, respectively, in connection with its research and development activities. These represent net amounts after being reduced by reimbursements related to certain research and development contracts. Such reimbursements totaled $137,364 and $228,576 for the six months ended February 28, 2013 and February 29, 2012, respectively. NTIC anticipates that it will spend between $3,800,000 and $4,000,000 in total during fiscal 2013 on research and development activities related to its new technologies. This estimate is a net range after being reduced by anticipated reimbursements related to certain research and development contracts.</w:t>
      </w:r>
    </w:p>
    <w:p>
      <w:pPr>
        <w:spacing w:after="0" w:line="19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Net income attributable to NTIC decreased 28.3%, to $434,410, or $0.10 per diluted common share, for the three months ended February 28, 2013 compared to $606,193, or $0.14 per diluted common share, for the three months ended February 29, 2012. Net income attributable to NTIC decreased 47.3%, to $824,032, or $0.18 per diluted common share, for the six months ended February 28, 2013 compared to $1,564,950, or $0.35 per diluted common share, for the six months ended February 29, 2012. These decreases were primarily the result of increases in operating expenses and income taxes. NTIC anticipates that its quarterly net income will remain subject to significant volatility primarily due to the sales performance of its joint ventures, sales of its ZERUST® products and services into the oil and gas industry, and sales of Natur-Tec® bioplastics products. Each of these fluctuates more on a quarterly basis than the traditional ZERUST® business in North America.</w:t>
      </w:r>
    </w:p>
    <w:p>
      <w:pPr>
        <w:spacing w:after="0" w:line="19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NTIC’s working capital was $14,589,567 at February 28, 2013, including $4,261,145 in cash and cash equivalents compared to $10,060,081 at August 31, 2012, including $4,137,547 in cash and cash equivalents.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48"/>
        </w:trPr>
        <w:tc>
          <w:tcPr>
            <w:tcW w:w="10220" w:type="dxa"/>
            <w:vAlign w:val="bottom"/>
            <w:gridSpan w:val="14"/>
          </w:tcPr>
          <w:p>
            <w:pPr>
              <w:spacing w:after="0"/>
              <w:rPr>
                <w:sz w:val="20"/>
                <w:szCs w:val="20"/>
                <w:color w:val="auto"/>
              </w:rPr>
            </w:pPr>
            <w:r>
              <w:rPr>
                <w:rFonts w:ascii="Arial" w:cs="Arial" w:eastAsia="Arial" w:hAnsi="Arial"/>
                <w:sz w:val="18"/>
                <w:szCs w:val="18"/>
                <w:color w:val="auto"/>
                <w:w w:val="94"/>
              </w:rPr>
              <w:t>The following tables set forth NTIC’s results of operations for the three and six months ended February 28, 2013 and February 29, 2012.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8"/>
        </w:trPr>
        <w:tc>
          <w:tcPr>
            <w:tcW w:w="3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6"/>
        </w:trPr>
        <w:tc>
          <w:tcPr>
            <w:tcW w:w="3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6"/>
                <w:szCs w:val="16"/>
                <w:color w:val="auto"/>
              </w:rPr>
            </w:pPr>
          </w:p>
        </w:tc>
        <w:tc>
          <w:tcPr>
            <w:tcW w:w="1040" w:type="dxa"/>
            <w:vAlign w:val="bottom"/>
          </w:tcPr>
          <w:p>
            <w:pPr>
              <w:jc w:val="center"/>
              <w:ind w:right="52"/>
              <w:spacing w:after="0" w:line="187"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29,</w:t>
            </w:r>
          </w:p>
        </w:tc>
        <w:tc>
          <w:tcPr>
            <w:tcW w:w="100" w:type="dxa"/>
            <w:vAlign w:val="bottom"/>
          </w:tcPr>
          <w:p>
            <w:pPr>
              <w:spacing w:after="0"/>
              <w:rPr>
                <w:sz w:val="16"/>
                <w:szCs w:val="16"/>
                <w:color w:val="auto"/>
              </w:rPr>
            </w:pPr>
          </w:p>
        </w:tc>
        <w:tc>
          <w:tcPr>
            <w:tcW w:w="1060" w:type="dxa"/>
            <w:vAlign w:val="bottom"/>
          </w:tcPr>
          <w:p>
            <w:pPr>
              <w:jc w:val="center"/>
              <w:ind w:right="72"/>
              <w:spacing w:after="0" w:line="187"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2"/>
              <w:spacing w:after="0" w:line="187" w:lineRule="exact"/>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center"/>
              <w:ind w:right="12"/>
              <w:spacing w:after="0" w:line="187" w:lineRule="exact"/>
              <w:rPr>
                <w:sz w:val="20"/>
                <w:szCs w:val="20"/>
                <w:color w:val="auto"/>
              </w:rPr>
            </w:pPr>
            <w:r>
              <w:rPr>
                <w:rFonts w:ascii="Arial" w:cs="Arial" w:eastAsia="Arial" w:hAnsi="Arial"/>
                <w:sz w:val="18"/>
                <w:szCs w:val="18"/>
                <w:b w:val="1"/>
                <w:bCs w:val="1"/>
                <w:color w:val="auto"/>
              </w:rPr>
              <w:t>%</w:t>
            </w:r>
          </w:p>
        </w:tc>
      </w:tr>
      <w:tr>
        <w:trPr>
          <w:trHeight w:val="229"/>
        </w:trPr>
        <w:tc>
          <w:tcPr>
            <w:tcW w:w="3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6"/>
              </w:rPr>
              <w:t>Net Sales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Net Sales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7"/>
              </w:rPr>
              <w:t>Change</w:t>
            </w:r>
          </w:p>
        </w:tc>
      </w:tr>
      <w:tr>
        <w:trPr>
          <w:trHeight w:val="204"/>
        </w:trPr>
        <w:tc>
          <w:tcPr>
            <w:tcW w:w="39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 excluding joint ventures</w:t>
            </w:r>
          </w:p>
        </w:tc>
        <w:tc>
          <w:tcPr>
            <w:tcW w:w="820" w:type="dxa"/>
            <w:vAlign w:val="bottom"/>
            <w:gridSpan w:val="2"/>
            <w:shd w:val="clear" w:color="auto" w:fill="CCEEFF"/>
          </w:tcPr>
          <w:p>
            <w:pPr>
              <w:ind w:left="64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4,485,203</w:t>
            </w:r>
          </w:p>
        </w:tc>
        <w:tc>
          <w:tcPr>
            <w:tcW w:w="11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85.5%</w:t>
            </w:r>
          </w:p>
        </w:tc>
        <w:tc>
          <w:tcPr>
            <w:tcW w:w="26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99"/>
              </w:rPr>
              <w:t>4,125,618</w:t>
            </w:r>
          </w:p>
        </w:tc>
        <w:tc>
          <w:tcPr>
            <w:tcW w:w="11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82.9%</w:t>
            </w:r>
          </w:p>
        </w:tc>
        <w:tc>
          <w:tcPr>
            <w:tcW w:w="22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359,585</w:t>
            </w:r>
          </w:p>
        </w:tc>
        <w:tc>
          <w:tcPr>
            <w:tcW w:w="12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8.7%</w:t>
            </w:r>
          </w:p>
        </w:tc>
      </w:tr>
      <w:tr>
        <w:trPr>
          <w:trHeight w:val="211"/>
        </w:trPr>
        <w:tc>
          <w:tcPr>
            <w:tcW w:w="39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761,147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848,710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(87,563)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3,633,913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3,480,082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153,831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1"/>
        </w:trPr>
        <w:tc>
          <w:tcPr>
            <w:tcW w:w="390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1,138,438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1,224,675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(86,237)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1,770,881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1,298,126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472,755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11"/>
        </w:trPr>
        <w:tc>
          <w:tcPr>
            <w:tcW w:w="3900" w:type="dxa"/>
            <w:vAlign w:val="bottom"/>
          </w:tcPr>
          <w:p>
            <w:pPr>
              <w:spacing w:after="0"/>
              <w:rPr>
                <w:sz w:val="20"/>
                <w:szCs w:val="20"/>
                <w:color w:val="auto"/>
              </w:rPr>
            </w:pPr>
            <w:r>
              <w:rPr>
                <w:rFonts w:ascii="Arial" w:cs="Arial" w:eastAsia="Arial" w:hAnsi="Arial"/>
                <w:sz w:val="18"/>
                <w:szCs w:val="18"/>
                <w:color w:val="auto"/>
              </w:rPr>
              <w:t>Selling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1,174,065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1,014,082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159,983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15.8%</w:t>
            </w: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1,143,987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1,100,812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43,175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1"/>
        </w:trPr>
        <w:tc>
          <w:tcPr>
            <w:tcW w:w="390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321,456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235,557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85,899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36.5%</w:t>
            </w: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912,393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974,777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448"/>
        </w:trPr>
        <w:tc>
          <w:tcPr>
            <w:tcW w:w="3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6"/>
        </w:trPr>
        <w:tc>
          <w:tcPr>
            <w:tcW w:w="3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6"/>
                <w:szCs w:val="16"/>
                <w:color w:val="auto"/>
              </w:rPr>
            </w:pPr>
          </w:p>
        </w:tc>
        <w:tc>
          <w:tcPr>
            <w:tcW w:w="1040" w:type="dxa"/>
            <w:vAlign w:val="bottom"/>
          </w:tcPr>
          <w:p>
            <w:pPr>
              <w:jc w:val="center"/>
              <w:ind w:right="52"/>
              <w:spacing w:after="0" w:line="187"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29,</w:t>
            </w:r>
          </w:p>
        </w:tc>
        <w:tc>
          <w:tcPr>
            <w:tcW w:w="100" w:type="dxa"/>
            <w:vAlign w:val="bottom"/>
          </w:tcPr>
          <w:p>
            <w:pPr>
              <w:spacing w:after="0"/>
              <w:rPr>
                <w:sz w:val="16"/>
                <w:szCs w:val="16"/>
                <w:color w:val="auto"/>
              </w:rPr>
            </w:pPr>
          </w:p>
        </w:tc>
        <w:tc>
          <w:tcPr>
            <w:tcW w:w="1060" w:type="dxa"/>
            <w:vAlign w:val="bottom"/>
          </w:tcPr>
          <w:p>
            <w:pPr>
              <w:jc w:val="center"/>
              <w:ind w:right="72"/>
              <w:spacing w:after="0" w:line="187"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2"/>
              <w:spacing w:after="0" w:line="187" w:lineRule="exact"/>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center"/>
              <w:ind w:right="12"/>
              <w:spacing w:after="0" w:line="187" w:lineRule="exact"/>
              <w:rPr>
                <w:sz w:val="20"/>
                <w:szCs w:val="20"/>
                <w:color w:val="auto"/>
              </w:rPr>
            </w:pPr>
            <w:r>
              <w:rPr>
                <w:rFonts w:ascii="Arial" w:cs="Arial" w:eastAsia="Arial" w:hAnsi="Arial"/>
                <w:sz w:val="18"/>
                <w:szCs w:val="18"/>
                <w:b w:val="1"/>
                <w:bCs w:val="1"/>
                <w:color w:val="auto"/>
              </w:rPr>
              <w:t>%</w:t>
            </w:r>
          </w:p>
        </w:tc>
      </w:tr>
      <w:tr>
        <w:trPr>
          <w:trHeight w:val="229"/>
        </w:trPr>
        <w:tc>
          <w:tcPr>
            <w:tcW w:w="3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6"/>
              </w:rPr>
              <w:t>Net Sales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Net Sales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7"/>
              </w:rPr>
              <w:t>Change</w:t>
            </w:r>
          </w:p>
        </w:tc>
      </w:tr>
      <w:tr>
        <w:trPr>
          <w:trHeight w:val="204"/>
        </w:trPr>
        <w:tc>
          <w:tcPr>
            <w:tcW w:w="39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 excluding joint ventures</w:t>
            </w:r>
          </w:p>
        </w:tc>
        <w:tc>
          <w:tcPr>
            <w:tcW w:w="820" w:type="dxa"/>
            <w:vAlign w:val="bottom"/>
            <w:gridSpan w:val="2"/>
            <w:shd w:val="clear" w:color="auto" w:fill="CCEEFF"/>
          </w:tcPr>
          <w:p>
            <w:pPr>
              <w:ind w:left="64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9,255,590</w:t>
            </w:r>
          </w:p>
        </w:tc>
        <w:tc>
          <w:tcPr>
            <w:tcW w:w="11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87.8%</w:t>
            </w:r>
          </w:p>
        </w:tc>
        <w:tc>
          <w:tcPr>
            <w:tcW w:w="26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99"/>
              </w:rPr>
              <w:t>8,403,261</w:t>
            </w:r>
          </w:p>
        </w:tc>
        <w:tc>
          <w:tcPr>
            <w:tcW w:w="11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85.7%</w:t>
            </w:r>
          </w:p>
        </w:tc>
        <w:tc>
          <w:tcPr>
            <w:tcW w:w="22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852,329</w:t>
            </w:r>
          </w:p>
        </w:tc>
        <w:tc>
          <w:tcPr>
            <w:tcW w:w="12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10.1%</w:t>
            </w:r>
          </w:p>
        </w:tc>
      </w:tr>
      <w:tr>
        <w:trPr>
          <w:trHeight w:val="211"/>
        </w:trPr>
        <w:tc>
          <w:tcPr>
            <w:tcW w:w="39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1,282,507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1,403,181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(120,674)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7,324,885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6,689,558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635,327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1"/>
        </w:trPr>
        <w:tc>
          <w:tcPr>
            <w:tcW w:w="390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2,292,734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2,582,355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(289,621)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3,617,158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2,743,378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873,780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11"/>
        </w:trPr>
        <w:tc>
          <w:tcPr>
            <w:tcW w:w="3900" w:type="dxa"/>
            <w:vAlign w:val="bottom"/>
          </w:tcPr>
          <w:p>
            <w:pPr>
              <w:spacing w:after="0"/>
              <w:rPr>
                <w:sz w:val="20"/>
                <w:szCs w:val="20"/>
                <w:color w:val="auto"/>
              </w:rPr>
            </w:pPr>
            <w:r>
              <w:rPr>
                <w:rFonts w:ascii="Arial" w:cs="Arial" w:eastAsia="Arial" w:hAnsi="Arial"/>
                <w:sz w:val="18"/>
                <w:szCs w:val="18"/>
                <w:color w:val="auto"/>
              </w:rPr>
              <w:t>Selling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2,345,160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2,122,568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222,592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2,392,683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2,370,825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21,858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1"/>
        </w:trPr>
        <w:tc>
          <w:tcPr>
            <w:tcW w:w="390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691,143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435,821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255,322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58.6%</w:t>
            </w: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1,850,599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1,789,082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61,517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22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increased 5.5% and 7.5% to $5,246,350 and $10,538,097, respectively, during the three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28, 2013 compared to the three and six months ended February 29, 2012. NTIC’s consolidated net sales to unaffiliated customers excluding NTIC’s joint ventures increased 8.7% and 10.1% to $4,485,203 and $9,255,590, respectively, during the three and six months ended February 28, 2013 compared to the same respective prior year periods. These increases were primarily a result of increased demand and sales of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and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packaging products and services. Net sales to joint ventures decreased 10.3% and 8.6% to $761,147 and $1,282,507 during the three and six months ended February 28, 2013, respectively, compared to the same respective prior year periods. These decreases were primarily due to timing differences with orders placed with our joint ventures.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NTIC’s net sales by product category for the three and six months ended February 28, 2013 and February 29, 2012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Six Months Ended</w:t>
            </w:r>
          </w:p>
        </w:tc>
      </w:tr>
      <w:tr>
        <w:trPr>
          <w:trHeight w:val="186"/>
        </w:trPr>
        <w:tc>
          <w:tcPr>
            <w:tcW w:w="40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29,</w:t>
            </w:r>
          </w:p>
        </w:tc>
        <w:tc>
          <w:tcPr>
            <w:tcW w:w="12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29,</w:t>
            </w:r>
          </w:p>
        </w:tc>
      </w:tr>
      <w:tr>
        <w:trPr>
          <w:trHeight w:val="229"/>
        </w:trPr>
        <w:tc>
          <w:tcPr>
            <w:tcW w:w="40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2012</w:t>
            </w:r>
          </w:p>
        </w:tc>
      </w:tr>
      <w:tr>
        <w:trPr>
          <w:trHeight w:val="204"/>
        </w:trPr>
        <w:tc>
          <w:tcPr>
            <w:tcW w:w="40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ZERUST® sales</w:t>
            </w:r>
          </w:p>
        </w:tc>
        <w:tc>
          <w:tcPr>
            <w:tcW w:w="2960" w:type="dxa"/>
            <w:vAlign w:val="bottom"/>
            <w:gridSpan w:val="2"/>
            <w:shd w:val="clear" w:color="auto" w:fill="CCEEFF"/>
          </w:tcPr>
          <w:p>
            <w:pPr>
              <w:ind w:left="278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4,710,412</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4,570,779</w:t>
            </w:r>
          </w:p>
        </w:tc>
        <w:tc>
          <w:tcPr>
            <w:tcW w:w="26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9,505,695</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9,023,425</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Natur-Tec® sales</w:t>
            </w:r>
          </w:p>
        </w:tc>
        <w:tc>
          <w:tcPr>
            <w:tcW w:w="2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535,938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403,549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1,032,402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783,017</w:t>
            </w:r>
          </w:p>
        </w:tc>
      </w:tr>
      <w:tr>
        <w:trPr>
          <w:trHeight w:val="204"/>
        </w:trPr>
        <w:tc>
          <w:tcPr>
            <w:tcW w:w="40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net sales</w:t>
            </w:r>
          </w:p>
        </w:tc>
        <w:tc>
          <w:tcPr>
            <w:tcW w:w="2960" w:type="dxa"/>
            <w:vAlign w:val="bottom"/>
            <w:gridSpan w:val="2"/>
            <w:shd w:val="clear" w:color="auto" w:fill="CCEEFF"/>
          </w:tcPr>
          <w:p>
            <w:pPr>
              <w:ind w:left="278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5,246,350</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4,974,328</w:t>
            </w:r>
          </w:p>
        </w:tc>
        <w:tc>
          <w:tcPr>
            <w:tcW w:w="26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0"/>
              </w:rPr>
              <w:t>10,538,097</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9,806,442</w:t>
            </w:r>
          </w:p>
        </w:tc>
      </w:tr>
    </w:tbl>
    <w:p>
      <w:pPr>
        <w:spacing w:after="0" w:line="225"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During the three and six months ended February 28, 2013, 89.8% and 90.2% of NTIC’s consolidated net sales, respectively, were derived from sales of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and services, which increased 3.1% and 5.3% to $4,710,412 and $9,505,695 during the three and six months ended February 28, 2013, respectively, compared to $4,570,779 and $9,023,425 during the three and six months ended February 29, 2012, respectively, due to increased demand from existing customers and the addition of new customers. NTIC has strategically focused its sales efforts for ZERUST® products and services on customers with sizeable corrosion problems in sectors , including the oil and gas, that offer sizable growth opportunities.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3" w:name="page24"/>
    <w:bookmarkEnd w:id="23"/>
    <w:p>
      <w:pPr>
        <w:ind w:right="120"/>
        <w:spacing w:after="0" w:line="325" w:lineRule="auto"/>
        <w:rPr>
          <w:sz w:val="20"/>
          <w:szCs w:val="20"/>
          <w:color w:val="auto"/>
        </w:rPr>
      </w:pPr>
      <w:r>
        <w:rPr>
          <w:rFonts w:ascii="Arial" w:cs="Arial" w:eastAsia="Arial" w:hAnsi="Arial"/>
          <w:sz w:val="16"/>
          <w:szCs w:val="16"/>
          <w:color w:val="auto"/>
        </w:rPr>
        <w:t>NTIC’s consolidated net sales during the three and six months ended February 28, 2013 included $579,655 and $1,131,469 respectively, of sales made by Zerust Brazil, and of those sales, $149,257 and $189,642, respectively, in sales were made to the oil and gas industry sector in Brazil.</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three and six months ended February 28, 2013, 10.2% and 9.8% of NTIC’s consolidated net sales, respectively, were derived from sales of Natur-Tec® products, which increased 32.8% and 31.8% to $535,938 and $1,032,402 during the three and six months ended February 28, 2013, respectively, compared to the three and six months ended February 29, 2012. These increases were due to increased sales to the growing network of Natur-Tec® distributors in the United States. Additionally, NTIC continues to target key regional and national retailers utilizing independent sales agents. Demand for the Natur-Tec® products depends primarily on market acceptance and the reach of NTIC’s distribution network.</w:t>
      </w:r>
    </w:p>
    <w:p>
      <w:pPr>
        <w:spacing w:after="0" w:line="19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4.4% and 9.5% for the three and six months ended February 28, 2013, respectively, compared to the three and</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February 29, 2012 primarily as a result of increased net sales as described above, as well as for the six month comparison, a slight increase in production and shipping costs associated with ZERUST® products. Cost of goods sold as a percentage of net sales decreased to 69.3% during the three months ended February 28, 2013 compared to 70.0% the three months ended February 29, 2012 primarily as a result of slightly decreased production expense associated with the production and shipping of both ZERUST® and Natur Tec® products during the three months then ended. Cost of goods sold as a percentage of net sales increased slightly to 68.5% during the six months ended February 28, 2013 compared to 68.2% during the six months ended February 29, 2012 primarily as a result of increased production expenses associated with the production and shipping of both ZERUST® and Natur Tec® products. The increase in production expenses for the six month comparison is considered temporary as new suppliers are ramping up for new products and applications.</w:t>
      </w:r>
    </w:p>
    <w:p>
      <w:pPr>
        <w:spacing w:after="0" w:line="195"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i w:val="1"/>
          <w:iCs w:val="1"/>
          <w:color w:val="auto"/>
        </w:rPr>
        <w:t xml:space="preserve">Equity in Income of Joint Ventures. </w:t>
      </w:r>
      <w:r>
        <w:rPr>
          <w:rFonts w:ascii="Arial" w:cs="Arial" w:eastAsia="Arial" w:hAnsi="Arial"/>
          <w:sz w:val="16"/>
          <w:szCs w:val="16"/>
          <w:color w:val="auto"/>
        </w:rPr>
        <w:t>NTIC’s equity in income of joint ventures decreased 7.0% and 11.2% to $1,138,438 and $2,292,734 during the three and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February 28, 2013, respectively, compared to equity in income of joint ventures of $1,224,675 and $2,582,355 during the three and six months ended February 29, 2012, respectively, primarily as a result of the consolidation of NTI Asean in the current fiscal year periods, but not in the prior fiscal year periods. Of the total equity in income of joint ventures, NTIC had equity in income of joint ventures of $1,631,125 attributable to EXCOR during the six months ended February 28, 2013 compared to $1,576,496 attributable to EXCOR during the six months ended February 29, 2012. Of the total equity in income of joint ventures, NTIC had equity in income of joint ventures of $262,148 attributable to NTIC’s joint venture in China during the six months ended February 28, 2013 compared to $248,322 attributable to NTIC’s joint venture in China during the six months ended February 29, 2012. NTIC had equity in income of all other joint ventures of $399,461 during the six months ended February 28, 2013 compared to $757,537 during the six months ended February 29, 2012.</w:t>
      </w:r>
    </w:p>
    <w:p>
      <w:pPr>
        <w:spacing w:after="0" w:line="195"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 xml:space="preserve">Fees for Services Provided to Joint Ventures. </w:t>
      </w:r>
      <w:r>
        <w:rPr>
          <w:rFonts w:ascii="Arial" w:cs="Arial" w:eastAsia="Arial" w:hAnsi="Arial"/>
          <w:sz w:val="16"/>
          <w:szCs w:val="16"/>
          <w:color w:val="auto"/>
        </w:rPr>
        <w:t>NTIC recognized fee income for services provided to joint ventures of $1,770,881 and $3,617,158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six months ended February 28, 2013, respectively, compared to $1,298,126 and $2,743,378 during the three and six months ended February 29, 2012, respectively, representing an increase of 36.4% and 31.9%, respectively. These increases were primarily a result of the consolidation of the fees for services earned by NTI Asean which are included in the current fiscal year periods, but not in the prior fiscal year periods. Fee income for services provided to joint ventures are a function of the sales made by the various joint ventures of $26,722,201 and $54,247,135 during the three and six months ended February 28, 2013 compared to $25,997,430 and $54,792,662 for the three and six months ended February 29, 2012, respectively. Total net sales of NTIC’s joint ventures were adversely affected in part by the European economic slowdown, which NTIC believes also adversely affected net sales of certain of NTIC’s other non-European joint ventures, as well as the weakening of the EURO and other currencies compared to the U.S. dollar. Sales of NTIC’s joint ventures are not included in NTIC’s product sales and are not combined with NTIC’s sales in NTIC’s consolidated financial statements or in any description of NTIC’s sales.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4" w:name="page25"/>
    <w:bookmarkEnd w:id="24"/>
    <w:p>
      <w:pPr>
        <w:ind w:right="80"/>
        <w:spacing w:after="0" w:line="249" w:lineRule="auto"/>
        <w:rPr>
          <w:sz w:val="20"/>
          <w:szCs w:val="20"/>
          <w:color w:val="auto"/>
        </w:rPr>
      </w:pPr>
      <w:r>
        <w:rPr>
          <w:rFonts w:ascii="Arial" w:cs="Arial" w:eastAsia="Arial" w:hAnsi="Arial"/>
          <w:sz w:val="18"/>
          <w:szCs w:val="18"/>
          <w:color w:val="auto"/>
        </w:rPr>
        <w:t>Of the total fee income for services provided to joint ventures, fees of $492,213 were attributable to EXCOR during the six months ended February 28, 2013 compared to $500,833 attributable to EXCOR during the six months ended February 29, 2012. This decrease was primarily the result of foreign currency exchange rate fluctuations. Fees of $943,897 were attributable to NTIC’s joint venture in China during the six months ended February 28, 2013 compared to $0 during the six months ended February 29, 2012, as a result of the consolidation of NTI Asean in the current fiscal year periods, but not in the prior fiscal year periods.</w:t>
      </w:r>
    </w:p>
    <w:p>
      <w:pPr>
        <w:spacing w:after="0" w:line="21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15.8% and 10.5% for the three and six months ended February 28, 2013 compared to the same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in fiscal 2012 due to increases in compensation and employee benefits, lab testing related expenses, commission expenses, travel and related expenses, and consulting expenses and selling expenses incurred at Zerust Brazil. Selling expenses as a percentage of net sales increased slightly to 22.4% and 22.3% for the three and six months ended February 28, 2013, from 20.4% and 21.6% and during the three and six months ended February 29, 2012, due primarily to the increase in selling expenses, partially offset by the increase in net sales, as previously described.</w:t>
      </w:r>
    </w:p>
    <w:p>
      <w:pPr>
        <w:spacing w:after="0" w:line="19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3.9% and 0.9% for the three and six months ended February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2013 compared to the same respective periods in fiscal 2012 due to increases in consulting expenses. As a percentage of net sales, general and administrative expenses decreased to 21.8% and 22.7% for the three and six months ended February 28, 2013 from 22.1% and 24.2% for the three and six months ended February 29, 2012.</w:t>
      </w:r>
    </w:p>
    <w:p>
      <w:pPr>
        <w:spacing w:after="0" w:line="219"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 xml:space="preserve">Expenses Incurred in Support of Joint Ventures. </w:t>
      </w:r>
      <w:r>
        <w:rPr>
          <w:rFonts w:ascii="Arial" w:cs="Arial" w:eastAsia="Arial" w:hAnsi="Arial"/>
          <w:sz w:val="18"/>
          <w:szCs w:val="18"/>
          <w:color w:val="auto"/>
        </w:rPr>
        <w:t>Expenses incurred in support of NTIC’s joint ventures were $321,456 and $691,143 during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February 28, 2013, respectively, compared to $235,557 and $435,821 during the three and six months ended February 29, 2012, respectively, representing an increase of 36.5% and 58.6%, respectively. These increases were due primarily to increased compensation and benefits expenses associated with increased headcount.</w:t>
      </w:r>
    </w:p>
    <w:p>
      <w:pPr>
        <w:spacing w:after="0" w:line="219"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NTIC’s research and development expenses decreased 6.4% for the three months ended February 28, 2013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fiscal 2012 and increased 3.4% for the six months ended February 28, 2013 compared to the same period in fiscal 2012.</w:t>
      </w:r>
    </w:p>
    <w:p>
      <w:pPr>
        <w:spacing w:after="0" w:line="161"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$22,288 and $47,634 during the three and six months ended February 28, 2013,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$12,631 and $20,691 during the three and six months ended February 29, 2012, respectively, primarily due to increased cash balances in Brazil earning interest during the most recent periods.</w:t>
      </w:r>
    </w:p>
    <w:p>
      <w:pPr>
        <w:spacing w:after="0" w:line="216" w:lineRule="exact"/>
        <w:rPr>
          <w:sz w:val="20"/>
          <w:szCs w:val="20"/>
          <w:color w:val="auto"/>
        </w:rPr>
      </w:pPr>
    </w:p>
    <w:p>
      <w:pPr>
        <w:jc w:val="both"/>
        <w:ind w:right="220"/>
        <w:spacing w:after="0" w:line="300"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NTIC’s interest expense decreased to $6,988 during the three months ended February 28, 2013 compared to $7,284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February 29, 2012, primarily due to lower average outstanding debt levels during the most recent period. NTIC’s interest expense increased slightly to $13,462 during the six months ended February 28, 2013 compared to $13,250 during the months ended February 29, 2012.</w:t>
      </w:r>
    </w:p>
    <w:p>
      <w:pPr>
        <w:spacing w:after="0" w:line="180" w:lineRule="exact"/>
        <w:rPr>
          <w:sz w:val="20"/>
          <w:szCs w:val="20"/>
          <w:color w:val="auto"/>
        </w:rPr>
      </w:pPr>
    </w:p>
    <w:p>
      <w:pPr>
        <w:ind w:right="120"/>
        <w:spacing w:after="0" w:line="325"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Income before income tax expense increased to $985,155 and $1,877,691 for the three and six months ended February 28,</w:t>
      </w:r>
      <w:r>
        <w:rPr>
          <w:rFonts w:ascii="Arial" w:cs="Arial" w:eastAsia="Arial" w:hAnsi="Arial"/>
          <w:sz w:val="16"/>
          <w:szCs w:val="16"/>
          <w:i w:val="1"/>
          <w:iCs w:val="1"/>
          <w:color w:val="auto"/>
        </w:rPr>
        <w:t xml:space="preserve"> </w:t>
      </w:r>
      <w:r>
        <w:rPr>
          <w:rFonts w:ascii="Arial" w:cs="Arial" w:eastAsia="Arial" w:hAnsi="Arial"/>
          <w:sz w:val="16"/>
          <w:szCs w:val="16"/>
          <w:color w:val="auto"/>
        </w:rPr>
        <w:t>2013, respectively, compared to $703,991 and $1,745,412 for the three and six months ended February 29, 2012, respectively.</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40"/>
          </w:cols>
          <w:pgMar w:left="240" w:top="272" w:right="319" w:bottom="1440" w:gutter="0" w:footer="0" w:header="0"/>
        </w:sectPr>
      </w:pPr>
    </w:p>
    <w:bookmarkStart w:id="25" w:name="page26"/>
    <w:bookmarkEnd w:id="25"/>
    <w:p>
      <w:pPr>
        <w:spacing w:after="0"/>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$240,000 and $374,000 during the three and six months ended February 28, 2013, respectively, compared</w:t>
      </w:r>
    </w:p>
    <w:p>
      <w:pPr>
        <w:spacing w:after="0" w:line="3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$100,000 and $206,000 during the three and six months ended February 29, 2012, respectively. Income tax expense was calculated based on management’s estimate of NTIC’s annual effective income tax rate. NTIC’s annual effective income tax rate during the three and six months ended February 28, 2013 and February 29, 2012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9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future domestic cash generation will be sufficient to meet future domestic cash needs. As a result, U.S. income and foreign withholding taxes have not been recognized on the cumulative undistributed earnings of $20.1 million and $19.4 million at February 28, 2013 and August 31, 2012, respectively. To the extent undistributed earnings of NTIC’s joint ventures are distributed in the future, they are not expected to result in any material additional income tax liability after the application of foreign tax credits</w:t>
      </w: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volatility of the foreign currency translations adjustment was due to the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U.S. dollar compared to the Euro and other foreign currencies during the three and six months ended February 28, 2013 compared to the same respective periods in fiscal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February 28, 2013, NTIC’s working capital was $14,589,567, including $4,261,145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$10,060,081, including $4,137,547 in cash and cash equivalents, at August 31, 2012.</w:t>
      </w:r>
    </w:p>
    <w:p>
      <w:pPr>
        <w:spacing w:after="0" w:line="20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As of February 28, 2013, NTIC had a term loan with a principal amount of $971,474 outstanding that Northern Technologies Holding Company, LLC (NTI LLC) obtained from PNC Bank, National Association (PNC Bank) in connection with the purchase of NTIC’s corporate headquarters in September 2006. The term loan matures on January 10, 2016, bears interest at an annual rate based on the daily LIBOR rate plus 2.15% and is payable in consecutive monthly installments equal to $6,343 (inclusive of principal but exclusive of interest). The term loan is secured by a first lien on the real estate and building owned by NTI LLC and all of the assets of NTIC and is guaranteed by NTIC.</w:t>
      </w:r>
    </w:p>
    <w:p>
      <w:pPr>
        <w:spacing w:after="0" w:line="21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As of February 28, 2013, NTIC also had a revolving line of credit with PNC Bank of $3,000,000 with no amounts outstanding as of such date.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February 28, 2013, the interest rate on the line of credit was 2.93%.</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6" w:name="page27"/>
    <w:bookmarkEnd w:id="26"/>
    <w:p>
      <w:pPr>
        <w:ind w:right="120"/>
        <w:spacing w:after="0" w:line="291" w:lineRule="auto"/>
        <w:rPr>
          <w:sz w:val="20"/>
          <w:szCs w:val="20"/>
          <w:color w:val="auto"/>
        </w:rPr>
      </w:pPr>
      <w:r>
        <w:rPr>
          <w:rFonts w:ascii="Arial" w:cs="Arial" w:eastAsia="Arial" w:hAnsi="Arial"/>
          <w:sz w:val="16"/>
          <w:szCs w:val="16"/>
          <w:color w:val="auto"/>
        </w:rPr>
        <w:t>The term loan and the line of credit are governed under two separate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NTIC is subject to a minimum fixed charge coverage ratio of 1.10:1.00.</w:t>
      </w:r>
    </w:p>
    <w:p>
      <w:pPr>
        <w:spacing w:after="0" w:line="189"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On December 11, 2012, PNC Bank extended the maturity date of the line of credit from January 9, 2013 to January 8, 2014 and waived a technical covenant default by NTIC to deliver quarterly compliance certificates. All other terms of the line of credit and the loan agreement and other documents evidencing the line of credit remain the same. NTIC expects to remain in compliance with all loan agreement covenants during the remainder of fiscal 2013.</w:t>
      </w:r>
    </w:p>
    <w:p>
      <w:pPr>
        <w:spacing w:after="0" w:line="180"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the remainder of fiscal 2013, NTIC expects to continue to invest in research and development and in marketing efforts and resources into the application of its corrosion prevention technology into the oil and gas industry and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1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8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Net cash used in operating activities during the six months ended February 28, 2013 was $3,445,681, which resulted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from NTIC’s equity in income from joint ventures and increases in receivables, inventories and prepaid expenses and a decrease in accounts payables, accrued liabilities and income taxes payable, partially offset by NTIC’s net income, depreciation and amortization. Net cash used in operating activities during the six months ended February 29, 2012 was $2,790,007 which resulted principally from NTIC’s equity in income from joint ventures and increases in receivables, inventories and prepaid expenses and a decrease in accounts payables, accrued liabilities and income taxes payable, partially offset by NTIC’s net income, depreciation and amortization.</w:t>
      </w:r>
    </w:p>
    <w:p>
      <w:pPr>
        <w:spacing w:after="0" w:line="22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7" w:name="page28"/>
    <w:bookmarkEnd w:id="27"/>
    <w:p>
      <w:pPr>
        <w:ind w:right="160"/>
        <w:spacing w:after="0" w:line="253" w:lineRule="auto"/>
        <w:rPr>
          <w:sz w:val="20"/>
          <w:szCs w:val="20"/>
          <w:color w:val="auto"/>
        </w:rPr>
      </w:pPr>
      <w:r>
        <w:rPr>
          <w:rFonts w:ascii="Arial" w:cs="Arial" w:eastAsia="Arial" w:hAnsi="Arial"/>
          <w:sz w:val="18"/>
          <w:szCs w:val="18"/>
          <w:color w:val="auto"/>
        </w:rPr>
        <w:t>NTIC experienced an increase in receivables and inventory as of February 28, 2013 compared to August 31, 2012 due to the increase in net sales and a desire to stock more products to shorten lead times and anticipate customer demand. Trade receivables excluding joint ventures as of February 28, 2013 increased $235,789 compared to August 31, 2012, primarily related to the increase in NTIC’s net sales.</w:t>
      </w:r>
    </w:p>
    <w:p>
      <w:pPr>
        <w:spacing w:after="0" w:line="21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Outstanding trade receivables excluding joint ventures balances as of February 28, 2013 increased 5 days to an average of 55 days from balances outstanding from these customers as of August 31, 2012.</w:t>
      </w:r>
    </w:p>
    <w:p>
      <w:pPr>
        <w:spacing w:after="0" w:line="20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Outstanding trade receivables from joint ventures as of February 28, 2013 increased $247,466 compared to August 31, 2012 primarily due to the timing of payments. There was a decrease of outstanding balances from trade receivables from joint ventures as of February 28, 2013 of 13 days from an average of 130 days from balances outstanding from these customers compared to August 31, 2012. The significant average days outstanding of trade receivables from joint ventures as of February 28, 2013 were primarily due to the receivable balance at NTIC’s joint venture in India, Korea and China.</w:t>
      </w:r>
    </w:p>
    <w:p>
      <w:pPr>
        <w:spacing w:after="0" w:line="18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Outstanding receivables for services provided to joint ventures as of February 28, 2013 increased $1,120,987 compared to August 31, 2012, primarily resulting from the consolidation of $1,376,962 from NTI Asean which resulted in an increase of 18 days of fees receivable outstanding as of February 28, 2013 to an average of 124 days compared to August 31, 2012.</w:t>
      </w:r>
    </w:p>
    <w:p>
      <w:pPr>
        <w:spacing w:after="0" w:line="21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Net cash provided by investing activities for the six months ended February 28, 2013 was $4,349,062, which was comprised of dividends received from joint ventures partially offset by additions to property and equipment and additions to patents and effect of the NTI Asean consolidation on cash of $911,709. Net cash provided by investing activities for the six months ended February 29, 2012 was $2,870,470 which was comprised of dividends received from joint ventures partially offset by additions to property and equipment and additions to patents.</w:t>
      </w:r>
    </w:p>
    <w:p>
      <w:pPr>
        <w:spacing w:after="0" w:line="21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Net cash provided by financing activities for the six months ended February 28, 2013 was $779,147, which resulted from proceeds from NTIC’s employee stock purchase plan and, to a lesser extent, option exercises and, partially offset by principal payments on the bank loan for NTIC’s corporate headquarters buildings. Net cash used in financing activities for the six months ended February 29, 2012 was $605, which resulted from proceeds from option exercises and NTIC’s employee stock purchase plan, partially offset by principal payments on the bank loan for NTIC’s corporate headquarters buildings.</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had no material lease or other material capital commitments as of February 28, 2013, except a lease agreement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16,994 square feet of office, manufacturing, laboratory and warehouse space in Beachwood, Ohio, requiring monthly payments of $17,500, which are adjusted annually according to the annual consumer price index, through November 2014.</w:t>
      </w:r>
    </w:p>
    <w:p>
      <w:pPr>
        <w:spacing w:after="0" w:line="216"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NTIC spent $102,000 on capital expenditures during the six months ended February 28, 2013 and expects to spend an aggregate of approximately $1,000,000 on capital expenditures during fiscal 2013. Such anticipated capital expenditures for fiscal 2013 relate primarily to the expansion of its laboratory facilities in Circle Pines, Minnesota and the purchase of new equipment.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340"/>
        <w:spacing w:after="0" w:line="300" w:lineRule="auto"/>
        <w:rPr>
          <w:sz w:val="20"/>
          <w:szCs w:val="20"/>
          <w:color w:val="auto"/>
        </w:rPr>
      </w:pPr>
      <w:r>
        <w:rPr>
          <w:rFonts w:ascii="Arial" w:cs="Arial" w:eastAsia="Arial" w:hAnsi="Arial"/>
          <w:sz w:val="16"/>
          <w:szCs w:val="16"/>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4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207" w:lineRule="exact"/>
        <w:rPr>
          <w:sz w:val="20"/>
          <w:szCs w:val="20"/>
          <w:color w:val="auto"/>
        </w:rPr>
      </w:pPr>
    </w:p>
    <w:p>
      <w:pPr>
        <w:jc w:val="both"/>
        <w:ind w:right="100"/>
        <w:spacing w:after="0" w:line="300"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28, 2013, NTIC had no borrowings under the line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2012, except for the following: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subsidiaries, NTI Facilities, Inc., Northern Technologies Holding Company, LLC and NTIC’s majority owned subsidiary in Brazil, Zerust Prevenção de Corrosão S.A., and NTIC’s majority owned holding company, NTI Asean LLC. NTIC’s consolidated financial statements do not include the accounts of any of its joint ventures. NTIC’s consolidated financial statements do not include Polymer Energy LLC, in which NTIC holds a 62.5% ownership interest. Polymer Energy LLC had immaterial activity in fiscal 2013 and fiscal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20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19" w:lineRule="exact"/>
        <w:rPr>
          <w:sz w:val="20"/>
          <w:szCs w:val="20"/>
          <w:color w:val="auto"/>
        </w:rPr>
      </w:pPr>
    </w:p>
    <w:p>
      <w:pPr>
        <w:ind w:left="960" w:hanging="137"/>
        <w:spacing w:after="0" w:line="262"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207" w:lineRule="exact"/>
        <w:rPr>
          <w:rFonts w:ascii="Arial" w:cs="Arial" w:eastAsia="Arial" w:hAnsi="Arial"/>
          <w:sz w:val="18"/>
          <w:szCs w:val="18"/>
          <w:color w:val="auto"/>
        </w:rPr>
      </w:pPr>
    </w:p>
    <w:p>
      <w:pPr>
        <w:ind w:left="960" w:hanging="137"/>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41" w:lineRule="exact"/>
        <w:rPr>
          <w:rFonts w:ascii="Arial" w:cs="Arial" w:eastAsia="Arial" w:hAnsi="Arial"/>
          <w:sz w:val="18"/>
          <w:szCs w:val="18"/>
          <w:color w:val="auto"/>
        </w:rPr>
      </w:pPr>
    </w:p>
    <w:p>
      <w:pPr>
        <w:ind w:left="960" w:hanging="137"/>
        <w:spacing w:after="0" w:line="262"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207" w:lineRule="exact"/>
        <w:rPr>
          <w:rFonts w:ascii="Arial" w:cs="Arial" w:eastAsia="Arial" w:hAnsi="Arial"/>
          <w:sz w:val="18"/>
          <w:szCs w:val="18"/>
          <w:color w:val="auto"/>
        </w:rPr>
      </w:pPr>
    </w:p>
    <w:p>
      <w:pPr>
        <w:ind w:left="960" w:hanging="137"/>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variability in NTIC’s equity income of joint ventures, which in turn, subjects NTIC’s earnings to quarterly fluctuations;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0" w:name="page31"/>
    <w:bookmarkEnd w:id="30"/>
    <w:p>
      <w:pPr>
        <w:ind w:left="960" w:hanging="137"/>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Risks associated with NTIC’s international operations and exposure to fluctuations in foreign currency exchange rates and import duties and taxes;</w:t>
      </w:r>
    </w:p>
    <w:p>
      <w:pPr>
        <w:spacing w:after="0" w:line="264" w:lineRule="exact"/>
        <w:rPr>
          <w:rFonts w:ascii="Arial" w:cs="Arial" w:eastAsia="Arial" w:hAnsi="Arial"/>
          <w:sz w:val="16"/>
          <w:szCs w:val="16"/>
          <w:color w:val="auto"/>
        </w:rPr>
      </w:pPr>
    </w:p>
    <w:p>
      <w:pPr>
        <w:ind w:left="960" w:hanging="13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41" w:lineRule="exact"/>
        <w:rPr>
          <w:rFonts w:ascii="Arial" w:cs="Arial" w:eastAsia="Arial" w:hAnsi="Arial"/>
          <w:sz w:val="18"/>
          <w:szCs w:val="18"/>
          <w:color w:val="auto"/>
        </w:rPr>
      </w:pPr>
    </w:p>
    <w:p>
      <w:pPr>
        <w:jc w:val="both"/>
        <w:ind w:left="960" w:hanging="137"/>
        <w:spacing w:after="0" w:line="224"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26" w:lineRule="exact"/>
        <w:rPr>
          <w:rFonts w:ascii="Arial" w:cs="Arial" w:eastAsia="Arial" w:hAnsi="Arial"/>
          <w:sz w:val="18"/>
          <w:szCs w:val="18"/>
          <w:color w:val="auto"/>
        </w:rPr>
      </w:pPr>
    </w:p>
    <w:p>
      <w:pPr>
        <w:ind w:left="960" w:hanging="13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39" w:lineRule="exact"/>
        <w:rPr>
          <w:rFonts w:ascii="Arial" w:cs="Arial" w:eastAsia="Arial" w:hAnsi="Arial"/>
          <w:sz w:val="18"/>
          <w:szCs w:val="18"/>
          <w:color w:val="auto"/>
        </w:rPr>
      </w:pPr>
    </w:p>
    <w:p>
      <w:pPr>
        <w:ind w:left="960" w:hanging="137"/>
        <w:spacing w:after="0" w:line="216"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24" w:lineRule="exact"/>
        <w:rPr>
          <w:rFonts w:ascii="Arial" w:cs="Arial" w:eastAsia="Arial" w:hAnsi="Arial"/>
          <w:sz w:val="18"/>
          <w:szCs w:val="18"/>
          <w:color w:val="auto"/>
        </w:rPr>
      </w:pPr>
    </w:p>
    <w:p>
      <w:pPr>
        <w:ind w:left="960" w:hanging="137"/>
        <w:spacing w:after="0" w:line="216"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26" w:lineRule="exact"/>
        <w:rPr>
          <w:rFonts w:ascii="Arial" w:cs="Arial" w:eastAsia="Arial" w:hAnsi="Arial"/>
          <w:sz w:val="18"/>
          <w:szCs w:val="18"/>
          <w:color w:val="auto"/>
        </w:rPr>
      </w:pPr>
    </w:p>
    <w:p>
      <w:pPr>
        <w:ind w:left="960" w:hanging="13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241" w:lineRule="exact"/>
        <w:rPr>
          <w:rFonts w:ascii="Arial" w:cs="Arial" w:eastAsia="Arial" w:hAnsi="Arial"/>
          <w:sz w:val="18"/>
          <w:szCs w:val="18"/>
          <w:color w:val="auto"/>
        </w:rPr>
      </w:pPr>
    </w:p>
    <w:p>
      <w:pPr>
        <w:ind w:left="960" w:hanging="137"/>
        <w:spacing w:after="0" w:line="262"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205" w:lineRule="exact"/>
        <w:rPr>
          <w:rFonts w:ascii="Arial" w:cs="Arial" w:eastAsia="Arial" w:hAnsi="Arial"/>
          <w:sz w:val="18"/>
          <w:szCs w:val="18"/>
          <w:color w:val="auto"/>
        </w:rPr>
      </w:pPr>
    </w:p>
    <w:p>
      <w:pPr>
        <w:ind w:left="960" w:hanging="137"/>
        <w:spacing w:after="0" w:line="216"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transition of the manufacturing of certain select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in house at NTIC’s corporate headquarters location in Circle Pines, Minnesota;</w:t>
      </w:r>
    </w:p>
    <w:p>
      <w:pPr>
        <w:spacing w:after="0" w:line="226" w:lineRule="exact"/>
        <w:rPr>
          <w:rFonts w:ascii="Arial" w:cs="Arial" w:eastAsia="Arial" w:hAnsi="Arial"/>
          <w:sz w:val="18"/>
          <w:szCs w:val="18"/>
          <w:color w:val="auto"/>
        </w:rPr>
      </w:pPr>
    </w:p>
    <w:p>
      <w:pPr>
        <w:ind w:left="960" w:hanging="13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41" w:lineRule="exact"/>
        <w:rPr>
          <w:sz w:val="20"/>
          <w:szCs w:val="20"/>
          <w:color w:val="auto"/>
        </w:rPr>
      </w:pPr>
    </w:p>
    <w:p>
      <w:pPr>
        <w:ind w:right="460"/>
        <w:spacing w:after="0" w:line="300" w:lineRule="auto"/>
        <w:rPr>
          <w:sz w:val="20"/>
          <w:szCs w:val="20"/>
          <w:color w:val="auto"/>
        </w:rPr>
      </w:pPr>
      <w:r>
        <w:rPr>
          <w:rFonts w:ascii="Arial" w:cs="Arial" w:eastAsia="Arial" w:hAnsi="Arial"/>
          <w:sz w:val="16"/>
          <w:szCs w:val="16"/>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2012 under the heading “Part I. Item 1A. Risk Factors.”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1" w:name="page32"/>
    <w:bookmarkEnd w:id="31"/>
    <w:p>
      <w:pPr>
        <w:ind w:right="40"/>
        <w:spacing w:after="0" w:line="277" w:lineRule="auto"/>
        <w:rPr>
          <w:sz w:val="20"/>
          <w:szCs w:val="20"/>
          <w:color w:val="auto"/>
        </w:rPr>
      </w:pPr>
      <w:r>
        <w:rPr>
          <w:rFonts w:ascii="Arial" w:cs="Arial" w:eastAsia="Arial" w:hAnsi="Arial"/>
          <w:sz w:val="16"/>
          <w:szCs w:val="16"/>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w:t>
      </w:r>
    </w:p>
    <w:p>
      <w:pPr>
        <w:ind w:right="120"/>
        <w:spacing w:after="0" w:line="292" w:lineRule="auto"/>
        <w:rPr>
          <w:sz w:val="20"/>
          <w:szCs w:val="20"/>
          <w:color w:val="auto"/>
        </w:rPr>
      </w:pPr>
      <w:r>
        <w:rPr>
          <w:rFonts w:ascii="Arial" w:cs="Arial" w:eastAsia="Arial" w:hAnsi="Arial"/>
          <w:sz w:val="16"/>
          <w:szCs w:val="16"/>
          <w:color w:val="auto"/>
        </w:rPr>
        <w:t>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color w:val="auto"/>
        </w:rPr>
        <w:t>There was no change in NTIC’s internal control over financial reporting that occurred during the quarter ended February 28, 2013 that has materially affected, or is reasonably likely to materially affect NTIC’s internal control over financial reporting, other than the consolidation of NTI Asean.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2" w:name="page33"/>
    <w:bookmarkEnd w:id="32"/>
    <w:p>
      <w:pPr>
        <w:spacing w:after="0"/>
        <w:tabs>
          <w:tab w:leader="none" w:pos="840" w:val="left"/>
        </w:tabs>
        <w:rPr>
          <w:sz w:val="20"/>
          <w:szCs w:val="20"/>
          <w:color w:val="auto"/>
        </w:rPr>
      </w:pPr>
      <w:r>
        <w:rPr>
          <w:rFonts w:ascii="Arial" w:cs="Arial" w:eastAsia="Arial" w:hAnsi="Arial"/>
          <w:sz w:val="18"/>
          <w:szCs w:val="18"/>
          <w:b w:val="1"/>
          <w:bCs w:val="1"/>
          <w:color w:val="auto"/>
        </w:rPr>
        <w:t>PART II</w:t>
        <w:tab/>
        <w:t>OTHER INFORMATION</w:t>
      </w: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4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the three months ended February 28, 2013, NTIC did not issue any shares of its common stock or other equity securities of NTIC that were not registered under the Securities Act of 1933, as amended.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February 28, 2013, NTIC did not purchase any shares of its common stock or other equity securities of NTIC.</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89"/>
              </w:rPr>
              <w:t>Exhibit</w:t>
            </w:r>
          </w:p>
        </w:tc>
        <w:tc>
          <w:tcPr>
            <w:tcW w:w="4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80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w w:val="82"/>
              </w:rPr>
              <w:t>No.</w:t>
            </w:r>
          </w:p>
        </w:tc>
        <w:tc>
          <w:tcPr>
            <w:tcW w:w="480" w:type="dxa"/>
            <w:vAlign w:val="bottom"/>
          </w:tcPr>
          <w:p>
            <w:pPr>
              <w:spacing w:after="0"/>
              <w:rPr>
                <w:sz w:val="19"/>
                <w:szCs w:val="19"/>
                <w:color w:val="auto"/>
              </w:rPr>
            </w:pPr>
          </w:p>
        </w:tc>
        <w:tc>
          <w:tcPr>
            <w:tcW w:w="10140" w:type="dxa"/>
            <w:vAlign w:val="bottom"/>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780" w:type="dxa"/>
            <w:vAlign w:val="bottom"/>
            <w:tcBorders>
              <w:top w:val="single" w:sz="8" w:color="auto"/>
            </w:tcBorders>
          </w:tcPr>
          <w:p>
            <w:pPr>
              <w:jc w:val="right"/>
              <w:ind w:right="152"/>
              <w:spacing w:after="0" w:line="192" w:lineRule="exact"/>
              <w:rPr>
                <w:sz w:val="20"/>
                <w:szCs w:val="20"/>
                <w:color w:val="auto"/>
              </w:rPr>
            </w:pPr>
            <w:r>
              <w:rPr>
                <w:rFonts w:ascii="Arial" w:cs="Arial" w:eastAsia="Arial" w:hAnsi="Arial"/>
                <w:sz w:val="18"/>
                <w:szCs w:val="18"/>
                <w:color w:val="auto"/>
              </w:rPr>
              <w:t>10.1</w:t>
            </w:r>
          </w:p>
        </w:tc>
        <w:tc>
          <w:tcPr>
            <w:tcW w:w="480" w:type="dxa"/>
            <w:vAlign w:val="bottom"/>
          </w:tcPr>
          <w:p>
            <w:pPr>
              <w:spacing w:after="0"/>
              <w:rPr>
                <w:sz w:val="16"/>
                <w:szCs w:val="16"/>
                <w:color w:val="auto"/>
              </w:rPr>
            </w:pPr>
          </w:p>
        </w:tc>
        <w:tc>
          <w:tcPr>
            <w:tcW w:w="1014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w w:val="89"/>
              </w:rPr>
              <w:t>Waiver and Second Amendment to Loan Documents dated December 11, 2012 between Northern Technologies International Corporation and</w:t>
            </w:r>
          </w:p>
        </w:tc>
      </w:tr>
      <w:tr>
        <w:trPr>
          <w:trHeight w:val="211"/>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PNC Bank, National Association (incorporated by reference to Exhibit 10.1 to NTIC’s quarterly report on Form 10-Q for the fiscal quarter</w:t>
            </w: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ended November 30, 2012 (File No. 001-11038))</w:t>
            </w:r>
          </w:p>
        </w:tc>
      </w:tr>
      <w:tr>
        <w:trPr>
          <w:trHeight w:val="410"/>
        </w:trPr>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Exchange Act Rules 13a-14(a)/15d-14(a), as Adopted Pursuant to Section 302 of the</w:t>
            </w: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410"/>
        </w:trPr>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 Exchange Act Rules 13a-14(a)/15d-14(a), as Adopted Pursuant to Section 302 of the</w:t>
            </w: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593"/>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20" w:type="dxa"/>
            <w:vAlign w:val="bottom"/>
            <w:gridSpan w:val="2"/>
          </w:tcPr>
          <w:p>
            <w:pPr>
              <w:jc w:val="right"/>
              <w:ind w:right="5532"/>
              <w:spacing w:after="0"/>
              <w:rPr>
                <w:sz w:val="20"/>
                <w:szCs w:val="20"/>
                <w:color w:val="auto"/>
              </w:rPr>
            </w:pPr>
            <w:r>
              <w:rPr>
                <w:rFonts w:ascii="Arial" w:cs="Arial" w:eastAsia="Arial" w:hAnsi="Arial"/>
                <w:sz w:val="18"/>
                <w:szCs w:val="18"/>
                <w:color w:val="auto"/>
              </w:rPr>
              <w:t>32</w:t>
            </w:r>
          </w:p>
        </w:tc>
      </w:tr>
      <w:tr>
        <w:trPr>
          <w:trHeight w:val="142"/>
        </w:trPr>
        <w:tc>
          <w:tcPr>
            <w:tcW w:w="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0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1"/>
        </w:trPr>
        <w:tc>
          <w:tcPr>
            <w:tcW w:w="80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89"/>
              </w:rPr>
              <w:t>Exhibit</w:t>
            </w:r>
          </w:p>
        </w:tc>
        <w:tc>
          <w:tcPr>
            <w:tcW w:w="4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80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w w:val="82"/>
              </w:rPr>
              <w:t>No.</w:t>
            </w:r>
          </w:p>
        </w:tc>
        <w:tc>
          <w:tcPr>
            <w:tcW w:w="480" w:type="dxa"/>
            <w:vAlign w:val="bottom"/>
          </w:tcPr>
          <w:p>
            <w:pPr>
              <w:spacing w:after="0"/>
              <w:rPr>
                <w:sz w:val="19"/>
                <w:szCs w:val="19"/>
                <w:color w:val="auto"/>
              </w:rPr>
            </w:pPr>
          </w:p>
        </w:tc>
        <w:tc>
          <w:tcPr>
            <w:tcW w:w="10140" w:type="dxa"/>
            <w:vAlign w:val="bottom"/>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780" w:type="dxa"/>
            <w:vAlign w:val="bottom"/>
            <w:tcBorders>
              <w:top w:val="single" w:sz="8" w:color="auto"/>
            </w:tcBorders>
          </w:tcPr>
          <w:p>
            <w:pPr>
              <w:jc w:val="right"/>
              <w:ind w:right="152"/>
              <w:spacing w:after="0" w:line="192" w:lineRule="exact"/>
              <w:rPr>
                <w:sz w:val="20"/>
                <w:szCs w:val="20"/>
                <w:color w:val="auto"/>
              </w:rPr>
            </w:pPr>
            <w:r>
              <w:rPr>
                <w:rFonts w:ascii="Arial" w:cs="Arial" w:eastAsia="Arial" w:hAnsi="Arial"/>
                <w:sz w:val="18"/>
                <w:szCs w:val="18"/>
                <w:color w:val="auto"/>
              </w:rPr>
              <w:t>32.1</w:t>
            </w:r>
          </w:p>
        </w:tc>
        <w:tc>
          <w:tcPr>
            <w:tcW w:w="480" w:type="dxa"/>
            <w:vAlign w:val="bottom"/>
          </w:tcPr>
          <w:p>
            <w:pPr>
              <w:spacing w:after="0"/>
              <w:rPr>
                <w:sz w:val="16"/>
                <w:szCs w:val="16"/>
                <w:color w:val="auto"/>
              </w:rPr>
            </w:pPr>
          </w:p>
        </w:tc>
        <w:tc>
          <w:tcPr>
            <w:tcW w:w="1014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w w:val="89"/>
              </w:rPr>
              <w:t>Certification of Chief Executive Officer Pursuant to 18 U.S.C. Section 1350, as Adopted Pursuant to Section 906 of the Sarbanes-Oxley Act of</w:t>
            </w: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2002 (furnished herewith)</w:t>
            </w:r>
          </w:p>
        </w:tc>
      </w:tr>
      <w:tr>
        <w:trPr>
          <w:trHeight w:val="410"/>
        </w:trPr>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 Act of</w:t>
            </w: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2002 (furnished herewith)</w:t>
            </w:r>
          </w:p>
        </w:tc>
      </w:tr>
    </w:tbl>
    <w:p>
      <w:pPr>
        <w:spacing w:after="0" w:line="199" w:lineRule="exact"/>
        <w:rPr>
          <w:sz w:val="20"/>
          <w:szCs w:val="20"/>
          <w:color w:val="auto"/>
        </w:rPr>
      </w:pPr>
    </w:p>
    <w:p>
      <w:pPr>
        <w:ind w:left="1280" w:right="240" w:hanging="1004"/>
        <w:spacing w:after="0" w:line="291" w:lineRule="auto"/>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materials from Northern Technologies International Corporation’s Quarterly Report on Form 10-Q for the fiscal quarter ended February 28, 2013, formatted in XBRL (Extensible Business Reporting Language): (i) the unaudited Consolidated Balance Sheets, (ii) the unaudited Consolidated Statements of Operations, (iii) the unaudited Consolidated Statements of Comprehensive Income, (iv) the unaudited Consolidated Statements of Cash Flows, and (v) Notes to Condensed Financial Statements (furnished herewith)*</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_____________________</w:t>
      </w:r>
    </w:p>
    <w:p>
      <w:pPr>
        <w:spacing w:after="0" w:line="241" w:lineRule="exact"/>
        <w:rPr>
          <w:sz w:val="20"/>
          <w:szCs w:val="20"/>
          <w:color w:val="auto"/>
        </w:rPr>
      </w:pPr>
    </w:p>
    <w:p>
      <w:pPr>
        <w:ind w:left="640" w:right="120" w:hanging="635"/>
        <w:spacing w:after="0" w:line="291"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4" w:name="page35"/>
    <w:bookmarkEnd w:id="34"/>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466090</wp:posOffset>
            </wp:positionV>
            <wp:extent cx="828675" cy="485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8675" cy="485775"/>
                    </a:xfrm>
                    <a:prstGeom prst="rect">
                      <a:avLst/>
                    </a:prstGeom>
                    <a:noFill/>
                  </pic:spPr>
                </pic:pic>
              </a:graphicData>
            </a:graphic>
          </wp:anchor>
        </w:drawing>
      </w:r>
    </w:p>
    <w:p>
      <w:pPr>
        <w:sectPr>
          <w:pgSz w:w="11900" w:h="16838" w:orient="portrait"/>
          <w:cols w:equalWidth="0" w:num="1">
            <w:col w:w="11000"/>
          </w:cols>
          <w:pgMar w:left="240" w:top="266"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Date: April 12,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Matthew C. Wolsfeld, CPA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Duly Authorized to Sign on Behalf of the Registrant)</w:t>
      </w:r>
    </w:p>
    <w:p>
      <w:pPr>
        <w:spacing w:after="0" w:line="200" w:lineRule="exact"/>
        <w:rPr>
          <w:sz w:val="20"/>
          <w:szCs w:val="20"/>
          <w:color w:val="auto"/>
        </w:rPr>
      </w:pPr>
    </w:p>
    <w:p>
      <w:pPr>
        <w:sectPr>
          <w:pgSz w:w="11900" w:h="16838" w:orient="portrait"/>
          <w:cols w:equalWidth="0" w:num="2">
            <w:col w:w="3720" w:space="720"/>
            <w:col w:w="6560"/>
          </w:cols>
          <w:pgMar w:left="240" w:top="266"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000"/>
          </w:cols>
          <w:pgMar w:left="240" w:top="266" w:right="65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144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Exhibit No.</w:t>
            </w:r>
          </w:p>
        </w:tc>
        <w:tc>
          <w:tcPr>
            <w:tcW w:w="6160" w:type="dxa"/>
            <w:vAlign w:val="bottom"/>
            <w:tcBorders>
              <w:top w:val="single" w:sz="8" w:color="auto"/>
              <w:right w:val="single" w:sz="8" w:color="auto"/>
            </w:tcBorders>
          </w:tcPr>
          <w:p>
            <w:pPr>
              <w:spacing w:after="0"/>
              <w:rPr>
                <w:sz w:val="23"/>
                <w:szCs w:val="23"/>
                <w:color w:val="auto"/>
              </w:rPr>
            </w:pPr>
          </w:p>
        </w:tc>
        <w:tc>
          <w:tcPr>
            <w:tcW w:w="3840" w:type="dxa"/>
            <w:vAlign w:val="bottom"/>
            <w:tcBorders>
              <w:top w:val="single" w:sz="8" w:color="auto"/>
              <w:right w:val="single" w:sz="8" w:color="auto"/>
            </w:tcBorders>
          </w:tcPr>
          <w:p>
            <w:pPr>
              <w:spacing w:after="0"/>
              <w:rPr>
                <w:sz w:val="23"/>
                <w:szCs w:val="23"/>
                <w:color w:val="auto"/>
              </w:rPr>
            </w:pPr>
          </w:p>
        </w:tc>
      </w:tr>
      <w:tr>
        <w:trPr>
          <w:trHeight w:val="237"/>
        </w:trPr>
        <w:tc>
          <w:tcPr>
            <w:tcW w:w="1440" w:type="dxa"/>
            <w:vAlign w:val="bottom"/>
            <w:tcBorders>
              <w:left w:val="single" w:sz="8" w:color="auto"/>
              <w:right w:val="single" w:sz="8" w:color="auto"/>
            </w:tcBorders>
          </w:tcPr>
          <w:p>
            <w:pPr>
              <w:spacing w:after="0"/>
              <w:rPr>
                <w:sz w:val="20"/>
                <w:szCs w:val="20"/>
                <w:color w:val="auto"/>
              </w:rPr>
            </w:pPr>
          </w:p>
        </w:tc>
        <w:tc>
          <w:tcPr>
            <w:tcW w:w="616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Description</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Method of Filing</w:t>
            </w:r>
          </w:p>
        </w:tc>
      </w:tr>
      <w:tr>
        <w:trPr>
          <w:trHeight w:val="37"/>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r>
      <w:tr>
        <w:trPr>
          <w:trHeight w:val="23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Waiver and Second Amendment to Loan Documents dated December 11, 2012</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Incorporated by reference to Exhibit 10.1 to NTIC’s</w:t>
            </w:r>
          </w:p>
        </w:tc>
      </w:tr>
      <w:tr>
        <w:trPr>
          <w:trHeight w:val="211"/>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between Northern Technologies International Corporation and PNC Bank, National</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quarterly report on Form 10-Q for the fiscal quarter</w:t>
            </w:r>
          </w:p>
        </w:tc>
      </w:tr>
      <w:tr>
        <w:trPr>
          <w:trHeight w:val="223"/>
        </w:trPr>
        <w:tc>
          <w:tcPr>
            <w:tcW w:w="1440" w:type="dxa"/>
            <w:vAlign w:val="bottom"/>
            <w:tcBorders>
              <w:left w:val="single" w:sz="8" w:color="auto"/>
              <w:right w:val="single" w:sz="8" w:color="auto"/>
            </w:tcBorders>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Association</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ended November 30, 2012 (File No. 001-0857886)</w:t>
            </w: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r>
      <w:tr>
        <w:trPr>
          <w:trHeight w:val="23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31.1</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Exchange Act Rules 13a-</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r>
      <w:tr>
        <w:trPr>
          <w:trHeight w:val="211"/>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14(a)/15d-14(a), as Adopted Pursuant to Section 302 of the Sarbanes-Oxley Act of</w:t>
            </w:r>
          </w:p>
        </w:tc>
        <w:tc>
          <w:tcPr>
            <w:tcW w:w="3840" w:type="dxa"/>
            <w:vAlign w:val="bottom"/>
            <w:tcBorders>
              <w:right w:val="single" w:sz="8" w:color="auto"/>
            </w:tcBorders>
          </w:tcPr>
          <w:p>
            <w:pPr>
              <w:spacing w:after="0"/>
              <w:rPr>
                <w:sz w:val="18"/>
                <w:szCs w:val="18"/>
                <w:color w:val="auto"/>
              </w:rPr>
            </w:pPr>
          </w:p>
        </w:tc>
      </w:tr>
      <w:tr>
        <w:trPr>
          <w:trHeight w:val="223"/>
        </w:trPr>
        <w:tc>
          <w:tcPr>
            <w:tcW w:w="1440" w:type="dxa"/>
            <w:vAlign w:val="bottom"/>
            <w:tcBorders>
              <w:left w:val="single" w:sz="8" w:color="auto"/>
              <w:right w:val="single" w:sz="8" w:color="auto"/>
            </w:tcBorders>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2002</w:t>
            </w:r>
          </w:p>
        </w:tc>
        <w:tc>
          <w:tcPr>
            <w:tcW w:w="3840" w:type="dxa"/>
            <w:vAlign w:val="bottom"/>
            <w:tcBorders>
              <w:right w:val="single" w:sz="8" w:color="auto"/>
            </w:tcBorders>
          </w:tcPr>
          <w:p>
            <w:pPr>
              <w:spacing w:after="0"/>
              <w:rPr>
                <w:sz w:val="19"/>
                <w:szCs w:val="19"/>
                <w:color w:val="auto"/>
              </w:rPr>
            </w:pP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r>
      <w:tr>
        <w:trPr>
          <w:trHeight w:val="23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31.2</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Certification of Chief Financial Officer Pursuant to Exchange Act Rules 13a-</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r>
      <w:tr>
        <w:trPr>
          <w:trHeight w:val="211"/>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14(a)/15d-14(a), as Adopted Pursuant to Section 302 of the Sarbanes-Oxley Act of</w:t>
            </w:r>
          </w:p>
        </w:tc>
        <w:tc>
          <w:tcPr>
            <w:tcW w:w="3840" w:type="dxa"/>
            <w:vAlign w:val="bottom"/>
            <w:tcBorders>
              <w:right w:val="single" w:sz="8" w:color="auto"/>
            </w:tcBorders>
          </w:tcPr>
          <w:p>
            <w:pPr>
              <w:spacing w:after="0"/>
              <w:rPr>
                <w:sz w:val="18"/>
                <w:szCs w:val="18"/>
                <w:color w:val="auto"/>
              </w:rPr>
            </w:pPr>
          </w:p>
        </w:tc>
      </w:tr>
      <w:tr>
        <w:trPr>
          <w:trHeight w:val="223"/>
        </w:trPr>
        <w:tc>
          <w:tcPr>
            <w:tcW w:w="1440" w:type="dxa"/>
            <w:vAlign w:val="bottom"/>
            <w:tcBorders>
              <w:left w:val="single" w:sz="8" w:color="auto"/>
              <w:right w:val="single" w:sz="8" w:color="auto"/>
            </w:tcBorders>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2002</w:t>
            </w:r>
          </w:p>
        </w:tc>
        <w:tc>
          <w:tcPr>
            <w:tcW w:w="3840" w:type="dxa"/>
            <w:vAlign w:val="bottom"/>
            <w:tcBorders>
              <w:right w:val="single" w:sz="8" w:color="auto"/>
            </w:tcBorders>
          </w:tcPr>
          <w:p>
            <w:pPr>
              <w:spacing w:after="0"/>
              <w:rPr>
                <w:sz w:val="19"/>
                <w:szCs w:val="19"/>
                <w:color w:val="auto"/>
              </w:rPr>
            </w:pP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r>
      <w:tr>
        <w:trPr>
          <w:trHeight w:val="23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32.1</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Certification of Chief Executive Officer Pursuant to 18 U.S.C. Section 1350, as</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23"/>
        </w:trPr>
        <w:tc>
          <w:tcPr>
            <w:tcW w:w="1440" w:type="dxa"/>
            <w:vAlign w:val="bottom"/>
            <w:tcBorders>
              <w:left w:val="single" w:sz="8" w:color="auto"/>
              <w:right w:val="single" w:sz="8" w:color="auto"/>
            </w:tcBorders>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40" w:type="dxa"/>
            <w:vAlign w:val="bottom"/>
            <w:tcBorders>
              <w:right w:val="single" w:sz="8" w:color="auto"/>
            </w:tcBorders>
          </w:tcPr>
          <w:p>
            <w:pPr>
              <w:spacing w:after="0"/>
              <w:rPr>
                <w:sz w:val="19"/>
                <w:szCs w:val="19"/>
                <w:color w:val="auto"/>
              </w:rPr>
            </w:pP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r>
      <w:tr>
        <w:trPr>
          <w:trHeight w:val="23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32.2</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Certification of Chief Financial Officer Pursuant to 18 U.S.C. Section 1350, as</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23"/>
        </w:trPr>
        <w:tc>
          <w:tcPr>
            <w:tcW w:w="1440" w:type="dxa"/>
            <w:vAlign w:val="bottom"/>
            <w:tcBorders>
              <w:left w:val="single" w:sz="8" w:color="auto"/>
              <w:right w:val="single" w:sz="8" w:color="auto"/>
            </w:tcBorders>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40" w:type="dxa"/>
            <w:vAlign w:val="bottom"/>
            <w:tcBorders>
              <w:right w:val="single" w:sz="8" w:color="auto"/>
            </w:tcBorders>
          </w:tcPr>
          <w:p>
            <w:pPr>
              <w:spacing w:after="0"/>
              <w:rPr>
                <w:sz w:val="19"/>
                <w:szCs w:val="19"/>
                <w:color w:val="auto"/>
              </w:rPr>
            </w:pP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r>
      <w:tr>
        <w:trPr>
          <w:trHeight w:val="23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101</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following materials from Northern Technologies International Corporation’s</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11"/>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Quarterly Report on Form 10-Q for the fiscal quarter ended February 28, 2013,</w:t>
            </w:r>
          </w:p>
        </w:tc>
        <w:tc>
          <w:tcPr>
            <w:tcW w:w="3840" w:type="dxa"/>
            <w:vAlign w:val="bottom"/>
            <w:tcBorders>
              <w:right w:val="single" w:sz="8" w:color="auto"/>
            </w:tcBorders>
          </w:tcPr>
          <w:p>
            <w:pPr>
              <w:spacing w:after="0"/>
              <w:rPr>
                <w:sz w:val="18"/>
                <w:szCs w:val="18"/>
                <w:color w:val="auto"/>
              </w:rPr>
            </w:pPr>
          </w:p>
        </w:tc>
      </w:tr>
      <w:tr>
        <w:trPr>
          <w:trHeight w:val="211"/>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formatted in XBRL (Extensible Business Reporting Language): (i) the unaudited</w:t>
            </w:r>
          </w:p>
        </w:tc>
        <w:tc>
          <w:tcPr>
            <w:tcW w:w="3840" w:type="dxa"/>
            <w:vAlign w:val="bottom"/>
            <w:tcBorders>
              <w:right w:val="single" w:sz="8" w:color="auto"/>
            </w:tcBorders>
          </w:tcPr>
          <w:p>
            <w:pPr>
              <w:spacing w:after="0"/>
              <w:rPr>
                <w:sz w:val="18"/>
                <w:szCs w:val="18"/>
                <w:color w:val="auto"/>
              </w:rPr>
            </w:pPr>
          </w:p>
        </w:tc>
      </w:tr>
      <w:tr>
        <w:trPr>
          <w:trHeight w:val="211"/>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Consolidated Balance Sheets, (ii) the unaudited Consolidated Statements of</w:t>
            </w:r>
          </w:p>
        </w:tc>
        <w:tc>
          <w:tcPr>
            <w:tcW w:w="3840" w:type="dxa"/>
            <w:vAlign w:val="bottom"/>
            <w:tcBorders>
              <w:right w:val="single" w:sz="8" w:color="auto"/>
            </w:tcBorders>
          </w:tcPr>
          <w:p>
            <w:pPr>
              <w:spacing w:after="0"/>
              <w:rPr>
                <w:sz w:val="18"/>
                <w:szCs w:val="18"/>
                <w:color w:val="auto"/>
              </w:rPr>
            </w:pPr>
          </w:p>
        </w:tc>
      </w:tr>
      <w:tr>
        <w:trPr>
          <w:trHeight w:val="211"/>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Operations, (iii) the unaudited Consolidated Statements of Comprehensive Income,</w:t>
            </w:r>
          </w:p>
        </w:tc>
        <w:tc>
          <w:tcPr>
            <w:tcW w:w="3840" w:type="dxa"/>
            <w:vAlign w:val="bottom"/>
            <w:tcBorders>
              <w:right w:val="single" w:sz="8" w:color="auto"/>
            </w:tcBorders>
          </w:tcPr>
          <w:p>
            <w:pPr>
              <w:spacing w:after="0"/>
              <w:rPr>
                <w:sz w:val="18"/>
                <w:szCs w:val="18"/>
                <w:color w:val="auto"/>
              </w:rPr>
            </w:pPr>
          </w:p>
        </w:tc>
      </w:tr>
      <w:tr>
        <w:trPr>
          <w:trHeight w:val="211"/>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(iv) the unaudited Consolidated Statements of Cash Flows, and (v) Notes to</w:t>
            </w:r>
          </w:p>
        </w:tc>
        <w:tc>
          <w:tcPr>
            <w:tcW w:w="3840" w:type="dxa"/>
            <w:vAlign w:val="bottom"/>
            <w:tcBorders>
              <w:right w:val="single" w:sz="8" w:color="auto"/>
            </w:tcBorders>
          </w:tcPr>
          <w:p>
            <w:pPr>
              <w:spacing w:after="0"/>
              <w:rPr>
                <w:sz w:val="18"/>
                <w:szCs w:val="18"/>
                <w:color w:val="auto"/>
              </w:rPr>
            </w:pPr>
          </w:p>
        </w:tc>
      </w:tr>
      <w:tr>
        <w:trPr>
          <w:trHeight w:val="223"/>
        </w:trPr>
        <w:tc>
          <w:tcPr>
            <w:tcW w:w="1440" w:type="dxa"/>
            <w:vAlign w:val="bottom"/>
            <w:tcBorders>
              <w:left w:val="single" w:sz="8" w:color="auto"/>
              <w:right w:val="single" w:sz="8" w:color="auto"/>
            </w:tcBorders>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Condensed Financial Statements*</w:t>
            </w:r>
          </w:p>
        </w:tc>
        <w:tc>
          <w:tcPr>
            <w:tcW w:w="3840" w:type="dxa"/>
            <w:vAlign w:val="bottom"/>
            <w:tcBorders>
              <w:right w:val="single" w:sz="8" w:color="auto"/>
            </w:tcBorders>
          </w:tcPr>
          <w:p>
            <w:pPr>
              <w:spacing w:after="0"/>
              <w:rPr>
                <w:sz w:val="19"/>
                <w:szCs w:val="19"/>
                <w:color w:val="auto"/>
              </w:rPr>
            </w:pP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right="120" w:hanging="635"/>
        <w:spacing w:after="0" w:line="29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7075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41" w:lineRule="exact"/>
        <w:rPr>
          <w:sz w:val="20"/>
          <w:szCs w:val="20"/>
          <w:color w:val="auto"/>
        </w:rPr>
      </w:pPr>
    </w:p>
    <w:p>
      <w:pPr>
        <w:ind w:left="640" w:hanging="63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41" w:lineRule="exact"/>
        <w:rPr>
          <w:rFonts w:ascii="Arial" w:cs="Arial" w:eastAsia="Arial" w:hAnsi="Arial"/>
          <w:sz w:val="18"/>
          <w:szCs w:val="18"/>
          <w:color w:val="auto"/>
        </w:rPr>
      </w:pPr>
    </w:p>
    <w:p>
      <w:pPr>
        <w:ind w:left="640" w:right="80" w:hanging="635"/>
        <w:spacing w:after="0" w:line="363" w:lineRule="auto"/>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left="640" w:right="520" w:hanging="635"/>
        <w:spacing w:after="0" w:line="325"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6"/>
          <w:szCs w:val="16"/>
          <w:color w:val="auto"/>
        </w:rPr>
      </w:pPr>
    </w:p>
    <w:p>
      <w:pPr>
        <w:ind w:left="640" w:right="140" w:hanging="635"/>
        <w:spacing w:after="0" w:line="253"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120" w:right="240" w:hanging="7"/>
        <w:spacing w:after="0" w:line="300" w:lineRule="auto"/>
        <w:tabs>
          <w:tab w:leader="none" w:pos="1974"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6"/>
          <w:szCs w:val="16"/>
          <w:color w:val="auto"/>
        </w:rPr>
      </w:pPr>
    </w:p>
    <w:p>
      <w:pPr>
        <w:ind w:left="1120" w:right="140" w:hanging="7"/>
        <w:spacing w:after="0" w:line="253" w:lineRule="auto"/>
        <w:tabs>
          <w:tab w:leader="none" w:pos="198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15" w:lineRule="exact"/>
        <w:rPr>
          <w:rFonts w:ascii="Arial" w:cs="Arial" w:eastAsia="Arial" w:hAnsi="Arial"/>
          <w:sz w:val="18"/>
          <w:szCs w:val="18"/>
          <w:color w:val="auto"/>
        </w:rPr>
      </w:pPr>
    </w:p>
    <w:p>
      <w:pPr>
        <w:ind w:left="1120" w:right="240" w:hanging="7"/>
        <w:spacing w:after="0" w:line="363" w:lineRule="auto"/>
        <w:tabs>
          <w:tab w:leader="none" w:pos="1974"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120" w:right="140" w:hanging="7"/>
        <w:spacing w:after="0" w:line="253" w:lineRule="auto"/>
        <w:tabs>
          <w:tab w:leader="none" w:pos="198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200" w:hanging="635"/>
        <w:spacing w:after="0" w:line="325"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60" w:lineRule="exact"/>
        <w:rPr>
          <w:rFonts w:ascii="Arial" w:cs="Arial" w:eastAsia="Arial" w:hAnsi="Arial"/>
          <w:sz w:val="16"/>
          <w:szCs w:val="16"/>
          <w:color w:val="auto"/>
        </w:rPr>
      </w:pPr>
    </w:p>
    <w:p>
      <w:pPr>
        <w:ind w:left="1120" w:right="80" w:hanging="7"/>
        <w:spacing w:after="0" w:line="325" w:lineRule="auto"/>
        <w:tabs>
          <w:tab w:leader="none" w:pos="2008"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120" w:right="420" w:hanging="7"/>
        <w:spacing w:after="0" w:line="262" w:lineRule="auto"/>
        <w:tabs>
          <w:tab w:leader="none" w:pos="201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20" w:lineRule="exact"/>
        <w:rPr>
          <w:sz w:val="20"/>
          <w:szCs w:val="20"/>
          <w:color w:val="auto"/>
        </w:rPr>
      </w:pPr>
    </w:p>
    <w:p>
      <w:pPr>
        <w:ind w:left="4440" w:right="4580" w:hanging="4429"/>
        <w:spacing w:after="0"/>
        <w:rPr>
          <w:sz w:val="20"/>
          <w:szCs w:val="20"/>
          <w:color w:val="auto"/>
        </w:rPr>
      </w:pPr>
      <w:r>
        <w:rPr>
          <w:rFonts w:ascii="Arial" w:cs="Arial" w:eastAsia="Arial" w:hAnsi="Arial"/>
          <w:sz w:val="18"/>
          <w:szCs w:val="18"/>
          <w:color w:val="auto"/>
        </w:rPr>
        <w:t xml:space="preserve">Date: April 12, 2013 </w:t>
      </w:r>
      <w:r>
        <w:rPr>
          <w:sz w:val="1"/>
          <w:szCs w:val="1"/>
          <w:color w:val="auto"/>
        </w:rPr>
        <w:drawing>
          <wp:inline distT="0" distB="0" distL="0" distR="0">
            <wp:extent cx="1256030" cy="32639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56030" cy="326390"/>
                    </a:xfrm>
                    <a:prstGeom prst="rect">
                      <a:avLst/>
                    </a:prstGeom>
                    <a:noFill/>
                    <a:ln>
                      <a:noFill/>
                    </a:ln>
                  </pic:spPr>
                </pic:pic>
              </a:graphicData>
            </a:graphic>
          </wp:inline>
        </w:drawing>
      </w:r>
      <w:r>
        <w:rPr>
          <w:rFonts w:ascii="Arial" w:cs="Arial" w:eastAsia="Arial" w:hAnsi="Arial"/>
          <w:sz w:val="18"/>
          <w:szCs w:val="18"/>
          <w:color w:val="auto"/>
        </w:rPr>
        <w:t xml:space="preserve"> G. Patrick Lynch</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President and Chief Executive Officer</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41" w:lineRule="exact"/>
        <w:rPr>
          <w:sz w:val="20"/>
          <w:szCs w:val="20"/>
          <w:color w:val="auto"/>
        </w:rPr>
      </w:pPr>
    </w:p>
    <w:p>
      <w:pPr>
        <w:ind w:left="640" w:hanging="63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41" w:lineRule="exact"/>
        <w:rPr>
          <w:rFonts w:ascii="Arial" w:cs="Arial" w:eastAsia="Arial" w:hAnsi="Arial"/>
          <w:sz w:val="18"/>
          <w:szCs w:val="18"/>
          <w:color w:val="auto"/>
        </w:rPr>
      </w:pPr>
    </w:p>
    <w:p>
      <w:pPr>
        <w:ind w:left="640" w:right="80" w:hanging="635"/>
        <w:spacing w:after="0" w:line="363"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left="640" w:right="520" w:hanging="635"/>
        <w:spacing w:after="0" w:line="325"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6"/>
          <w:szCs w:val="16"/>
          <w:color w:val="auto"/>
        </w:rPr>
      </w:pPr>
    </w:p>
    <w:p>
      <w:pPr>
        <w:ind w:left="640" w:right="140" w:hanging="635"/>
        <w:spacing w:after="0" w:line="253"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120" w:right="240" w:hanging="7"/>
        <w:spacing w:after="0" w:line="300" w:lineRule="auto"/>
        <w:tabs>
          <w:tab w:leader="none" w:pos="1974"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6"/>
          <w:szCs w:val="16"/>
          <w:color w:val="auto"/>
        </w:rPr>
      </w:pPr>
    </w:p>
    <w:p>
      <w:pPr>
        <w:ind w:left="1120" w:right="140" w:hanging="7"/>
        <w:spacing w:after="0" w:line="253" w:lineRule="auto"/>
        <w:tabs>
          <w:tab w:leader="none" w:pos="19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15" w:lineRule="exact"/>
        <w:rPr>
          <w:rFonts w:ascii="Arial" w:cs="Arial" w:eastAsia="Arial" w:hAnsi="Arial"/>
          <w:sz w:val="18"/>
          <w:szCs w:val="18"/>
          <w:color w:val="auto"/>
        </w:rPr>
      </w:pPr>
    </w:p>
    <w:p>
      <w:pPr>
        <w:ind w:left="1120" w:right="240" w:hanging="7"/>
        <w:spacing w:after="0" w:line="363" w:lineRule="auto"/>
        <w:tabs>
          <w:tab w:leader="none" w:pos="1974"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120" w:right="140" w:hanging="7"/>
        <w:spacing w:after="0" w:line="253" w:lineRule="auto"/>
        <w:tabs>
          <w:tab w:leader="none" w:pos="19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200" w:hanging="635"/>
        <w:spacing w:after="0" w:line="325"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60" w:lineRule="exact"/>
        <w:rPr>
          <w:rFonts w:ascii="Arial" w:cs="Arial" w:eastAsia="Arial" w:hAnsi="Arial"/>
          <w:sz w:val="16"/>
          <w:szCs w:val="16"/>
          <w:color w:val="auto"/>
        </w:rPr>
      </w:pPr>
    </w:p>
    <w:p>
      <w:pPr>
        <w:ind w:left="1120" w:right="80" w:hanging="7"/>
        <w:spacing w:after="0" w:line="325" w:lineRule="auto"/>
        <w:tabs>
          <w:tab w:leader="none" w:pos="2008"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120" w:right="420" w:hanging="7"/>
        <w:spacing w:after="0" w:line="262" w:lineRule="auto"/>
        <w:tabs>
          <w:tab w:leader="none" w:pos="201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122555</wp:posOffset>
            </wp:positionV>
            <wp:extent cx="828675" cy="485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8675" cy="4857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Date: April 12,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Matthew C. Wolsfeld, CPA</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Corporate Secretary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2">
            <w:col w:w="3560" w:space="720"/>
            <w:col w:w="7140"/>
          </w:cols>
          <w:pgMar w:left="240" w:top="121" w:right="2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79"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1" w:lineRule="exact"/>
        <w:rPr>
          <w:sz w:val="20"/>
          <w:szCs w:val="20"/>
          <w:color w:val="auto"/>
        </w:rPr>
      </w:pPr>
    </w:p>
    <w:p>
      <w:pPr>
        <w:jc w:val="both"/>
        <w:ind w:right="160"/>
        <w:spacing w:after="0" w:line="250"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2013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9" w:lineRule="exact"/>
        <w:rPr>
          <w:sz w:val="20"/>
          <w:szCs w:val="20"/>
          <w:color w:val="auto"/>
        </w:rPr>
      </w:pPr>
    </w:p>
    <w:p>
      <w:pPr>
        <w:ind w:left="1580" w:hanging="942"/>
        <w:spacing w:after="0"/>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1" w:lineRule="exact"/>
        <w:rPr>
          <w:rFonts w:ascii="Arial" w:cs="Arial" w:eastAsia="Arial" w:hAnsi="Arial"/>
          <w:sz w:val="18"/>
          <w:szCs w:val="18"/>
          <w:color w:val="auto"/>
        </w:rPr>
      </w:pPr>
    </w:p>
    <w:p>
      <w:pPr>
        <w:ind w:left="1580" w:right="400" w:hanging="942"/>
        <w:spacing w:after="0" w:line="262" w:lineRule="auto"/>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1256030" cy="326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56030" cy="32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April 12, 2013</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79"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2013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19" w:lineRule="exact"/>
        <w:rPr>
          <w:sz w:val="20"/>
          <w:szCs w:val="20"/>
          <w:color w:val="auto"/>
        </w:rPr>
      </w:pPr>
    </w:p>
    <w:p>
      <w:pPr>
        <w:ind w:left="1580" w:hanging="942"/>
        <w:spacing w:after="0"/>
        <w:tabs>
          <w:tab w:leader="none" w:pos="1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1" w:lineRule="exact"/>
        <w:rPr>
          <w:rFonts w:ascii="Arial" w:cs="Arial" w:eastAsia="Arial" w:hAnsi="Arial"/>
          <w:sz w:val="18"/>
          <w:szCs w:val="18"/>
          <w:color w:val="auto"/>
        </w:rPr>
      </w:pPr>
    </w:p>
    <w:p>
      <w:pPr>
        <w:ind w:left="1580" w:right="400" w:hanging="942"/>
        <w:spacing w:after="0" w:line="262" w:lineRule="auto"/>
        <w:tabs>
          <w:tab w:leader="none" w:pos="1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828675" cy="485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8675" cy="48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April 12,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Roman"/>
      <w:start w:val="10"/>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1."/>
      <w:numFmt w:val="decimal"/>
      <w:start w:val="8"/>
    </w:lvl>
  </w:abstractNum>
  <w:abstractNum w:abstractNumId="8">
    <w:nsid w:val="431BD7B7"/>
    <w:multiLevelType w:val="hybridMultilevel"/>
    <w:lvl w:ilvl="0">
      <w:lvlJc w:val="left"/>
      <w:lvlText w:val="%1."/>
      <w:numFmt w:val="decimal"/>
      <w:start w:val="9"/>
    </w:lvl>
  </w:abstractNum>
  <w:abstractNum w:abstractNumId="9">
    <w:nsid w:val="3F2DBA31"/>
    <w:multiLevelType w:val="hybridMultilevel"/>
    <w:lvl w:ilvl="0">
      <w:lvlJc w:val="left"/>
      <w:lvlText w:val="%1."/>
      <w:numFmt w:val="decimal"/>
      <w:start w:val="10"/>
    </w:lvl>
  </w:abstractNum>
  <w:abstractNum w:abstractNumId="10">
    <w:nsid w:val="7C83E458"/>
    <w:multiLevelType w:val="hybridMultilevel"/>
    <w:lvl w:ilvl="0">
      <w:lvlJc w:val="left"/>
      <w:lvlText w:val="%1."/>
      <w:numFmt w:val="decimal"/>
      <w:start w:val="1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1."/>
      <w:numFmt w:val="decimal"/>
      <w:start w:val="13"/>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0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2019-12-06T05:28:13Z</dcterms:created>
  <dcterms:modified xsi:type="dcterms:W3CDTF">2019-12-06T05:28:13Z</dcterms:modified>
</cp:coreProperties>
</file>