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NORTHERN TECHNOLOGIES INTERNATIONAL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001-11038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NTIC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80" w:firstLine="315"/>
        <w:spacing w:after="0" w:line="266" w:lineRule="auto"/>
        <w:rPr>
          <w:sz w:val="20"/>
          <w:szCs w:val="20"/>
          <w:color w:val="auto"/>
        </w:rPr>
      </w:pPr>
      <w:r>
        <w:rPr>
          <w:rFonts w:ascii="Times New Roman" w:cs="Times New Roman" w:eastAsia="Times New Roman" w:hAnsi="Times New Roman"/>
          <w:sz w:val="18"/>
          <w:szCs w:val="18"/>
          <w:color w:val="auto"/>
        </w:rPr>
        <w:t>On April 9, 2026, Northern Technologies International Corporation (“NTIC”) announced its consolidated financial results for the second fiscal quarter ended February 28, 2026. A copy of the press release is attached as Exhibit 99.1 to this current report on Form 8-K and the information set forth therein is incorporated herein by reference and constitutes a part of this report.</w:t>
      </w:r>
    </w:p>
    <w:p>
      <w:pPr>
        <w:spacing w:after="0" w:line="176" w:lineRule="exact"/>
        <w:rPr>
          <w:sz w:val="20"/>
          <w:szCs w:val="20"/>
          <w:color w:val="auto"/>
        </w:rPr>
      </w:pPr>
    </w:p>
    <w:p>
      <w:pPr>
        <w:ind w:right="80" w:firstLine="312"/>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of this report and Exhibit 99.1 to this report shall not be deemed to be “filed” for purposes of Section 18 of the Securities Exchange Act of 1934, as amended (the “Exchange Act”), and shall not be incorporated by reference into any filings made by NTIC under the Securities Act of 1933, as amended, or the Exchange Act, except as may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180" w:type="dxa"/>
            <w:vAlign w:val="bottom"/>
            <w:gridSpan w:val="2"/>
          </w:tcPr>
          <w:p>
            <w:pPr>
              <w:spacing w:after="0"/>
              <w:rPr>
                <w:sz w:val="17"/>
                <w:szCs w:val="17"/>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April 9, 2026 (furnished herewith)</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43"/>
        </w:trPr>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6060" w:type="dxa"/>
            <w:vAlign w:val="bottom"/>
          </w:tcPr>
          <w:p>
            <w:pPr>
              <w:spacing w:after="0"/>
              <w:rPr>
                <w:sz w:val="21"/>
                <w:szCs w:val="21"/>
                <w:color w:val="auto"/>
              </w:rPr>
            </w:pPr>
          </w:p>
        </w:tc>
      </w:tr>
      <w:tr>
        <w:trPr>
          <w:trHeight w:val="68"/>
        </w:trPr>
        <w:tc>
          <w:tcPr>
            <w:tcW w:w="3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60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4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8"/>
              </w:rPr>
              <w:t>NORTHERN TECHNOLOGIES INTERNATIONAL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754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Matthew C. Wolsfeld</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C. Wolsfeld</w:t>
            </w:r>
          </w:p>
        </w:tc>
        <w:tc>
          <w:tcPr>
            <w:tcW w:w="310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bl>
    <w:p>
      <w:pPr>
        <w:sectPr>
          <w:pgSz w:w="11900" w:h="16838" w:orient="portrait"/>
          <w:cols w:equalWidth="0" w:num="1">
            <w:col w:w="11200"/>
          </w:cols>
          <w:pgMar w:left="320" w:top="603" w:right="379" w:bottom="1440" w:gutter="0" w:footer="0" w:header="0"/>
        </w:sectPr>
      </w:pPr>
    </w:p>
    <w:bookmarkStart w:id="3" w:name="page4"/>
    <w:bookmarkEnd w:id="3"/>
    <w:p>
      <w:pPr>
        <w:spacing w:after="0" w:line="200"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Northern Technologies International Corporation Reports Financial Results for Second Quarter Fiscal 2026</w:t>
      </w:r>
    </w:p>
    <w:p>
      <w:pPr>
        <w:spacing w:after="0" w:line="124"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MINNEAPOLIS, April 09, 2026 (GLOBE NEWSWIRE) -- Northern Technologies International Corporation (NASDAQ: NTIC), a leading developer of corrosion inhibiting products and services, as well as bio-based and biodegradable polymer resin compounds, today reported its financial results for the second quarter of fiscal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Second quarter fiscal 2026 financial and operating highlights include (with growth rates on a fiscal quarter year-over-year basis):</w:t>
      </w:r>
    </w:p>
    <w:p>
      <w:pPr>
        <w:spacing w:after="0" w:line="218" w:lineRule="exact"/>
        <w:rPr>
          <w:sz w:val="20"/>
          <w:szCs w:val="20"/>
          <w:color w:val="auto"/>
        </w:rPr>
      </w:pPr>
    </w:p>
    <w:p>
      <w:pPr>
        <w:ind w:left="540" w:right="3620"/>
        <w:spacing w:after="0" w:line="241" w:lineRule="auto"/>
        <w:rPr>
          <w:sz w:val="20"/>
          <w:szCs w:val="20"/>
          <w:color w:val="auto"/>
        </w:rPr>
      </w:pPr>
      <w:r>
        <w:rPr>
          <w:rFonts w:ascii="Times New Roman" w:cs="Times New Roman" w:eastAsia="Times New Roman" w:hAnsi="Times New Roman"/>
          <w:sz w:val="22"/>
          <w:szCs w:val="22"/>
          <w:color w:val="auto"/>
        </w:rPr>
        <w:t>Consolidated net sales increased 15.3% to a record second quarter of $21,997,000 ZERUST® industrial net sales increased 11.2% to $13,967,000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Times New Roman" w:cs="Times New Roman" w:eastAsia="Times New Roman" w:hAnsi="Times New Roman"/>
          <w:sz w:val="22"/>
          <w:szCs w:val="22"/>
          <w:color w:val="auto"/>
        </w:rPr>
        <w:t>ZERUST® oil and gas net sales increased 72.1% to a second quarter record of $2,666,000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Natur-Tec® product net sales increased 8.1% to $5,363,000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color w:val="auto"/>
        </w:rPr>
        <w:t>NTIC China net sales increased 18.5% to $4,425,000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100"/>
        <w:spacing w:after="0" w:line="230" w:lineRule="auto"/>
        <w:rPr>
          <w:sz w:val="20"/>
          <w:szCs w:val="20"/>
          <w:color w:val="auto"/>
        </w:rPr>
      </w:pPr>
      <w:r>
        <w:rPr>
          <w:rFonts w:ascii="Times New Roman" w:cs="Times New Roman" w:eastAsia="Times New Roman" w:hAnsi="Times New Roman"/>
          <w:sz w:val="22"/>
          <w:szCs w:val="22"/>
          <w:color w:val="auto"/>
        </w:rPr>
        <w:t>Gross profit, as a percentage of net sales, increased 10 basis points to 35.7% Joint venture operating income increased 19.8% to $2,027,000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120"/>
        <w:spacing w:after="0" w:line="230" w:lineRule="auto"/>
        <w:rPr>
          <w:sz w:val="20"/>
          <w:szCs w:val="20"/>
          <w:color w:val="auto"/>
        </w:rPr>
      </w:pPr>
      <w:r>
        <w:rPr>
          <w:rFonts w:ascii="Times New Roman" w:cs="Times New Roman" w:eastAsia="Times New Roman" w:hAnsi="Times New Roman"/>
          <w:sz w:val="22"/>
          <w:szCs w:val="22"/>
          <w:color w:val="auto"/>
        </w:rPr>
        <w:t>Operating income improved to $383,000, compared to an operating loss of $(333,000) in the prior-year quarter Net loss attributable to NTIC was $35,000, compared to net income attributable to NTIC $434,000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30" w:lineRule="auto"/>
        <w:rPr>
          <w:sz w:val="20"/>
          <w:szCs w:val="20"/>
          <w:color w:val="auto"/>
        </w:rPr>
      </w:pPr>
      <w:r>
        <w:rPr>
          <w:rFonts w:ascii="Times New Roman" w:cs="Times New Roman" w:eastAsia="Times New Roman" w:hAnsi="Times New Roman"/>
          <w:sz w:val="22"/>
          <w:szCs w:val="22"/>
          <w:color w:val="auto"/>
        </w:rPr>
        <w:t>Net loss per diluted share attributable to NTIC was $(0.00), compared to net income per diluted share attributable to NTIC of $0.04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20"/>
        <w:spacing w:after="0" w:line="232" w:lineRule="auto"/>
        <w:rPr>
          <w:sz w:val="20"/>
          <w:szCs w:val="20"/>
          <w:color w:val="auto"/>
        </w:rPr>
      </w:pPr>
      <w:r>
        <w:rPr>
          <w:rFonts w:ascii="Times New Roman" w:cs="Times New Roman" w:eastAsia="Times New Roman" w:hAnsi="Times New Roman"/>
          <w:sz w:val="22"/>
          <w:szCs w:val="22"/>
          <w:color w:val="auto"/>
        </w:rPr>
        <w:t>For second quarter of fiscal 2025, NTIC recognized $1,140,000 in other income due to the receipt of an Employee Retention Credit (ERC)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-260350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80"/>
        <w:spacing w:after="0" w:line="201" w:lineRule="auto"/>
        <w:rPr>
          <w:sz w:val="20"/>
          <w:szCs w:val="20"/>
          <w:color w:val="auto"/>
        </w:rPr>
      </w:pPr>
      <w:r>
        <w:rPr>
          <w:rFonts w:ascii="Times New Roman" w:cs="Times New Roman" w:eastAsia="Times New Roman" w:hAnsi="Times New Roman"/>
          <w:sz w:val="22"/>
          <w:szCs w:val="22"/>
          <w:color w:val="auto"/>
        </w:rPr>
        <w:t>Non-GAAP adjusted net income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was $70,000, or $0.01 per diluted share, compared to a Non-GAAP adjusted net loss of $300,000, or $(0.03) per share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1"/>
          <w:szCs w:val="21"/>
          <w:color w:val="auto"/>
        </w:rPr>
        <w:t>“Our results were in line with our long-term growth strategy. Second quarter performance was driven by solid top-line growth across our businesses, including record second quarter ZERUST® oil and gas net sales, with year-over-year growth across all geographies, in accordance with the investments we have made in our global sales infrastructure and the increasing adoption of our VCI solutions within the global oil and gas industry. We have also seen consistent strength at NTIC China, despite the seasonal impact of the Lunar New Year and achieved another solid quarter of Natur-Tec® growth. Overall, second quarter and year-to-date results reflect the resilience of our business model and the increasing value customers place on our corrosion prevention and compostable plastics solutions,” said G. Patrick Lynch, President and CEO of NTIC.</w:t>
      </w:r>
    </w:p>
    <w:p>
      <w:pPr>
        <w:spacing w:after="0" w:line="17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“While the macro environment, including geopolitical tensions in the Middle East, ongoing supply chain pressures, and continued challenges in the European economy, has become more uncertain, we remain confident in the direction of our business and the strategies we are executing to drive long-term value. The diversity of our end markets, geographic footprint, and product portfolio positions us well to navigate near-term volatility. As we move through the second half of fiscal 2026, we expect continued sales growth and improved profitability, supported by stable trends in North America and ongoing strength in NTIC China, ZERUST® oil and gas, and Natur-Tec®,” concluded Mr. Lynch.</w:t>
      </w:r>
    </w:p>
    <w:p>
      <w:pPr>
        <w:spacing w:after="0" w:line="18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NTIC’s consolidated net sales increased 15.3% to $21,997,000 during the three months ended February 28, 2026, compared to $19,072,000 for the three months ended February 28, 2025. The year-over-year increase in second quarter sales was primarily driven by increased sales and demand for ZERUST® and Natur-Tec® products. For the first half of fiscal 2026, consolidated net sales increased 12.1% to $45,306,000, compared to $40,410,000 for the same period last year.</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following tables set forth NTIC’s net sales by product category for the three and six months ended February 28, 2026, and 2025, by segment:</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7"/>
          </w:tcPr>
          <w:p>
            <w:pPr>
              <w:ind w:left="780"/>
              <w:spacing w:after="0"/>
              <w:rPr>
                <w:sz w:val="20"/>
                <w:szCs w:val="20"/>
                <w:color w:val="auto"/>
              </w:rPr>
            </w:pPr>
            <w:r>
              <w:rPr>
                <w:rFonts w:ascii="Times New Roman" w:cs="Times New Roman" w:eastAsia="Times New Roman" w:hAnsi="Times New Roman"/>
                <w:sz w:val="22"/>
                <w:szCs w:val="22"/>
                <w:b w:val="1"/>
                <w:bCs w:val="1"/>
                <w:color w:val="auto"/>
              </w:rPr>
              <w:t>Three Months Ended February 28,</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180"/>
              <w:spacing w:after="0" w:line="220" w:lineRule="exact"/>
              <w:rPr>
                <w:sz w:val="20"/>
                <w:szCs w:val="20"/>
                <w:color w:val="auto"/>
              </w:rPr>
            </w:pPr>
            <w:r>
              <w:rPr>
                <w:rFonts w:ascii="Times New Roman" w:cs="Times New Roman" w:eastAsia="Times New Roman" w:hAnsi="Times New Roman"/>
                <w:sz w:val="22"/>
                <w:szCs w:val="22"/>
                <w:b w:val="1"/>
                <w:bCs w:val="1"/>
                <w:color w:val="auto"/>
                <w:w w:val="97"/>
              </w:rPr>
              <w:t>% of Net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2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 of Net</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industrial net sales</w:t>
            </w:r>
          </w:p>
        </w:tc>
        <w:tc>
          <w:tcPr>
            <w:tcW w:w="240" w:type="dxa"/>
            <w:vAlign w:val="bottom"/>
          </w:tcPr>
          <w:p>
            <w:pPr>
              <w:spacing w:after="0"/>
              <w:rPr>
                <w:sz w:val="24"/>
                <w:szCs w:val="24"/>
                <w:color w:val="auto"/>
              </w:rPr>
            </w:pPr>
          </w:p>
        </w:tc>
        <w:tc>
          <w:tcPr>
            <w:tcW w:w="1220" w:type="dxa"/>
            <w:vAlign w:val="bottom"/>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Sales</w:t>
            </w:r>
          </w:p>
        </w:tc>
        <w:tc>
          <w:tcPr>
            <w:tcW w:w="26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Sales</w:t>
            </w: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91"/>
        </w:trPr>
        <w:tc>
          <w:tcPr>
            <w:tcW w:w="3340" w:type="dxa"/>
            <w:vAlign w:val="bottom"/>
            <w:vMerge w:val="continue"/>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13,967,414</w:t>
            </w:r>
          </w:p>
        </w:tc>
        <w:tc>
          <w:tcPr>
            <w:tcW w:w="10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63.5%</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12,562,853</w:t>
            </w:r>
          </w:p>
        </w:tc>
        <w:tc>
          <w:tcPr>
            <w:tcW w:w="12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65.9%</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0" w:type="dxa"/>
            <w:vAlign w:val="bottom"/>
          </w:tcPr>
          <w:p>
            <w:pPr>
              <w:spacing w:after="0"/>
              <w:rPr>
                <w:sz w:val="1"/>
                <w:szCs w:val="1"/>
                <w:color w:val="auto"/>
              </w:rPr>
            </w:pPr>
          </w:p>
        </w:tc>
      </w:tr>
      <w:tr>
        <w:trPr>
          <w:trHeight w:val="338"/>
        </w:trPr>
        <w:tc>
          <w:tcPr>
            <w:tcW w:w="3340" w:type="dxa"/>
            <w:vAlign w:val="bottom"/>
          </w:tcPr>
          <w:p>
            <w:pPr>
              <w:spacing w:after="0" w:line="338" w:lineRule="exact"/>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oil &amp; gas net sales</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2,666,042</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1,549,164</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72.1%</w:t>
            </w:r>
          </w:p>
        </w:tc>
        <w:tc>
          <w:tcPr>
            <w:tcW w:w="0" w:type="dxa"/>
            <w:vAlign w:val="bottom"/>
          </w:tcPr>
          <w:p>
            <w:pPr>
              <w:spacing w:after="0"/>
              <w:rPr>
                <w:sz w:val="1"/>
                <w:szCs w:val="1"/>
                <w:color w:val="auto"/>
              </w:rPr>
            </w:pPr>
          </w:p>
        </w:tc>
      </w:tr>
      <w:tr>
        <w:trPr>
          <w:trHeight w:val="290"/>
        </w:trPr>
        <w:tc>
          <w:tcPr>
            <w:tcW w:w="3340" w:type="dxa"/>
            <w:vAlign w:val="bottom"/>
          </w:tcPr>
          <w:p>
            <w:pPr>
              <w:ind w:left="260"/>
              <w:spacing w:after="0" w:line="290" w:lineRule="exact"/>
              <w:rPr>
                <w:sz w:val="20"/>
                <w:szCs w:val="20"/>
                <w:color w:val="auto"/>
              </w:rPr>
            </w:pPr>
            <w:r>
              <w:rPr>
                <w:rFonts w:ascii="Times New Roman" w:cs="Times New Roman" w:eastAsia="Times New Roman" w:hAnsi="Times New Roman"/>
                <w:sz w:val="21"/>
                <w:szCs w:val="21"/>
                <w:color w:val="auto"/>
              </w:rPr>
              <w:t>Total ZERUST</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21"/>
                <w:szCs w:val="21"/>
                <w:color w:val="auto"/>
              </w:rPr>
              <w:t>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16,633,456</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75.6%</w:t>
            </w:r>
          </w:p>
        </w:tc>
        <w:tc>
          <w:tcPr>
            <w:tcW w:w="10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14,112,017</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w:t>
            </w:r>
          </w:p>
        </w:tc>
        <w:tc>
          <w:tcPr>
            <w:tcW w:w="0" w:type="dxa"/>
            <w:vAlign w:val="bottom"/>
          </w:tcPr>
          <w:p>
            <w:pPr>
              <w:spacing w:after="0"/>
              <w:rPr>
                <w:sz w:val="1"/>
                <w:szCs w:val="1"/>
                <w:color w:val="auto"/>
              </w:rPr>
            </w:pPr>
          </w:p>
        </w:tc>
      </w:tr>
      <w:tr>
        <w:trPr>
          <w:trHeight w:val="338"/>
        </w:trPr>
        <w:tc>
          <w:tcPr>
            <w:tcW w:w="3340" w:type="dxa"/>
            <w:vAlign w:val="bottom"/>
          </w:tcPr>
          <w:p>
            <w:pPr>
              <w:spacing w:after="0" w:line="338" w:lineRule="exact"/>
              <w:rPr>
                <w:sz w:val="20"/>
                <w:szCs w:val="20"/>
                <w:color w:val="auto"/>
              </w:rPr>
            </w:pPr>
            <w:r>
              <w:rPr>
                <w:rFonts w:ascii="Times New Roman" w:cs="Times New Roman" w:eastAsia="Times New Roman" w:hAnsi="Times New Roman"/>
                <w:sz w:val="22"/>
                <w:szCs w:val="22"/>
                <w:color w:val="auto"/>
              </w:rPr>
              <w:t>Total Natur-Tec</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net sales</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5,363,329</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24.4%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4,960,049</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6"/>
        </w:trPr>
        <w:tc>
          <w:tcPr>
            <w:tcW w:w="3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21,996,785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19,072,066</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3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22"/>
                <w:szCs w:val="22"/>
                <w:b w:val="1"/>
                <w:bCs w:val="1"/>
                <w:color w:val="auto"/>
              </w:rPr>
              <w:t>Six Months Ended February 28,</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180"/>
              <w:spacing w:after="0" w:line="220" w:lineRule="exact"/>
              <w:rPr>
                <w:sz w:val="20"/>
                <w:szCs w:val="20"/>
                <w:color w:val="auto"/>
              </w:rPr>
            </w:pPr>
            <w:r>
              <w:rPr>
                <w:rFonts w:ascii="Times New Roman" w:cs="Times New Roman" w:eastAsia="Times New Roman" w:hAnsi="Times New Roman"/>
                <w:sz w:val="22"/>
                <w:szCs w:val="22"/>
                <w:b w:val="1"/>
                <w:bCs w:val="1"/>
                <w:color w:val="auto"/>
                <w:w w:val="97"/>
              </w:rPr>
              <w:t>% of Net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220"/>
              <w:spacing w:after="0" w:line="220" w:lineRule="exact"/>
              <w:rPr>
                <w:sz w:val="20"/>
                <w:szCs w:val="20"/>
                <w:color w:val="auto"/>
              </w:rPr>
            </w:pPr>
            <w:r>
              <w:rPr>
                <w:rFonts w:ascii="Times New Roman" w:cs="Times New Roman" w:eastAsia="Times New Roman" w:hAnsi="Times New Roman"/>
                <w:sz w:val="22"/>
                <w:szCs w:val="22"/>
                <w:b w:val="1"/>
                <w:bCs w:val="1"/>
                <w:color w:val="auto"/>
                <w:w w:val="99"/>
              </w:rPr>
              <w:t>% of Net</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industrial net sales</w:t>
            </w: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Sales</w:t>
            </w:r>
          </w:p>
        </w:tc>
        <w:tc>
          <w:tcPr>
            <w:tcW w:w="26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2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Sales</w:t>
            </w:r>
          </w:p>
        </w:tc>
        <w:tc>
          <w:tcPr>
            <w:tcW w:w="1520" w:type="dxa"/>
            <w:vAlign w:val="bottom"/>
          </w:tcPr>
          <w:p>
            <w:pPr>
              <w:jc w:val="right"/>
              <w:ind w:right="212"/>
              <w:spacing w:after="0"/>
              <w:rPr>
                <w:sz w:val="20"/>
                <w:szCs w:val="20"/>
                <w:color w:val="auto"/>
              </w:rPr>
            </w:pPr>
            <w:r>
              <w:rPr>
                <w:rFonts w:ascii="Times New Roman" w:cs="Times New Roman" w:eastAsia="Times New Roman" w:hAnsi="Times New Roman"/>
                <w:sz w:val="22"/>
                <w:szCs w:val="22"/>
                <w:b w:val="1"/>
                <w:bCs w:val="1"/>
                <w:color w:val="auto"/>
              </w:rPr>
              <w:t>% Change</w:t>
            </w:r>
          </w:p>
        </w:tc>
        <w:tc>
          <w:tcPr>
            <w:tcW w:w="0" w:type="dxa"/>
            <w:vAlign w:val="bottom"/>
          </w:tcPr>
          <w:p>
            <w:pPr>
              <w:spacing w:after="0"/>
              <w:rPr>
                <w:sz w:val="1"/>
                <w:szCs w:val="1"/>
                <w:color w:val="auto"/>
              </w:rPr>
            </w:pPr>
          </w:p>
        </w:tc>
      </w:tr>
      <w:tr>
        <w:trPr>
          <w:trHeight w:val="292"/>
        </w:trPr>
        <w:tc>
          <w:tcPr>
            <w:tcW w:w="3340" w:type="dxa"/>
            <w:vAlign w:val="bottom"/>
            <w:vMerge w:val="continue"/>
          </w:tcPr>
          <w:p>
            <w:pPr>
              <w:spacing w:after="0"/>
              <w:rPr>
                <w:sz w:val="24"/>
                <w:szCs w:val="24"/>
                <w:color w:val="auto"/>
              </w:rPr>
            </w:pP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  28,889,932</w:t>
            </w:r>
          </w:p>
        </w:tc>
        <w:tc>
          <w:tcPr>
            <w:tcW w:w="10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63.7%</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26,525,105</w:t>
            </w:r>
          </w:p>
        </w:tc>
        <w:tc>
          <w:tcPr>
            <w:tcW w:w="120" w:type="dxa"/>
            <w:vAlign w:val="bottom"/>
          </w:tcPr>
          <w:p>
            <w:pPr>
              <w:spacing w:after="0"/>
              <w:rPr>
                <w:sz w:val="24"/>
                <w:szCs w:val="2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65.6%</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0" w:type="dxa"/>
            <w:vAlign w:val="bottom"/>
          </w:tcPr>
          <w:p>
            <w:pPr>
              <w:spacing w:after="0"/>
              <w:rPr>
                <w:sz w:val="1"/>
                <w:szCs w:val="1"/>
                <w:color w:val="auto"/>
              </w:rPr>
            </w:pPr>
          </w:p>
        </w:tc>
      </w:tr>
      <w:tr>
        <w:trPr>
          <w:trHeight w:val="47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oil &amp; gas net sales</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5,059,720</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3,062,715</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65.2%</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7038" w:orient="portrait"/>
          <w:cols w:equalWidth="0" w:num="1">
            <w:col w:w="11240"/>
          </w:cols>
          <w:pgMar w:left="320" w:top="108" w:right="339" w:bottom="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402"/>
        </w:trPr>
        <w:tc>
          <w:tcPr>
            <w:tcW w:w="3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33,949,652</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w:t>
            </w:r>
          </w:p>
        </w:tc>
        <w:tc>
          <w:tcPr>
            <w:tcW w:w="10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29,587,820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14.7%</w:t>
            </w:r>
          </w:p>
        </w:tc>
      </w:tr>
      <w:tr>
        <w:trPr>
          <w:trHeight w:val="338"/>
        </w:trPr>
        <w:tc>
          <w:tcPr>
            <w:tcW w:w="3340" w:type="dxa"/>
            <w:vAlign w:val="bottom"/>
          </w:tcPr>
          <w:p>
            <w:pPr>
              <w:spacing w:after="0" w:line="338" w:lineRule="exact"/>
              <w:rPr>
                <w:sz w:val="20"/>
                <w:szCs w:val="20"/>
                <w:color w:val="auto"/>
              </w:rPr>
            </w:pPr>
            <w:r>
              <w:rPr>
                <w:rFonts w:ascii="Times New Roman" w:cs="Times New Roman" w:eastAsia="Times New Roman" w:hAnsi="Times New Roman"/>
                <w:sz w:val="22"/>
                <w:szCs w:val="22"/>
                <w:color w:val="auto"/>
              </w:rPr>
              <w:t>Total Natur-Tec</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net sales</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11,356,014</w:t>
            </w:r>
          </w:p>
        </w:tc>
        <w:tc>
          <w:tcPr>
            <w:tcW w:w="10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10,822,639</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26.8%</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6"/>
        </w:trPr>
        <w:tc>
          <w:tcPr>
            <w:tcW w:w="33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Total net sales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45,305,666</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40,410,459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r>
    </w:tbl>
    <w:p>
      <w:pPr>
        <w:spacing w:after="0" w:line="2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2"/>
          <w:szCs w:val="22"/>
          <w:color w:val="auto"/>
        </w:rPr>
        <w:t>Net sales at NTIC’s joint ventures, which are not consolidated with NTIC’s financial results, increased 18.6% to $23,484,000 during the three months ended February 28, 2026, compared to $19,800,000 for the three months ended February 28, 2025. NTIC’s total income from joint venture operations increased 19.8% to $2,027,000 during the three months ended February 28, 2026, compared to $1,691,000 during the three months ended February 28, 2025. The $336,000 increase in total income from joint venture operations was primarily due to an increase in sales at NTIC’s joint ventures. Year-to-date, NTIC’s joint venture operating income was $4,318,000, compared to joint venture operating income of $4,105,000 during the six months ended February 28, 2025. Net sales of NTIC’s joint ventures were $48,015,000 for the six months ended February 28, 2026, compared to $43,637,000 for the six months ended February 28, 2025.</w:t>
      </w:r>
    </w:p>
    <w:p>
      <w:pPr>
        <w:spacing w:after="0" w:line="17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1"/>
          <w:szCs w:val="21"/>
          <w:color w:val="auto"/>
        </w:rPr>
        <w:t>Operating expenses, as a percentage of net sales, for the second quarter of fiscal 2026 were 43.2%, compared to 46.2% for the same period last fiscal year. Year-to-date, operating expenses, as a percent of net sales, were 42.5%, compared to 45.3% for the same period last fiscal year. Operating expenses for the three and six months ended February 28, 2026 increased 7.7% and 5.2%, respectively. These increases were primarily due to strategic investments in ZERUST® oil and gas marketing and sales efforts.</w:t>
      </w:r>
    </w:p>
    <w:p>
      <w:pPr>
        <w:spacing w:after="0" w:line="16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NTIC recognized $1,140,000 in other income during the three and six months ended February 28, 2025, due to the receipt of a cash ERC payment. No other income was recognized during the three and six months ended February 28, 2026.</w:t>
      </w:r>
    </w:p>
    <w:p>
      <w:pPr>
        <w:spacing w:after="0" w:line="15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Net loss attributable to NTIC for the second quarter of fiscal 2026 was $35,000, or $(0.00) per diluted share, compared to net income attributable to NTIC of $434,000, or $0.04 per diluted share, for the same period last fiscal year. Year-to-date, net income attributable to NTIC was $202,000, or $0.02 per diluted share, compared to net income attributable to NTIC of $995,000, or $0.10 per diluted share, for the same period last fiscal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NTIC’s non-GAAP adjusted net income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as set forth in the GAAP reconciliation at the end of this release, was $70,000, or</w:t>
      </w:r>
    </w:p>
    <w:p>
      <w:pPr>
        <w:ind w:right="60"/>
        <w:spacing w:after="0" w:line="235" w:lineRule="auto"/>
        <w:rPr>
          <w:sz w:val="20"/>
          <w:szCs w:val="20"/>
          <w:color w:val="auto"/>
        </w:rPr>
      </w:pPr>
      <w:r>
        <w:rPr>
          <w:rFonts w:ascii="Times New Roman" w:cs="Times New Roman" w:eastAsia="Times New Roman" w:hAnsi="Times New Roman"/>
          <w:sz w:val="22"/>
          <w:szCs w:val="22"/>
          <w:color w:val="auto"/>
        </w:rPr>
        <w:t>$0.01 per diluted share, for the second quarter of fiscal 2026, compared to a net loss of $300,000, or $(0.03) per diluted share, for the same quarter last fiscal year. Year-to-date, non-GAAP adjusted net income was $414,000, or $0.04 per diluted share, compared to net income of $367,000, or $0.04 per diluted share, for the same period last fiscal year.</w:t>
      </w:r>
    </w:p>
    <w:p>
      <w:pPr>
        <w:spacing w:after="0" w:line="178" w:lineRule="exact"/>
        <w:rPr>
          <w:sz w:val="20"/>
          <w:szCs w:val="20"/>
          <w:color w:val="auto"/>
        </w:rPr>
      </w:pPr>
    </w:p>
    <w:p>
      <w:pPr>
        <w:jc w:val="both"/>
        <w:ind w:right="380"/>
        <w:spacing w:after="0" w:line="239" w:lineRule="auto"/>
        <w:rPr>
          <w:sz w:val="20"/>
          <w:szCs w:val="20"/>
          <w:color w:val="auto"/>
        </w:rPr>
      </w:pPr>
      <w:r>
        <w:rPr>
          <w:rFonts w:ascii="Times New Roman" w:cs="Times New Roman" w:eastAsia="Times New Roman" w:hAnsi="Times New Roman"/>
          <w:sz w:val="22"/>
          <w:szCs w:val="22"/>
          <w:color w:val="auto"/>
        </w:rPr>
        <w:t>NTIC had working capital of $20,202,000 as of February 28, 2026, including $6,470,000 in cash and cash equivalents and an outstanding revolving line of credit and term loan balance of $14,259,000, compared to $20,439,000 of working capital as of August 31, 2025, including $7,251,000 in cash and cash equivalents and an outstanding revolving line of credit and term loan balance of $12,189,000.</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At February 28, 2026, NTIC had $29,748,000 of investments in joint ventures, of which $15,400,000, or 51.8%, was cash, with the remaining balance mostly made up of other working capital.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NTIC will host a conference call today at 8:00 a.m. Central Time to review its results of operations for the second quarter of fiscal year 2026 and its outlook, followed by a question-and-answer session. The conference call will be available to interested parties through a webcast. To join the live call and ask a question, a participant must register using the URL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https://register-conf.media-server.com/register/BI189d44aede034eeaa9847116235afb6b</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Once registered, the participant will receive a dial-in number and unique PIN number to access the call.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audio-only webcast can be accessed at the following link: </w:t>
      </w:r>
      <w:r>
        <w:rPr>
          <w:rFonts w:ascii="Times New Roman" w:cs="Times New Roman" w:eastAsia="Times New Roman" w:hAnsi="Times New Roman"/>
          <w:sz w:val="22"/>
          <w:szCs w:val="22"/>
          <w:b w:val="1"/>
          <w:bCs w:val="1"/>
          <w:color w:val="auto"/>
        </w:rPr>
        <w:t>https://edge.media-server.com/mmc/p/3ffaprzx</w:t>
      </w:r>
    </w:p>
    <w:p>
      <w:pPr>
        <w:spacing w:after="0" w:line="21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A link to the webcast is also available on the Investor Relations section of NTIC’s webpage. Participants are advised to go to the website at least 15 minutes early to register, download and install any necessary audio software. For those unable to participate in the live webcast, a replay of the webcast will be archived and accessible for approximately one year on the Investor Relations section of NTIC’s webpage.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Northern Technologies International Corporation</w:t>
      </w:r>
    </w:p>
    <w:p>
      <w:pPr>
        <w:spacing w:after="0" w:line="21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Northern Technologies International Corporation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rust and corrosion inhibiting products and services to the automotive, general industrial, mechanical, mining, agricultural, and retail consumer markets for over 50 years and, more recently, has also expanded into the oil and gas industry. NTIC offers worldwide on-site technical consulting for rust and corrosion prevention issues. NTIC’s technical service consultants work directly with the end users of NTIC’s products to analyze their specific needs and develop systems to meet their technical requirements. NTIC also markets and sells a portfolio of bio-based and biodegradable polymer resin compounds and finished products marketed under the Natur-Tec® brand.</w:t>
      </w:r>
    </w:p>
    <w:p>
      <w:pPr>
        <w:sectPr>
          <w:pgSz w:w="11900" w:h="16838" w:orient="portrait"/>
          <w:cols w:equalWidth="0" w:num="1">
            <w:col w:w="11240"/>
          </w:cols>
          <w:pgMar w:left="320" w:top="34"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i w:val="1"/>
          <w:iCs w:val="1"/>
          <w:color w:val="auto"/>
        </w:rPr>
        <w:t>Statements contained in this release that are not historical information are forward-looking statements within the meaning of the Private Securities Litigation Reform Act of 1995. Such statements include NTIC’s beliefs that the diversity of its end markets, geographic footprint, and product portfolio positions NTIC well to navigate near-term volatility and that as NTIC moves through the second half of fiscal 2026, it expects continued sales growth and improved profitability, supported by stable trends in North America and ongoing strength in NTIC China, ZERUST® oil and gas, and Natur-Tec®, and other statements that can be identified by words such as “believes,” “continues,” “expects,” “anticipates,” “intends,” “potential,” “outlook,” “will,” “may,” “would,” “should,” “guidance” or words of similar meaning, and the use of future dates. Such forward-looking statements are based upon the current beliefs and expectations of NTIC’s management and are inherently subject to risks and uncertainties that could cause actual results to differ materially from those projected or implied. Such potential risks and uncertainties include, but are not limited to, in no particular order: the effect of the U.S.-Israel-Iran conflict, which has had immediate and substantial effects on global trade, energy markets and financial markets; risks associated with international operations, including NTIC China, exposure to exchange rate fluctuations, tariffs, trade disputes and changes to trade regulation; the health of the U.S. and worldwide economies, including in particular the U.S. automotive industry, decreased exports of automotive products resulting from tariffs between the U.S. and both Mexico and Canada and the evolution towards electric vehicles; the effect of economic uncertainty, recessionary indicators, inflation, increased interest rates and turmoil in the global credit, financial and banking markets or perception thereof; effect of supply chain disruptions; dependence on joint ventures, relationships with joint venture partners and their success, including fees and dividend distributions; effect of economic slowdown and political unrest, including the war between Russia and Ukraine and the conflicts in the Middle East; the level of growth in NTIC’s markets; NTIC’s investments in research and development efforts; acceptance of existing and new products; timing of purchase orders under supply contracts; variability in sales to oil and gas customers and effect on quarterly financial results; increased competition; costs and effects of complying with changes in tax, fiscal, government and other regulatory policies, and rules relating to environmental, health and safety matters; and NTIC’s reliance on its intellectual property rights and the absence of infringement of the intellectual property rights of others. More detailed information on these and additional factors which could affect NTIC’s operating and financial results is described in NTIC’s filings with the Securities and Exchange Commission (SEC), including its annual report on Form 10-K for the fiscal year ended August 31, 2025 and subsequent quarterly report on Form 10-Q. NTIC urges all interested parties to read these reports to gain a better understanding of the many business and other risks that it faces. Additionally, NTIC undertakes no obligation to publicly release the results of any revisions to these forward-looking statements, which may be made to reflect events or circumstances occurring after the date hereof or to reflect the occurrence of unanticipated events.</w:t>
      </w:r>
    </w:p>
    <w:p>
      <w:pPr>
        <w:spacing w:after="0" w:line="174"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32"/>
          <w:szCs w:val="32"/>
          <w:b w:val="1"/>
          <w:bCs w:val="1"/>
          <w:color w:val="auto"/>
          <w:vertAlign w:val="superscript"/>
        </w:rPr>
      </w:pPr>
      <w:r>
        <w:rPr>
          <w:rFonts w:ascii="Times New Roman" w:cs="Times New Roman" w:eastAsia="Times New Roman" w:hAnsi="Times New Roman"/>
          <w:sz w:val="20"/>
          <w:szCs w:val="20"/>
          <w:b w:val="1"/>
          <w:bCs w:val="1"/>
          <w:color w:val="auto"/>
        </w:rPr>
        <w:t>Use of Non-GAAP Financial Measures</w:t>
      </w:r>
    </w:p>
    <w:p>
      <w:pPr>
        <w:spacing w:after="0" w:line="173"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i w:val="1"/>
          <w:iCs w:val="1"/>
          <w:color w:val="auto"/>
        </w:rPr>
        <w:t>In addition to the financial measures prepared in accordance with U.S. generally accepted accounting principles (GAAP), this release contains non-GAAP financial measures, including adjusted net income attributable to NTIC and adjusted net income attributable to NTIC per diluted share. NTIC’s reasons for use of these measures, reconciliations of these non-GAAP financial measures to the most directly comparable GAAP measures and other information are included at the end of this release. Non-GAAP financial measures have limitations as analytical tools and should not be considered in isolation or as a substitute for NTIC’s financial results prepared in accordance with GAAP.</w:t>
      </w:r>
    </w:p>
    <w:p>
      <w:pPr>
        <w:spacing w:after="0" w:line="189" w:lineRule="exact"/>
        <w:rPr>
          <w:sz w:val="20"/>
          <w:szCs w:val="20"/>
          <w:color w:val="auto"/>
        </w:rPr>
      </w:pPr>
    </w:p>
    <w:p>
      <w:pPr>
        <w:ind w:left="20" w:right="2500"/>
        <w:spacing w:after="0" w:line="246"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 CONSOLIDATED BALANCE SHEETS AS OF FEBRUARY 28, 2026 (UNAUDITED) AND AUGUST 31, 2025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February 28,</w:t>
            </w:r>
          </w:p>
        </w:tc>
        <w:tc>
          <w:tcPr>
            <w:tcW w:w="180" w:type="dxa"/>
            <w:vAlign w:val="bottom"/>
          </w:tcPr>
          <w:p>
            <w:pPr>
              <w:spacing w:after="0"/>
              <w:rPr>
                <w:sz w:val="21"/>
                <w:szCs w:val="21"/>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August 31,</w:t>
            </w:r>
          </w:p>
        </w:tc>
        <w:tc>
          <w:tcPr>
            <w:tcW w:w="0" w:type="dxa"/>
            <w:vAlign w:val="bottom"/>
          </w:tcPr>
          <w:p>
            <w:pPr>
              <w:spacing w:after="0"/>
              <w:rPr>
                <w:sz w:val="1"/>
                <w:szCs w:val="1"/>
                <w:color w:val="auto"/>
              </w:rPr>
            </w:pPr>
          </w:p>
        </w:tc>
      </w:tr>
      <w:tr>
        <w:trPr>
          <w:trHeight w:val="286"/>
        </w:trPr>
        <w:tc>
          <w:tcPr>
            <w:tcW w:w="8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2"/>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ASSETS:</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6,469,750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7,250,523</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Receivables:</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Trade, less allowance for credit losses of $290,493</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as of February 28, 2026 and $235,000 as of August 31, 2025</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18,033,990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18,443,230</w:t>
            </w:r>
          </w:p>
        </w:tc>
        <w:tc>
          <w:tcPr>
            <w:tcW w:w="0" w:type="dxa"/>
            <w:vAlign w:val="bottom"/>
          </w:tcPr>
          <w:p>
            <w:pPr>
              <w:spacing w:after="0"/>
              <w:rPr>
                <w:sz w:val="1"/>
                <w:szCs w:val="1"/>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Fees for services provided to joint ventures</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897,177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1,077,552</w:t>
            </w:r>
          </w:p>
        </w:tc>
        <w:tc>
          <w:tcPr>
            <w:tcW w:w="0" w:type="dxa"/>
            <w:vAlign w:val="bottom"/>
          </w:tcPr>
          <w:p>
            <w:pPr>
              <w:spacing w:after="0"/>
              <w:rPr>
                <w:sz w:val="1"/>
                <w:szCs w:val="1"/>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Income taxes</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704,897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340,002</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 net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16,506,777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15,525,230</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expenses</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2,607,340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1,706,279</w:t>
            </w:r>
          </w:p>
        </w:tc>
        <w:tc>
          <w:tcPr>
            <w:tcW w:w="0" w:type="dxa"/>
            <w:vAlign w:val="bottom"/>
          </w:tcPr>
          <w:p>
            <w:pPr>
              <w:spacing w:after="0"/>
              <w:rPr>
                <w:sz w:val="1"/>
                <w:szCs w:val="1"/>
                <w:color w:val="auto"/>
              </w:rPr>
            </w:pPr>
          </w:p>
        </w:tc>
      </w:tr>
      <w:tr>
        <w:trPr>
          <w:trHeight w:val="265"/>
        </w:trPr>
        <w:tc>
          <w:tcPr>
            <w:tcW w:w="82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Total current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45,219,931</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44,342,816</w:t>
            </w:r>
          </w:p>
        </w:tc>
        <w:tc>
          <w:tcPr>
            <w:tcW w:w="0" w:type="dxa"/>
            <w:vAlign w:val="bottom"/>
          </w:tcPr>
          <w:p>
            <w:pPr>
              <w:spacing w:after="0"/>
              <w:rPr>
                <w:sz w:val="1"/>
                <w:szCs w:val="1"/>
                <w:color w:val="auto"/>
              </w:rPr>
            </w:pPr>
          </w:p>
        </w:tc>
      </w:tr>
      <w:tr>
        <w:trPr>
          <w:trHeight w:val="492"/>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15,918,752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15,183,918</w:t>
            </w:r>
          </w:p>
        </w:tc>
        <w:tc>
          <w:tcPr>
            <w:tcW w:w="0" w:type="dxa"/>
            <w:vAlign w:val="bottom"/>
          </w:tcPr>
          <w:p>
            <w:pPr>
              <w:spacing w:after="0"/>
              <w:rPr>
                <w:sz w:val="1"/>
                <w:szCs w:val="1"/>
                <w:color w:val="auto"/>
              </w:rPr>
            </w:pPr>
          </w:p>
        </w:tc>
      </w:tr>
      <w:tr>
        <w:trPr>
          <w:trHeight w:val="481"/>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ASSETS: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Investments in joint ventures</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29,748,064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28,611,777</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Deferred income tax, net</w:t>
            </w:r>
          </w:p>
        </w:tc>
        <w:tc>
          <w:tcPr>
            <w:tcW w:w="12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430,745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503,575</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Intangible assets, net</w:t>
            </w:r>
          </w:p>
        </w:tc>
        <w:tc>
          <w:tcPr>
            <w:tcW w:w="120" w:type="dxa"/>
            <w:vAlign w:val="bottom"/>
          </w:tcPr>
          <w:p>
            <w:pPr>
              <w:spacing w:after="0"/>
              <w:rPr>
                <w:sz w:val="24"/>
                <w:szCs w:val="24"/>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8,399,365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8,827,768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6" w:name="page7"/>
    <w:bookmarkEnd w:id="6"/>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Goodwill</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4,782,376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4,782,376</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Operating lease right of use assets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398,688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493,050</w:t>
            </w:r>
          </w:p>
        </w:tc>
        <w:tc>
          <w:tcPr>
            <w:tcW w:w="0" w:type="dxa"/>
            <w:vAlign w:val="bottom"/>
          </w:tcPr>
          <w:p>
            <w:pPr>
              <w:spacing w:after="0"/>
              <w:rPr>
                <w:sz w:val="1"/>
                <w:szCs w:val="1"/>
                <w:color w:val="auto"/>
              </w:rPr>
            </w:pPr>
          </w:p>
        </w:tc>
      </w:tr>
      <w:tr>
        <w:trPr>
          <w:trHeight w:val="265"/>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other assets</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43,759,238</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43,218,546</w:t>
            </w:r>
          </w:p>
        </w:tc>
        <w:tc>
          <w:tcPr>
            <w:tcW w:w="0" w:type="dxa"/>
            <w:vAlign w:val="bottom"/>
          </w:tcPr>
          <w:p>
            <w:pPr>
              <w:spacing w:after="0"/>
              <w:rPr>
                <w:sz w:val="1"/>
                <w:szCs w:val="1"/>
                <w:color w:val="auto"/>
              </w:rPr>
            </w:pPr>
          </w:p>
        </w:tc>
      </w:tr>
      <w:tr>
        <w:trPr>
          <w:trHeight w:val="264"/>
        </w:trPr>
        <w:tc>
          <w:tcPr>
            <w:tcW w:w="82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104,897,921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102,745,280</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LIABILITIES: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Line of credit</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11,282,291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9,329,021</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 loan, current portion</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2,976,455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2,860,256</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8,269,041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8,044,196</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Income taxes payable</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193,164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414,304</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Accrued liabilities: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Payroll and related benefits</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1,568,219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1,844,817</w:t>
            </w:r>
          </w:p>
        </w:tc>
        <w:tc>
          <w:tcPr>
            <w:tcW w:w="0" w:type="dxa"/>
            <w:vAlign w:val="bottom"/>
          </w:tcPr>
          <w:p>
            <w:pPr>
              <w:spacing w:after="0"/>
              <w:rPr>
                <w:sz w:val="1"/>
                <w:szCs w:val="1"/>
                <w:color w:val="auto"/>
              </w:rPr>
            </w:pPr>
          </w:p>
        </w:tc>
      </w:tr>
      <w:tr>
        <w:trPr>
          <w:trHeight w:val="270"/>
        </w:trPr>
        <w:tc>
          <w:tcPr>
            <w:tcW w:w="82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551,066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1,066,761</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operating leases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177,939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344,739</w:t>
            </w:r>
          </w:p>
        </w:tc>
        <w:tc>
          <w:tcPr>
            <w:tcW w:w="0" w:type="dxa"/>
            <w:vAlign w:val="bottom"/>
          </w:tcPr>
          <w:p>
            <w:pPr>
              <w:spacing w:after="0"/>
              <w:rPr>
                <w:sz w:val="1"/>
                <w:szCs w:val="1"/>
                <w:color w:val="auto"/>
              </w:rPr>
            </w:pPr>
          </w:p>
        </w:tc>
      </w:tr>
      <w:tr>
        <w:trPr>
          <w:trHeight w:val="265"/>
        </w:trPr>
        <w:tc>
          <w:tcPr>
            <w:tcW w:w="82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25,018,175</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23,904,094</w:t>
            </w:r>
          </w:p>
        </w:tc>
        <w:tc>
          <w:tcPr>
            <w:tcW w:w="0" w:type="dxa"/>
            <w:vAlign w:val="bottom"/>
          </w:tcPr>
          <w:p>
            <w:pPr>
              <w:spacing w:after="0"/>
              <w:rPr>
                <w:sz w:val="1"/>
                <w:szCs w:val="1"/>
                <w:color w:val="auto"/>
              </w:rPr>
            </w:pPr>
          </w:p>
        </w:tc>
      </w:tr>
      <w:tr>
        <w:trPr>
          <w:trHeight w:val="250"/>
        </w:trPr>
        <w:tc>
          <w:tcPr>
            <w:tcW w:w="8200" w:type="dxa"/>
            <w:vAlign w:val="bottom"/>
          </w:tcPr>
          <w:p>
            <w:pPr>
              <w:ind w:left="120"/>
              <w:spacing w:after="0" w:line="249" w:lineRule="exact"/>
              <w:rPr>
                <w:sz w:val="20"/>
                <w:szCs w:val="20"/>
                <w:color w:val="auto"/>
              </w:rPr>
            </w:pPr>
            <w:r>
              <w:rPr>
                <w:rFonts w:ascii="Times New Roman" w:cs="Times New Roman" w:eastAsia="Times New Roman" w:hAnsi="Times New Roman"/>
                <w:sz w:val="22"/>
                <w:szCs w:val="22"/>
                <w:color w:val="auto"/>
              </w:rPr>
              <w:t>LONG-TERM LIABILITIES: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Deferred income tax, net</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1,513,166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1,513,166</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Term loans, noncurrent portion</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421,839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466,984</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Operating leases, less current portion</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220,749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148,311</w:t>
            </w:r>
          </w:p>
        </w:tc>
        <w:tc>
          <w:tcPr>
            <w:tcW w:w="0" w:type="dxa"/>
            <w:vAlign w:val="bottom"/>
          </w:tcPr>
          <w:p>
            <w:pPr>
              <w:spacing w:after="0"/>
              <w:rPr>
                <w:sz w:val="1"/>
                <w:szCs w:val="1"/>
                <w:color w:val="auto"/>
              </w:rPr>
            </w:pPr>
          </w:p>
        </w:tc>
      </w:tr>
      <w:tr>
        <w:trPr>
          <w:trHeight w:val="265"/>
        </w:trPr>
        <w:tc>
          <w:tcPr>
            <w:tcW w:w="82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Total long-term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2,155,754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2,128,461</w:t>
            </w:r>
          </w:p>
        </w:tc>
        <w:tc>
          <w:tcPr>
            <w:tcW w:w="0" w:type="dxa"/>
            <w:vAlign w:val="bottom"/>
          </w:tcPr>
          <w:p>
            <w:pPr>
              <w:spacing w:after="0"/>
              <w:rPr>
                <w:sz w:val="1"/>
                <w:szCs w:val="1"/>
                <w:color w:val="auto"/>
              </w:rPr>
            </w:pPr>
          </w:p>
        </w:tc>
      </w:tr>
      <w:tr>
        <w:trPr>
          <w:trHeight w:val="532"/>
        </w:trPr>
        <w:tc>
          <w:tcPr>
            <w:tcW w:w="8200" w:type="dxa"/>
            <w:vAlign w:val="bottom"/>
          </w:tcPr>
          <w:p>
            <w:pPr>
              <w:spacing w:after="0"/>
              <w:rPr>
                <w:sz w:val="20"/>
                <w:szCs w:val="20"/>
                <w:color w:val="auto"/>
              </w:rPr>
            </w:pPr>
            <w:r>
              <w:rPr>
                <w:rFonts w:ascii="Times New Roman" w:cs="Times New Roman" w:eastAsia="Times New Roman" w:hAnsi="Times New Roman"/>
                <w:sz w:val="22"/>
                <w:szCs w:val="22"/>
                <w:color w:val="auto"/>
              </w:rPr>
              <w:t>COMMITMENTS AND CONTINGENCIES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EQUITY:</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Preferred stock, no par value; authorized 10,000 shares; none issued and outstanding</w:t>
            </w: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8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 $0.02 par value per share; authorized 15,000,000 shares; issued and</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outstanding 9,492,001 and 9,475,490 as of February 28, 2026 and August 31, 2025,</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189,840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189,510</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25,706,091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25,056,976</w:t>
            </w:r>
          </w:p>
        </w:tc>
        <w:tc>
          <w:tcPr>
            <w:tcW w:w="0" w:type="dxa"/>
            <w:vAlign w:val="bottom"/>
          </w:tcPr>
          <w:p>
            <w:pPr>
              <w:spacing w:after="0"/>
              <w:rPr>
                <w:sz w:val="1"/>
                <w:szCs w:val="1"/>
                <w:color w:val="auto"/>
              </w:rPr>
            </w:pPr>
          </w:p>
        </w:tc>
      </w:tr>
      <w:tr>
        <w:trPr>
          <w:trHeight w:val="270"/>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Retained earnings</w:t>
            </w:r>
          </w:p>
        </w:tc>
        <w:tc>
          <w:tcPr>
            <w:tcW w:w="20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52,286,237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52,273,469</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(4,896,833)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(5,371,201)</w:t>
            </w:r>
          </w:p>
        </w:tc>
        <w:tc>
          <w:tcPr>
            <w:tcW w:w="0" w:type="dxa"/>
            <w:vAlign w:val="bottom"/>
          </w:tcPr>
          <w:p>
            <w:pPr>
              <w:spacing w:after="0"/>
              <w:rPr>
                <w:sz w:val="1"/>
                <w:szCs w:val="1"/>
                <w:color w:val="auto"/>
              </w:rPr>
            </w:pPr>
          </w:p>
        </w:tc>
      </w:tr>
      <w:tr>
        <w:trPr>
          <w:trHeight w:val="251"/>
        </w:trPr>
        <w:tc>
          <w:tcPr>
            <w:tcW w:w="820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Stockholders’ equity</w:t>
            </w:r>
          </w:p>
        </w:tc>
        <w:tc>
          <w:tcPr>
            <w:tcW w:w="200" w:type="dxa"/>
            <w:vAlign w:val="bottom"/>
          </w:tcPr>
          <w:p>
            <w:pPr>
              <w:spacing w:after="0"/>
              <w:rPr>
                <w:sz w:val="21"/>
                <w:szCs w:val="21"/>
                <w:color w:val="auto"/>
              </w:rPr>
            </w:pPr>
          </w:p>
        </w:tc>
        <w:tc>
          <w:tcPr>
            <w:tcW w:w="126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color w:val="auto"/>
              </w:rPr>
              <w:t>73,285,335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72,148,754</w:t>
            </w:r>
          </w:p>
        </w:tc>
        <w:tc>
          <w:tcPr>
            <w:tcW w:w="0" w:type="dxa"/>
            <w:vAlign w:val="bottom"/>
          </w:tcPr>
          <w:p>
            <w:pPr>
              <w:spacing w:after="0"/>
              <w:rPr>
                <w:sz w:val="1"/>
                <w:szCs w:val="1"/>
                <w:color w:val="auto"/>
              </w:rPr>
            </w:pPr>
          </w:p>
        </w:tc>
      </w:tr>
      <w:tr>
        <w:trPr>
          <w:trHeight w:val="282"/>
        </w:trPr>
        <w:tc>
          <w:tcPr>
            <w:tcW w:w="8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Non-controlling interests</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4,438,657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4,563,971</w:t>
            </w:r>
          </w:p>
        </w:tc>
        <w:tc>
          <w:tcPr>
            <w:tcW w:w="0" w:type="dxa"/>
            <w:vAlign w:val="bottom"/>
          </w:tcPr>
          <w:p>
            <w:pPr>
              <w:spacing w:after="0"/>
              <w:rPr>
                <w:sz w:val="1"/>
                <w:szCs w:val="1"/>
                <w:color w:val="auto"/>
              </w:rPr>
            </w:pPr>
          </w:p>
        </w:tc>
      </w:tr>
      <w:tr>
        <w:trPr>
          <w:trHeight w:val="265"/>
        </w:trPr>
        <w:tc>
          <w:tcPr>
            <w:tcW w:w="82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Total equity</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77,723,992</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76,712,725</w:t>
            </w:r>
          </w:p>
        </w:tc>
        <w:tc>
          <w:tcPr>
            <w:tcW w:w="0" w:type="dxa"/>
            <w:vAlign w:val="bottom"/>
          </w:tcPr>
          <w:p>
            <w:pPr>
              <w:spacing w:after="0"/>
              <w:rPr>
                <w:sz w:val="1"/>
                <w:szCs w:val="1"/>
                <w:color w:val="auto"/>
              </w:rPr>
            </w:pPr>
          </w:p>
        </w:tc>
      </w:tr>
      <w:tr>
        <w:trPr>
          <w:trHeight w:val="263"/>
        </w:trPr>
        <w:tc>
          <w:tcPr>
            <w:tcW w:w="82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104,897,921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102,745,280</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500"/>
        <w:spacing w:after="0" w:line="243"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 CONSOLIDATED STATEMENTS OF OPERATIONS (UNAUDITED)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THREE AND SIX MONTHS ENDED FEBRUARY 28,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5060" w:type="dxa"/>
            <w:vAlign w:val="bottom"/>
          </w:tcPr>
          <w:p>
            <w:pPr>
              <w:spacing w:after="0"/>
              <w:rPr>
                <w:sz w:val="24"/>
                <w:szCs w:val="24"/>
                <w:color w:val="auto"/>
              </w:rPr>
            </w:pPr>
          </w:p>
        </w:tc>
        <w:tc>
          <w:tcPr>
            <w:tcW w:w="3120" w:type="dxa"/>
            <w:vAlign w:val="bottom"/>
            <w:gridSpan w:val="6"/>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7"/>
              </w:rPr>
              <w:t>Three Months Ended February</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auto"/>
                <w:w w:val="98"/>
              </w:rPr>
              <w:t>Six Months Ended February 28,</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60"/>
              <w:spacing w:after="0" w:line="189" w:lineRule="exact"/>
              <w:rPr>
                <w:sz w:val="20"/>
                <w:szCs w:val="20"/>
                <w:color w:val="auto"/>
              </w:rPr>
            </w:pPr>
            <w:r>
              <w:rPr>
                <w:rFonts w:ascii="Times New Roman" w:cs="Times New Roman" w:eastAsia="Times New Roman" w:hAnsi="Times New Roman"/>
                <w:sz w:val="21"/>
                <w:szCs w:val="21"/>
                <w:b w:val="1"/>
                <w:bCs w:val="1"/>
                <w:color w:val="auto"/>
                <w:w w:val="98"/>
              </w:rPr>
              <w:t>28,</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2026</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SALES:</w:t>
            </w: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060" w:type="dxa"/>
            <w:vAlign w:val="bottom"/>
            <w:vMerge w:val="continue"/>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sales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21,996,785</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19,072,066</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  45,305,666</w:t>
            </w:r>
          </w:p>
        </w:tc>
        <w:tc>
          <w:tcPr>
            <w:tcW w:w="100" w:type="dxa"/>
            <w:vAlign w:val="bottom"/>
          </w:tcPr>
          <w:p>
            <w:pPr>
              <w:spacing w:after="0"/>
              <w:rPr>
                <w:sz w:val="23"/>
                <w:szCs w:val="23"/>
                <w:color w:val="auto"/>
              </w:rPr>
            </w:pP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40,410,459</w:t>
            </w:r>
          </w:p>
        </w:tc>
        <w:tc>
          <w:tcPr>
            <w:tcW w:w="0" w:type="dxa"/>
            <w:vAlign w:val="bottom"/>
          </w:tcPr>
          <w:p>
            <w:pPr>
              <w:spacing w:after="0"/>
              <w:rPr>
                <w:sz w:val="1"/>
                <w:szCs w:val="1"/>
                <w:color w:val="auto"/>
              </w:rPr>
            </w:pP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goods sold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14,138,899</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12,276,482</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29,064,154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25,451,922</w:t>
            </w:r>
          </w:p>
        </w:tc>
        <w:tc>
          <w:tcPr>
            <w:tcW w:w="0" w:type="dxa"/>
            <w:vAlign w:val="bottom"/>
          </w:tcPr>
          <w:p>
            <w:pPr>
              <w:spacing w:after="0"/>
              <w:rPr>
                <w:sz w:val="1"/>
                <w:szCs w:val="1"/>
                <w:color w:val="auto"/>
              </w:rPr>
            </w:pPr>
          </w:p>
        </w:tc>
      </w:tr>
      <w:tr>
        <w:trPr>
          <w:trHeight w:val="277"/>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Gross profit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7,857,886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6,795,584</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16,241,512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14,958,537</w:t>
            </w:r>
          </w:p>
        </w:tc>
        <w:tc>
          <w:tcPr>
            <w:tcW w:w="0" w:type="dxa"/>
            <w:vAlign w:val="bottom"/>
          </w:tcPr>
          <w:p>
            <w:pPr>
              <w:spacing w:after="0"/>
              <w:rPr>
                <w:sz w:val="1"/>
                <w:szCs w:val="1"/>
                <w:color w:val="auto"/>
              </w:rPr>
            </w:pPr>
          </w:p>
        </w:tc>
      </w:tr>
      <w:tr>
        <w:trPr>
          <w:trHeight w:val="514"/>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JOINT VENTURE OPERATIONS: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Equity in income from joint ventures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1,100,670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620,730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2,322,786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1,750,323</w:t>
            </w:r>
          </w:p>
        </w:tc>
        <w:tc>
          <w:tcPr>
            <w:tcW w:w="0" w:type="dxa"/>
            <w:vAlign w:val="bottom"/>
          </w:tcPr>
          <w:p>
            <w:pPr>
              <w:spacing w:after="0"/>
              <w:rPr>
                <w:sz w:val="1"/>
                <w:szCs w:val="1"/>
                <w:color w:val="auto"/>
              </w:rPr>
            </w:pPr>
          </w:p>
        </w:tc>
      </w:tr>
      <w:tr>
        <w:trPr>
          <w:trHeight w:val="282"/>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Fees for services provided to joint ventures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925,899</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1,070,263</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1,995,156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2,354,382</w:t>
            </w:r>
          </w:p>
        </w:tc>
        <w:tc>
          <w:tcPr>
            <w:tcW w:w="0" w:type="dxa"/>
            <w:vAlign w:val="bottom"/>
          </w:tcPr>
          <w:p>
            <w:pPr>
              <w:spacing w:after="0"/>
              <w:rPr>
                <w:sz w:val="1"/>
                <w:szCs w:val="1"/>
                <w:color w:val="auto"/>
              </w:rPr>
            </w:pPr>
          </w:p>
        </w:tc>
      </w:tr>
      <w:tr>
        <w:trPr>
          <w:trHeight w:val="277"/>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income from joint venture operations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2,026,569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1,690,993</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4,317,942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4,104,705</w:t>
            </w:r>
          </w:p>
        </w:tc>
        <w:tc>
          <w:tcPr>
            <w:tcW w:w="0" w:type="dxa"/>
            <w:vAlign w:val="bottom"/>
          </w:tcPr>
          <w:p>
            <w:pPr>
              <w:spacing w:after="0"/>
              <w:rPr>
                <w:sz w:val="1"/>
                <w:szCs w:val="1"/>
                <w:color w:val="auto"/>
              </w:rPr>
            </w:pPr>
          </w:p>
        </w:tc>
      </w:tr>
      <w:tr>
        <w:trPr>
          <w:trHeight w:val="514"/>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OPERATING EXPENSES: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Selling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4,713,772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4,210,242</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9,085,274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8,477,896</w:t>
            </w:r>
          </w:p>
        </w:tc>
        <w:tc>
          <w:tcPr>
            <w:tcW w:w="0" w:type="dxa"/>
            <w:vAlign w:val="bottom"/>
          </w:tcPr>
          <w:p>
            <w:pPr>
              <w:spacing w:after="0"/>
              <w:rPr>
                <w:sz w:val="1"/>
                <w:szCs w:val="1"/>
                <w:color w:val="auto"/>
              </w:rPr>
            </w:pPr>
          </w:p>
        </w:tc>
      </w:tr>
      <w:tr>
        <w:trPr>
          <w:trHeight w:val="270"/>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3,612,707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3,320,369</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7,761,660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7,179,312</w:t>
            </w:r>
          </w:p>
        </w:tc>
        <w:tc>
          <w:tcPr>
            <w:tcW w:w="0" w:type="dxa"/>
            <w:vAlign w:val="bottom"/>
          </w:tcPr>
          <w:p>
            <w:pPr>
              <w:spacing w:after="0"/>
              <w:rPr>
                <w:sz w:val="1"/>
                <w:szCs w:val="1"/>
                <w:color w:val="auto"/>
              </w:rPr>
            </w:pPr>
          </w:p>
        </w:tc>
      </w:tr>
      <w:tr>
        <w:trPr>
          <w:trHeight w:val="283"/>
        </w:trPr>
        <w:tc>
          <w:tcPr>
            <w:tcW w:w="5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Research and development expenses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1,175,202</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1,288,899</w:t>
            </w:r>
          </w:p>
        </w:tc>
        <w:tc>
          <w:tcPr>
            <w:tcW w:w="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2,396,114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2,632,296</w:t>
            </w:r>
          </w:p>
        </w:tc>
        <w:tc>
          <w:tcPr>
            <w:tcW w:w="0" w:type="dxa"/>
            <w:vAlign w:val="bottom"/>
          </w:tcPr>
          <w:p>
            <w:pPr>
              <w:spacing w:after="0"/>
              <w:rPr>
                <w:sz w:val="1"/>
                <w:szCs w:val="1"/>
                <w:color w:val="auto"/>
              </w:rPr>
            </w:pPr>
          </w:p>
        </w:tc>
      </w:tr>
    </w:tbl>
    <w:p>
      <w:pPr>
        <w:sectPr>
          <w:pgSz w:w="11900" w:h="16877" w:orient="portrait"/>
          <w:cols w:equalWidth="0" w:num="1">
            <w:col w:w="11220"/>
          </w:cols>
          <w:pgMar w:left="340" w:top="111" w:right="339" w:bottom="0" w:gutter="0" w:footer="0" w:header="0"/>
        </w:sectPr>
      </w:pPr>
    </w:p>
    <w:bookmarkStart w:id="7" w:name="page8"/>
    <w:bookmarkEnd w:id="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9,501,681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8,819,510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19,243,048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18,289,504</w:t>
            </w:r>
          </w:p>
        </w:tc>
        <w:tc>
          <w:tcPr>
            <w:tcW w:w="0" w:type="dxa"/>
            <w:vAlign w:val="bottom"/>
          </w:tcPr>
          <w:p>
            <w:pPr>
              <w:spacing w:after="0"/>
              <w:rPr>
                <w:sz w:val="1"/>
                <w:szCs w:val="1"/>
                <w:color w:val="auto"/>
              </w:rPr>
            </w:pPr>
          </w:p>
        </w:tc>
      </w:tr>
      <w:tr>
        <w:trPr>
          <w:trHeight w:val="54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OPERATING INCOME (LOSS)</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382,774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(332,933)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1,316,406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773,738</w:t>
            </w:r>
          </w:p>
        </w:tc>
        <w:tc>
          <w:tcPr>
            <w:tcW w:w="0" w:type="dxa"/>
            <w:vAlign w:val="bottom"/>
          </w:tcPr>
          <w:p>
            <w:pPr>
              <w:spacing w:after="0"/>
              <w:rPr>
                <w:sz w:val="1"/>
                <w:szCs w:val="1"/>
                <w:color w:val="auto"/>
              </w:rPr>
            </w:pPr>
          </w:p>
        </w:tc>
      </w:tr>
      <w:tr>
        <w:trPr>
          <w:trHeight w:val="528"/>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INTEREST INCOME</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65,568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210,156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102,810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235,723</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INTEREST EXPENSE</w:t>
            </w: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(196,651)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(139,155)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(396,617)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(259,375)</w:t>
            </w: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1,139,756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1,139,756</w:t>
            </w:r>
          </w:p>
        </w:tc>
        <w:tc>
          <w:tcPr>
            <w:tcW w:w="0" w:type="dxa"/>
            <w:vAlign w:val="bottom"/>
          </w:tcPr>
          <w:p>
            <w:pPr>
              <w:spacing w:after="0"/>
              <w:rPr>
                <w:sz w:val="1"/>
                <w:szCs w:val="1"/>
                <w:color w:val="auto"/>
              </w:rPr>
            </w:pPr>
          </w:p>
        </w:tc>
      </w:tr>
      <w:tr>
        <w:trPr>
          <w:trHeight w:val="277"/>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INCOME BEFORE INCOME TAX EXPENSE</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251,691</w:t>
            </w: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877,824</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1,022,599</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1,889,842</w:t>
            </w:r>
          </w:p>
        </w:tc>
        <w:tc>
          <w:tcPr>
            <w:tcW w:w="0" w:type="dxa"/>
            <w:vAlign w:val="bottom"/>
          </w:tcPr>
          <w:p>
            <w:pPr>
              <w:spacing w:after="0"/>
              <w:rPr>
                <w:sz w:val="1"/>
                <w:szCs w:val="1"/>
                <w:color w:val="auto"/>
              </w:rPr>
            </w:pPr>
          </w:p>
        </w:tc>
      </w:tr>
      <w:tr>
        <w:trPr>
          <w:trHeight w:val="526"/>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INCOME TAX EXPENSE</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75,490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275,197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340,519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493,068</w:t>
            </w:r>
          </w:p>
        </w:tc>
        <w:tc>
          <w:tcPr>
            <w:tcW w:w="0" w:type="dxa"/>
            <w:vAlign w:val="bottom"/>
          </w:tcPr>
          <w:p>
            <w:pPr>
              <w:spacing w:after="0"/>
              <w:rPr>
                <w:sz w:val="1"/>
                <w:szCs w:val="1"/>
                <w:color w:val="auto"/>
              </w:rPr>
            </w:pPr>
          </w:p>
        </w:tc>
      </w:tr>
      <w:tr>
        <w:trPr>
          <w:trHeight w:val="277"/>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176,201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602,627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682,080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1,396,774</w:t>
            </w:r>
          </w:p>
        </w:tc>
        <w:tc>
          <w:tcPr>
            <w:tcW w:w="0" w:type="dxa"/>
            <w:vAlign w:val="bottom"/>
          </w:tcPr>
          <w:p>
            <w:pPr>
              <w:spacing w:after="0"/>
              <w:rPr>
                <w:sz w:val="1"/>
                <w:szCs w:val="1"/>
                <w:color w:val="auto"/>
              </w:rPr>
            </w:pPr>
          </w:p>
        </w:tc>
      </w:tr>
      <w:tr>
        <w:trPr>
          <w:trHeight w:val="608"/>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NON-</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CONTROLLING INTERESTS</w:t>
            </w:r>
          </w:p>
        </w:tc>
        <w:tc>
          <w:tcPr>
            <w:tcW w:w="3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211,524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168,308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479,584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401,364</w:t>
            </w:r>
          </w:p>
        </w:tc>
        <w:tc>
          <w:tcPr>
            <w:tcW w:w="0" w:type="dxa"/>
            <w:vAlign w:val="bottom"/>
          </w:tcPr>
          <w:p>
            <w:pPr>
              <w:spacing w:after="0"/>
              <w:rPr>
                <w:sz w:val="1"/>
                <w:szCs w:val="1"/>
                <w:color w:val="auto"/>
              </w:rPr>
            </w:pPr>
          </w:p>
        </w:tc>
      </w:tr>
      <w:tr>
        <w:trPr>
          <w:trHeight w:val="122"/>
        </w:trPr>
        <w:tc>
          <w:tcPr>
            <w:tcW w:w="50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NET (LOSS) INCOME ATTRIBUTABLE TO NTIC</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(35,323)</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434,319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202,496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995,410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NET (LOSS) INCOME ATTRIBUTABLE TO NTIC</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PER COMMON SHARE:</w:t>
            </w:r>
          </w:p>
        </w:tc>
        <w:tc>
          <w:tcPr>
            <w:tcW w:w="30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(0.00)</w:t>
            </w:r>
          </w:p>
        </w:tc>
        <w:tc>
          <w:tcPr>
            <w:tcW w:w="120" w:type="dxa"/>
            <w:vAlign w:val="bottom"/>
          </w:tcPr>
          <w:p>
            <w:pPr>
              <w:spacing w:after="0"/>
              <w:rPr>
                <w:sz w:val="24"/>
                <w:szCs w:val="24"/>
                <w:color w:val="auto"/>
              </w:rPr>
            </w:pPr>
          </w:p>
        </w:tc>
        <w:tc>
          <w:tcPr>
            <w:tcW w:w="30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0.05</w:t>
            </w:r>
          </w:p>
        </w:tc>
        <w:tc>
          <w:tcPr>
            <w:tcW w:w="100" w:type="dxa"/>
            <w:vAlign w:val="bottom"/>
          </w:tcPr>
          <w:p>
            <w:pPr>
              <w:spacing w:after="0"/>
              <w:rPr>
                <w:sz w:val="24"/>
                <w:szCs w:val="24"/>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4"/>
                <w:szCs w:val="24"/>
                <w:color w:val="auto"/>
              </w:rPr>
            </w:pPr>
          </w:p>
        </w:tc>
        <w:tc>
          <w:tcPr>
            <w:tcW w:w="2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w:t>
            </w:r>
          </w:p>
        </w:tc>
        <w:tc>
          <w:tcPr>
            <w:tcW w:w="0" w:type="dxa"/>
            <w:vAlign w:val="bottom"/>
          </w:tcPr>
          <w:p>
            <w:pPr>
              <w:spacing w:after="0"/>
              <w:rPr>
                <w:sz w:val="1"/>
                <w:szCs w:val="1"/>
                <w:color w:val="auto"/>
              </w:rPr>
            </w:pPr>
          </w:p>
        </w:tc>
      </w:tr>
      <w:tr>
        <w:trPr>
          <w:trHeight w:val="277"/>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Basic</w:t>
            </w:r>
          </w:p>
        </w:tc>
        <w:tc>
          <w:tcPr>
            <w:tcW w:w="300" w:type="dxa"/>
            <w:vAlign w:val="bottom"/>
            <w:tcBorders>
              <w:bottom w:val="single" w:sz="8" w:color="auto"/>
            </w:tcBorders>
            <w:vMerge w:val="continue"/>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vMerge w:val="continue"/>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vMerge w:val="continue"/>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0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060" w:type="dxa"/>
            <w:vAlign w:val="bottom"/>
            <w:vMerge w:val="continue"/>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WEIGHTED AVERAGE COMMON SHARES</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ASSUMED OUTSTANDING:</w:t>
            </w:r>
          </w:p>
        </w:tc>
        <w:tc>
          <w:tcPr>
            <w:tcW w:w="30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9,489,332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9,470,507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9,488,520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9,474,034</w:t>
            </w:r>
          </w:p>
        </w:tc>
        <w:tc>
          <w:tcPr>
            <w:tcW w:w="0" w:type="dxa"/>
            <w:vAlign w:val="bottom"/>
          </w:tcPr>
          <w:p>
            <w:pPr>
              <w:spacing w:after="0"/>
              <w:rPr>
                <w:sz w:val="1"/>
                <w:szCs w:val="1"/>
                <w:color w:val="auto"/>
              </w:rPr>
            </w:pPr>
          </w:p>
        </w:tc>
      </w:tr>
      <w:tr>
        <w:trPr>
          <w:trHeight w:val="272"/>
        </w:trPr>
        <w:tc>
          <w:tcPr>
            <w:tcW w:w="506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Basic</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6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9,489,332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9,753,437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9,509,125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9,757,350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CASH DIVIDENDS DECLARED PER COMMON</w:t>
            </w: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060" w:type="dxa"/>
            <w:vAlign w:val="bottom"/>
            <w:vMerge w:val="continue"/>
          </w:tcPr>
          <w:p>
            <w:pPr>
              <w:spacing w:after="0"/>
              <w:rPr>
                <w:sz w:val="24"/>
                <w:szCs w:val="24"/>
                <w:color w:val="auto"/>
              </w:rPr>
            </w:pPr>
          </w:p>
        </w:tc>
        <w:tc>
          <w:tcPr>
            <w:tcW w:w="30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20" w:type="dxa"/>
            <w:vAlign w:val="bottom"/>
          </w:tcPr>
          <w:p>
            <w:pPr>
              <w:spacing w:after="0"/>
              <w:rPr>
                <w:sz w:val="24"/>
                <w:szCs w:val="24"/>
                <w:color w:val="auto"/>
              </w:rPr>
            </w:pPr>
          </w:p>
        </w:tc>
        <w:tc>
          <w:tcPr>
            <w:tcW w:w="30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0.07</w:t>
            </w:r>
          </w:p>
        </w:tc>
        <w:tc>
          <w:tcPr>
            <w:tcW w:w="100" w:type="dxa"/>
            <w:vAlign w:val="bottom"/>
          </w:tcPr>
          <w:p>
            <w:pPr>
              <w:spacing w:after="0"/>
              <w:rPr>
                <w:sz w:val="24"/>
                <w:szCs w:val="24"/>
                <w:color w:val="auto"/>
              </w:rPr>
            </w:pPr>
          </w:p>
        </w:tc>
        <w:tc>
          <w:tcPr>
            <w:tcW w:w="26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4"/>
                <w:szCs w:val="24"/>
                <w:color w:val="auto"/>
              </w:rPr>
            </w:pPr>
          </w:p>
        </w:tc>
        <w:tc>
          <w:tcPr>
            <w:tcW w:w="26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0.14</w:t>
            </w:r>
          </w:p>
        </w:tc>
        <w:tc>
          <w:tcPr>
            <w:tcW w:w="0" w:type="dxa"/>
            <w:vAlign w:val="bottom"/>
          </w:tcPr>
          <w:p>
            <w:pPr>
              <w:spacing w:after="0"/>
              <w:rPr>
                <w:sz w:val="1"/>
                <w:szCs w:val="1"/>
                <w:color w:val="auto"/>
              </w:rPr>
            </w:pPr>
          </w:p>
        </w:tc>
      </w:tr>
      <w:tr>
        <w:trPr>
          <w:trHeight w:val="262"/>
        </w:trPr>
        <w:tc>
          <w:tcPr>
            <w:tcW w:w="5060" w:type="dxa"/>
            <w:vAlign w:val="bottom"/>
          </w:tcPr>
          <w:p>
            <w:pPr>
              <w:spacing w:after="0"/>
              <w:rPr>
                <w:sz w:val="20"/>
                <w:szCs w:val="20"/>
                <w:color w:val="auto"/>
              </w:rPr>
            </w:pPr>
            <w:r>
              <w:rPr>
                <w:rFonts w:ascii="Times New Roman" w:cs="Times New Roman" w:eastAsia="Times New Roman" w:hAnsi="Times New Roman"/>
                <w:sz w:val="22"/>
                <w:szCs w:val="22"/>
                <w:color w:val="auto"/>
              </w:rPr>
              <w:t>SHARE</w:t>
            </w:r>
          </w:p>
        </w:tc>
        <w:tc>
          <w:tcPr>
            <w:tcW w:w="30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right="2500"/>
        <w:spacing w:after="0" w:line="243" w:lineRule="auto"/>
        <w:rPr>
          <w:sz w:val="20"/>
          <w:szCs w:val="20"/>
          <w:color w:val="auto"/>
        </w:rPr>
      </w:pPr>
      <w:r>
        <w:rPr>
          <w:rFonts w:ascii="Times New Roman" w:cs="Times New Roman" w:eastAsia="Times New Roman" w:hAnsi="Times New Roman"/>
          <w:sz w:val="22"/>
          <w:szCs w:val="22"/>
          <w:b w:val="1"/>
          <w:bCs w:val="1"/>
          <w:color w:val="auto"/>
        </w:rPr>
        <w:t>NORTHERN TECHNOLOGIES INTERNATIONAL CORPORATION AND SUBSIDIARIES RECONCILIATION OF GAAP TO NON-GAAP MEASURES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 IN THOUSANDS, EXCEPT SHARE AND PER SHARE AMOUNTS)</w:t>
      </w:r>
    </w:p>
    <w:p>
      <w:pPr>
        <w:spacing w:after="0" w:line="182"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The accompanying press release contains certain non-GAAP financial measures, including adjusted net income (loss) attributable to NTIC and adjusted net income (loss) attributable to NTIC per diluted share, which are not calculated or presented in accordance with accounting principles generally accepted in the United States (GAAP). These non-GAAP financial measures are supplemental information and in addition to the financial measures presented in the accompanying release that are calculated and presented in accordance with GAAP. NTIC uses non-GAAP financial measures as supplemental measures of performance and believes these measures facilitate operating performance comparisons from period to period and company to company by factoring out potential differences caused by non-recurring, unusual or infrequent charges not related to NTIC’s regular, ongoing business. NTIC also believes that the presentation of certain non-GAAP financial measures provides useful information to investors in evaluating the company’s operations, period over period. Such non-GAAP financial measures should not be considered superior to, as a substitute for, or as an alternative to, and should be considered in conjunction with, the GAAP financial measures presented in the release. The non-GAAP financial measures in the accompanying release may differ from similar measures used by other companies.</w:t>
      </w:r>
    </w:p>
    <w:p>
      <w:pPr>
        <w:spacing w:after="0" w:line="18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following is a reconciliation of NTIC’s reported net income (loss) attributable to NTIC and reported net income (loss) attributable to NTIC per diluted common share to adjusted net income (loss) attributable to NTIC and adjusted net income (loss) attributable to NTIC per diluted common share, in each case, as adjusted to exclude the contribution from the receipt of an ERC payment and amortization expense.</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20" w:type="dxa"/>
            <w:vAlign w:val="bottom"/>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200" w:type="dxa"/>
            <w:vAlign w:val="bottom"/>
          </w:tcPr>
          <w:p>
            <w:pPr>
              <w:spacing w:after="0"/>
              <w:rPr>
                <w:sz w:val="21"/>
                <w:szCs w:val="21"/>
                <w:color w:val="auto"/>
              </w:rPr>
            </w:pPr>
          </w:p>
        </w:tc>
        <w:tc>
          <w:tcPr>
            <w:tcW w:w="2860" w:type="dxa"/>
            <w:vAlign w:val="bottom"/>
            <w:gridSpan w:val="5"/>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Six Months Ended February</w:t>
            </w:r>
          </w:p>
        </w:tc>
      </w:tr>
      <w:tr>
        <w:trPr>
          <w:trHeight w:val="287"/>
        </w:trPr>
        <w:tc>
          <w:tcPr>
            <w:tcW w:w="49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8"/>
              </w:rPr>
              <w:t>February 28,</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28,</w:t>
            </w:r>
          </w:p>
        </w:tc>
        <w:tc>
          <w:tcPr>
            <w:tcW w:w="1180" w:type="dxa"/>
            <w:vAlign w:val="bottom"/>
            <w:tcBorders>
              <w:bottom w:val="single" w:sz="8" w:color="auto"/>
            </w:tcBorders>
          </w:tcPr>
          <w:p>
            <w:pPr>
              <w:spacing w:after="0"/>
              <w:rPr>
                <w:sz w:val="24"/>
                <w:szCs w:val="24"/>
                <w:color w:val="auto"/>
              </w:rPr>
            </w:pPr>
          </w:p>
        </w:tc>
      </w:tr>
      <w:tr>
        <w:trPr>
          <w:trHeight w:val="264"/>
        </w:trPr>
        <w:tc>
          <w:tcPr>
            <w:tcW w:w="49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2026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50"/>
        </w:trPr>
        <w:tc>
          <w:tcPr>
            <w:tcW w:w="4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income (loss), as reported</w:t>
            </w:r>
          </w:p>
        </w:tc>
        <w:tc>
          <w:tcPr>
            <w:tcW w:w="400" w:type="dxa"/>
            <w:vAlign w:val="bottom"/>
          </w:tcPr>
          <w:p>
            <w:pPr>
              <w:jc w:val="right"/>
              <w:ind w:right="9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(35,323)</w:t>
            </w:r>
          </w:p>
        </w:tc>
        <w:tc>
          <w:tcPr>
            <w:tcW w:w="100" w:type="dxa"/>
            <w:vAlign w:val="bottom"/>
          </w:tcPr>
          <w:p>
            <w:pPr>
              <w:spacing w:after="0"/>
              <w:rPr>
                <w:sz w:val="21"/>
                <w:szCs w:val="21"/>
                <w:color w:val="auto"/>
              </w:rPr>
            </w:pPr>
          </w:p>
        </w:tc>
        <w:tc>
          <w:tcPr>
            <w:tcW w:w="280" w:type="dxa"/>
            <w:vAlign w:val="bottom"/>
          </w:tcPr>
          <w:p>
            <w:pPr>
              <w:jc w:val="right"/>
              <w:ind w:right="3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434,319</w:t>
            </w:r>
          </w:p>
        </w:tc>
        <w:tc>
          <w:tcPr>
            <w:tcW w:w="100" w:type="dxa"/>
            <w:vAlign w:val="bottom"/>
          </w:tcPr>
          <w:p>
            <w:pPr>
              <w:spacing w:after="0"/>
              <w:rPr>
                <w:sz w:val="21"/>
                <w:szCs w:val="21"/>
                <w:color w:val="auto"/>
              </w:rPr>
            </w:pPr>
          </w:p>
        </w:tc>
        <w:tc>
          <w:tcPr>
            <w:tcW w:w="20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202,496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52"/>
              <w:spacing w:after="0" w:line="24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Pr>
          <w:p>
            <w:pPr>
              <w:jc w:val="right"/>
              <w:spacing w:after="0" w:line="249" w:lineRule="exact"/>
              <w:rPr>
                <w:sz w:val="20"/>
                <w:szCs w:val="20"/>
                <w:color w:val="auto"/>
              </w:rPr>
            </w:pPr>
            <w:r>
              <w:rPr>
                <w:rFonts w:ascii="Times New Roman" w:cs="Times New Roman" w:eastAsia="Times New Roman" w:hAnsi="Times New Roman"/>
                <w:sz w:val="22"/>
                <w:szCs w:val="22"/>
                <w:color w:val="auto"/>
              </w:rPr>
              <w:t>995,410</w:t>
            </w:r>
          </w:p>
        </w:tc>
      </w:tr>
      <w:tr>
        <w:trPr>
          <w:trHeight w:val="270"/>
        </w:trPr>
        <w:tc>
          <w:tcPr>
            <w:tcW w:w="4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for adjusted net income (loss):</w:t>
            </w: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4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income from ERC</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(1,139,756)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(1,139,756)</w:t>
            </w:r>
          </w:p>
        </w:tc>
      </w:tr>
      <w:tr>
        <w:trPr>
          <w:trHeight w:val="270"/>
        </w:trPr>
        <w:tc>
          <w:tcPr>
            <w:tcW w:w="4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Bonus expense impact from ERC</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300,000</w:t>
            </w:r>
          </w:p>
        </w:tc>
      </w:tr>
      <w:tr>
        <w:trPr>
          <w:trHeight w:val="282"/>
        </w:trPr>
        <w:tc>
          <w:tcPr>
            <w:tcW w:w="49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Amortization expense</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105,783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105,783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211,566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211,566</w:t>
            </w:r>
          </w:p>
        </w:tc>
      </w:tr>
    </w:tbl>
    <w:p>
      <w:pPr>
        <w:sectPr>
          <w:pgSz w:w="11900" w:h="16838" w:orient="portrait"/>
          <w:cols w:equalWidth="0" w:num="1">
            <w:col w:w="11240"/>
          </w:cols>
          <w:pgMar w:left="320" w:top="111"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Non-GAAP adjusted net income (loss)</w:t>
            </w:r>
          </w:p>
        </w:tc>
        <w:tc>
          <w:tcPr>
            <w:tcW w:w="3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70,460</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(299,654)</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414,062</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367,220</w:t>
            </w:r>
          </w:p>
        </w:tc>
      </w:tr>
      <w:tr>
        <w:trPr>
          <w:trHeight w:val="20"/>
        </w:trPr>
        <w:tc>
          <w:tcPr>
            <w:tcW w:w="4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shares outstanding (diluted)</w:t>
            </w: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9,489,332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9,753,437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9,509,125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9,757,350</w:t>
            </w:r>
          </w:p>
        </w:tc>
      </w:tr>
      <w:tr>
        <w:trPr>
          <w:trHeight w:val="270"/>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Diluted net income (loss) per share, as reported</w:t>
            </w:r>
          </w:p>
        </w:tc>
        <w:tc>
          <w:tcPr>
            <w:tcW w:w="3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w:t>
            </w:r>
          </w:p>
        </w:tc>
      </w:tr>
      <w:tr>
        <w:trPr>
          <w:trHeight w:val="252"/>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Adjustments for adjusted net income (loss), net of tax</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29"/>
        </w:trPr>
        <w:tc>
          <w:tcPr>
            <w:tcW w:w="4940" w:type="dxa"/>
            <w:vAlign w:val="bottom"/>
          </w:tcPr>
          <w:p>
            <w:pPr>
              <w:spacing w:after="0" w:line="329" w:lineRule="exact"/>
              <w:rPr>
                <w:sz w:val="20"/>
                <w:szCs w:val="20"/>
                <w:color w:val="auto"/>
              </w:rPr>
            </w:pPr>
            <w:r>
              <w:rPr>
                <w:rFonts w:ascii="Times New Roman" w:cs="Times New Roman" w:eastAsia="Times New Roman" w:hAnsi="Times New Roman"/>
                <w:sz w:val="22"/>
                <w:szCs w:val="22"/>
                <w:color w:val="auto"/>
              </w:rPr>
              <w:t>impact, per diluted share</w:t>
            </w:r>
            <w:r>
              <w:rPr>
                <w:rFonts w:ascii="Times New Roman" w:cs="Times New Roman" w:eastAsia="Times New Roman" w:hAnsi="Times New Roman"/>
                <w:sz w:val="35"/>
                <w:szCs w:val="35"/>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(0.06)</w:t>
            </w:r>
          </w:p>
        </w:tc>
      </w:tr>
      <w:tr>
        <w:trPr>
          <w:trHeight w:val="263"/>
        </w:trPr>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w w:val="99"/>
              </w:rPr>
              <w:t>Non-GAAP adjusted net income (loss) per diluted share</w:t>
            </w:r>
          </w:p>
        </w:tc>
        <w:tc>
          <w:tcPr>
            <w:tcW w:w="3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0.04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0.04</w:t>
            </w:r>
          </w:p>
        </w:tc>
      </w:tr>
      <w:tr>
        <w:trPr>
          <w:trHeight w:val="20"/>
        </w:trPr>
        <w:tc>
          <w:tcPr>
            <w:tcW w:w="4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and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Matthew Wolsfeld, CFO</w:t>
      </w:r>
    </w:p>
    <w:p>
      <w:pPr>
        <w:spacing w:after="0" w:line="230" w:lineRule="auto"/>
        <w:rPr>
          <w:sz w:val="20"/>
          <w:szCs w:val="20"/>
          <w:color w:val="auto"/>
        </w:rPr>
      </w:pPr>
      <w:r>
        <w:rPr>
          <w:rFonts w:ascii="Times New Roman" w:cs="Times New Roman" w:eastAsia="Times New Roman" w:hAnsi="Times New Roman"/>
          <w:sz w:val="22"/>
          <w:szCs w:val="22"/>
          <w:color w:val="auto"/>
        </w:rPr>
        <w:t>NTIC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(763) 225-6600</w:t>
      </w:r>
    </w:p>
    <w:sectPr>
      <w:pgSz w:w="11900" w:h="16838" w:orient="portrait"/>
      <w:cols w:equalWidth="0" w:num="1">
        <w:col w:w="11240"/>
      </w:cols>
      <w:pgMar w:left="320" w:top="3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2026-04-09T07:03:34Z</dcterms:created>
  <dcterms:modified xsi:type="dcterms:W3CDTF">2026-04-09T07:03:34Z</dcterms:modified>
</cp:coreProperties>
</file>