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line="23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quarterly period ended November 30, 2015</w:t>
      </w:r>
    </w:p>
    <w:p>
      <w:pPr>
        <w:spacing w:after="0" w:line="220" w:lineRule="exact"/>
        <w:rPr>
          <w:sz w:val="24"/>
          <w:szCs w:val="24"/>
          <w:color w:val="auto"/>
        </w:rPr>
      </w:pPr>
    </w:p>
    <w:p>
      <w:pPr>
        <w:ind w:left="2960" w:right="2000" w:hanging="2952"/>
        <w:spacing w:after="0" w:line="536" w:lineRule="auto"/>
        <w:tabs>
          <w:tab w:leader="none" w:pos="22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 to __________________.</w:t>
      </w:r>
    </w:p>
    <w:p>
      <w:pPr>
        <w:jc w:val="center"/>
        <w:ind w:right="-39"/>
        <w:spacing w:after="0"/>
        <w:rPr>
          <w:sz w:val="20"/>
          <w:szCs w:val="20"/>
          <w:color w:val="auto"/>
        </w:rPr>
      </w:pPr>
      <w:r>
        <w:rPr>
          <w:rFonts w:ascii="Arial" w:cs="Arial" w:eastAsia="Arial" w:hAnsi="Arial"/>
          <w:sz w:val="20"/>
          <w:szCs w:val="20"/>
          <w:b w:val="1"/>
          <w:bCs w:val="1"/>
          <w:color w:val="auto"/>
        </w:rPr>
        <w:t>Commission File Number: 001-11038</w:t>
      </w:r>
    </w:p>
    <w:p>
      <w:pPr>
        <w:spacing w:after="0" w:line="24"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80"/>
          </w:cols>
          <w:pgMar w:left="240" w:top="346" w:right="279" w:bottom="1440" w:gutter="0" w:footer="0" w:header="0"/>
        </w:sectPr>
      </w:pPr>
    </w:p>
    <w:p>
      <w:pPr>
        <w:spacing w:after="0" w:line="208"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41-0857886</w:t>
      </w:r>
    </w:p>
    <w:p>
      <w:pPr>
        <w:spacing w:after="0" w:line="71" w:lineRule="exact"/>
        <w:rPr>
          <w:sz w:val="24"/>
          <w:szCs w:val="24"/>
          <w:color w:val="auto"/>
        </w:rPr>
      </w:pPr>
    </w:p>
    <w:p>
      <w:pPr>
        <w:sectPr>
          <w:pgSz w:w="11900" w:h="16838" w:orient="portrait"/>
          <w:cols w:equalWidth="0" w:num="2">
            <w:col w:w="7380" w:space="720"/>
            <w:col w:w="3280"/>
          </w:cols>
          <w:pgMar w:left="240" w:top="346" w:right="27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680" w:space="720"/>
            <w:col w:w="3980"/>
          </w:cols>
          <w:pgMar w:left="240" w:top="346" w:right="279" w:bottom="1440" w:gutter="0" w:footer="0" w:header="0"/>
          <w:type w:val="continuous"/>
        </w:sectPr>
      </w:pP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4201 Woodland Road</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P.O. Box 69</w:t>
      </w:r>
    </w:p>
    <w:p>
      <w:pPr>
        <w:jc w:val="center"/>
        <w:ind w:right="-59"/>
        <w:spacing w:after="0"/>
        <w:rPr>
          <w:sz w:val="20"/>
          <w:szCs w:val="20"/>
          <w:color w:val="auto"/>
        </w:rPr>
      </w:pPr>
      <w:r>
        <w:rPr>
          <w:rFonts w:ascii="Arial" w:cs="Arial" w:eastAsia="Arial" w:hAnsi="Arial"/>
          <w:sz w:val="20"/>
          <w:szCs w:val="20"/>
          <w:b w:val="1"/>
          <w:bCs w:val="1"/>
          <w:color w:val="auto"/>
        </w:rPr>
        <w:t>Circle Pines, Minnesota 55014</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(763) 225-6600</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216"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346" w:right="279" w:bottom="1440" w:gutter="0" w:footer="0" w:header="0"/>
          <w:type w:val="continuous"/>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(Do not check if a 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3">
            <w:col w:w="7060" w:space="720"/>
            <w:col w:w="1960" w:space="100"/>
            <w:col w:w="1540"/>
          </w:cols>
          <w:pgMar w:left="240" w:top="346" w:right="279"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10, 2016, there were 4,538,317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0"/>
          <w:szCs w:val="20"/>
          <w:b w:val="1"/>
          <w:bCs w:val="1"/>
          <w:color w:val="auto"/>
        </w:rPr>
        <w:t>NORTHERN TECHNOLOGIES INTERNATIONAL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FORM 10-Q</w:t>
      </w:r>
    </w:p>
    <w:p>
      <w:pPr>
        <w:jc w:val="center"/>
        <w:ind w:right="-59"/>
        <w:spacing w:after="0"/>
        <w:rPr>
          <w:sz w:val="20"/>
          <w:szCs w:val="20"/>
          <w:color w:val="auto"/>
        </w:rPr>
      </w:pPr>
      <w:r>
        <w:rPr>
          <w:rFonts w:ascii="Arial" w:cs="Arial" w:eastAsia="Arial" w:hAnsi="Arial"/>
          <w:sz w:val="20"/>
          <w:szCs w:val="20"/>
          <w:b w:val="1"/>
          <w:bCs w:val="1"/>
          <w:color w:val="auto"/>
        </w:rPr>
        <w:t>November 30, 2015</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TABLE OF CONTENTS</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00" w:type="dxa"/>
            <w:vAlign w:val="bottom"/>
            <w:gridSpan w:val="4"/>
          </w:tcPr>
          <w:p>
            <w:pPr>
              <w:spacing w:after="0"/>
              <w:rPr>
                <w:sz w:val="20"/>
                <w:szCs w:val="20"/>
                <w:color w:val="auto"/>
              </w:rPr>
            </w:pPr>
            <w:r>
              <w:rPr>
                <w:rFonts w:ascii="Arial" w:cs="Arial" w:eastAsia="Arial" w:hAnsi="Arial"/>
                <w:sz w:val="18"/>
                <w:szCs w:val="18"/>
                <w:b w:val="1"/>
                <w:bCs w:val="1"/>
                <w:color w:val="auto"/>
                <w:w w:val="88"/>
              </w:rPr>
              <w:t>Description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304"/>
        </w:trPr>
        <w:tc>
          <w:tcPr>
            <w:tcW w:w="640" w:type="dxa"/>
            <w:vAlign w:val="bottom"/>
            <w:tcBorders>
              <w:top w:val="single" w:sz="8" w:color="auto"/>
            </w:tcBorders>
            <w:gridSpan w:val="3"/>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PART I.</w:t>
              </w:r>
            </w:hyperlink>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November 30, 2015 (unaudited) and August 31, 2015</w:t>
              </w:r>
            </w:hyperlink>
          </w:p>
        </w:tc>
        <w:tc>
          <w:tcPr>
            <w:tcW w:w="660" w:type="dxa"/>
            <w:vAlign w:val="bottom"/>
            <w:gridSpan w:val="6"/>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for the Three Months Ended November 30, 2015 and 2014</w:t>
              </w:r>
            </w:hyperlink>
          </w:p>
        </w:tc>
        <w:tc>
          <w:tcPr>
            <w:tcW w:w="660" w:type="dxa"/>
            <w:vAlign w:val="bottom"/>
            <w:gridSpan w:val="6"/>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0" w:type="dxa"/>
            <w:vAlign w:val="bottom"/>
            <w:gridSpan w:val="1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(Loss) (unaudited) for the Three Months Ended November 30, 2015 and 2014</w:t>
              </w:r>
            </w:hyperlink>
          </w:p>
        </w:tc>
        <w:tc>
          <w:tcPr>
            <w:tcW w:w="240" w:type="dxa"/>
            <w:vAlign w:val="bottom"/>
          </w:tcPr>
          <w:p>
            <w:pPr>
              <w:spacing w:after="0"/>
              <w:rPr>
                <w:sz w:val="24"/>
                <w:szCs w:val="24"/>
                <w:color w:val="auto"/>
              </w:rPr>
            </w:pPr>
          </w:p>
        </w:tc>
        <w:tc>
          <w:tcPr>
            <w:tcW w:w="660" w:type="dxa"/>
            <w:vAlign w:val="bottom"/>
            <w:gridSpan w:val="6"/>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17"/>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(unaudited) for the Three Months Ended November 30, 2015 and 2014</w:t>
              </w:r>
            </w:hyperlink>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6"/>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620" w:type="dxa"/>
            <w:vAlign w:val="bottom"/>
            <w:gridSpan w:val="2"/>
          </w:tcPr>
          <w:p>
            <w:pPr>
              <w:spacing w:after="0"/>
              <w:rPr>
                <w:sz w:val="24"/>
                <w:szCs w:val="24"/>
                <w:color w:val="auto"/>
              </w:rPr>
            </w:pPr>
          </w:p>
        </w:tc>
        <w:tc>
          <w:tcPr>
            <w:tcW w:w="660" w:type="dxa"/>
            <w:vAlign w:val="bottom"/>
            <w:gridSpan w:val="6"/>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5-14</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2.</w:t>
              </w:r>
            </w:hyperlink>
          </w:p>
        </w:tc>
        <w:tc>
          <w:tcPr>
            <w:tcW w:w="460" w:type="dxa"/>
            <w:vAlign w:val="bottom"/>
            <w:gridSpan w:val="3"/>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6"/>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15-27</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460" w:type="dxa"/>
            <w:vAlign w:val="bottom"/>
            <w:gridSpan w:val="3"/>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660" w:type="dxa"/>
            <w:vAlign w:val="bottom"/>
            <w:gridSpan w:val="6"/>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20" w:type="dxa"/>
            <w:vAlign w:val="bottom"/>
          </w:tcPr>
          <w:p>
            <w:pPr>
              <w:spacing w:after="0"/>
              <w:rPr>
                <w:sz w:val="24"/>
                <w:szCs w:val="24"/>
                <w:color w:val="auto"/>
              </w:rPr>
            </w:pPr>
          </w:p>
        </w:tc>
        <w:tc>
          <w:tcPr>
            <w:tcW w:w="460" w:type="dxa"/>
            <w:vAlign w:val="bottom"/>
            <w:gridSpan w:val="3"/>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660" w:type="dxa"/>
            <w:vAlign w:val="bottom"/>
            <w:gridSpan w:val="6"/>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1000" w:type="dxa"/>
            <w:vAlign w:val="bottom"/>
            <w:gridSpan w:val="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9640" w:type="dxa"/>
            <w:vAlign w:val="bottom"/>
            <w:gridSpan w:val="19"/>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1.</w:t>
              </w:r>
            </w:hyperlink>
          </w:p>
        </w:tc>
        <w:tc>
          <w:tcPr>
            <w:tcW w:w="10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60" w:type="dxa"/>
            <w:vAlign w:val="bottom"/>
            <w:gridSpan w:val="6"/>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100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964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660" w:type="dxa"/>
            <w:vAlign w:val="bottom"/>
            <w:gridSpan w:val="6"/>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660" w:type="dxa"/>
            <w:vAlign w:val="bottom"/>
            <w:gridSpan w:val="6"/>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3.</w:t>
              </w:r>
            </w:hyperlink>
          </w:p>
        </w:tc>
        <w:tc>
          <w:tcPr>
            <w:tcW w:w="460" w:type="dxa"/>
            <w:vAlign w:val="bottom"/>
            <w:gridSpan w:val="3"/>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660" w:type="dxa"/>
            <w:vAlign w:val="bottom"/>
            <w:gridSpan w:val="6"/>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7320" w:type="dxa"/>
            <w:vAlign w:val="bottom"/>
            <w:gridSpan w:val="1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4.</w:t>
              </w:r>
            </w:hyperlink>
          </w:p>
        </w:tc>
        <w:tc>
          <w:tcPr>
            <w:tcW w:w="460" w:type="dxa"/>
            <w:vAlign w:val="bottom"/>
            <w:gridSpan w:val="3"/>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660" w:type="dxa"/>
            <w:vAlign w:val="bottom"/>
            <w:gridSpan w:val="6"/>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860" w:type="dxa"/>
            <w:vAlign w:val="bottom"/>
            <w:gridSpan w:val="1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5.</w:t>
              </w:r>
            </w:hyperlink>
          </w:p>
        </w:tc>
        <w:tc>
          <w:tcPr>
            <w:tcW w:w="460" w:type="dxa"/>
            <w:vAlign w:val="bottom"/>
            <w:gridSpan w:val="3"/>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660" w:type="dxa"/>
            <w:vAlign w:val="bottom"/>
            <w:gridSpan w:val="6"/>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320" w:type="dxa"/>
            <w:vAlign w:val="bottom"/>
            <w:gridSpan w:val="1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6.</w:t>
              </w:r>
            </w:hyperlink>
          </w:p>
        </w:tc>
        <w:tc>
          <w:tcPr>
            <w:tcW w:w="460" w:type="dxa"/>
            <w:vAlign w:val="bottom"/>
            <w:gridSpan w:val="3"/>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60" w:type="dxa"/>
            <w:vAlign w:val="bottom"/>
            <w:gridSpan w:val="6"/>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9020" w:type="dxa"/>
            <w:vAlign w:val="bottom"/>
            <w:gridSpan w:val="16"/>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1620" w:type="dxa"/>
            <w:vAlign w:val="bottom"/>
            <w:tcBorders>
              <w:bottom w:val="single" w:sz="8" w:color="0000EE"/>
            </w:tcBorders>
            <w:gridSpan w:val="8"/>
          </w:tcPr>
          <w:p>
            <w:pPr>
              <w:spacing w:after="0"/>
              <w:rPr>
                <w:rFonts w:ascii="Arial" w:cs="Arial" w:eastAsia="Arial" w:hAnsi="Arial"/>
                <w:sz w:val="18"/>
                <w:szCs w:val="18"/>
                <w:b w:val="1"/>
                <w:bCs w:val="1"/>
                <w:color w:val="0000EE"/>
                <w:w w:val="97"/>
              </w:rPr>
            </w:pPr>
            <w:hyperlink w:anchor="page35">
              <w:r>
                <w:rPr>
                  <w:rFonts w:ascii="Arial" w:cs="Arial" w:eastAsia="Arial" w:hAnsi="Arial"/>
                  <w:sz w:val="18"/>
                  <w:szCs w:val="18"/>
                  <w:b w:val="1"/>
                  <w:bCs w:val="1"/>
                  <w:color w:val="0000EE"/>
                  <w:w w:val="97"/>
                </w:rPr>
                <w:t>SIGNATURE PAGE</w:t>
              </w:r>
            </w:hyperlink>
          </w:p>
        </w:tc>
        <w:tc>
          <w:tcPr>
            <w:tcW w:w="9020" w:type="dxa"/>
            <w:vAlign w:val="bottom"/>
            <w:gridSpan w:val="16"/>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r>
      <w:tr>
        <w:trPr>
          <w:trHeight w:val="304"/>
        </w:trPr>
        <w:tc>
          <w:tcPr>
            <w:tcW w:w="140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EXHIBIT INDEX</w:t>
              </w:r>
            </w:hyperlink>
          </w:p>
        </w:tc>
        <w:tc>
          <w:tcPr>
            <w:tcW w:w="9240" w:type="dxa"/>
            <w:vAlign w:val="bottom"/>
            <w:gridSpan w:val="17"/>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r>
    </w:tbl>
    <w:p>
      <w:pPr>
        <w:spacing w:after="0" w:line="28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wholly-owned subsidiaries, NTIC (Shanghai) Co., Ltd., NTI Facilities, Inc. and Northern Technologies Holding Company, LLC, and its majority-owned subsidiaries, Zerust Prevenção de Corrosão S.A., NTI Asean LLC and Natur-Tec India Private Limited, all of which are consolidated on NTIC’s consolidated financial statements.</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(1) NTIC’s majority-owned Brazilian subsidiary, Zerust Prevenção de Corrosão S.A.; (2) NTIC’s majority-owned subsidiary, NTI Asean LLC, which is a holding company that holds investments in eight entities that operate in the Association of Southeast Asian Nations (ASEAN) region, including the following countries: China (although the joint venture agreements for the Chinese joint venture were terminated as of December 31, 2014 and liquidation of this joint venture is anticipated), Indonesia, Korea, Malaysia, Philippines, Singapore, Taiwan and Thailand; or (3) NTIC’s majority-owned subsidiary, Natur-Tec India Private Limited, in India.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majority-owned Brazilian subsidiary, Zerust Prevenção de Corrosão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 Asean” refer to NTIC’s majority-owned holding company subsidiary, NTI Asean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“Natur-Tec India” refer to NTIC’s majority-owned subsidiary in India, Natur-Tec India Private Limited.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“NTIC China” refer to NTIC’s wholly-owned subsidiary in China, NTIC (Shanghai)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92" w:right="37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9" w:lineRule="exact"/>
        <w:rPr>
          <w:sz w:val="20"/>
          <w:szCs w:val="20"/>
          <w:color w:val="auto"/>
        </w:rPr>
      </w:pPr>
    </w:p>
    <w:p>
      <w:pPr>
        <w:ind w:right="3420"/>
        <w:spacing w:after="0" w:line="253" w:lineRule="auto"/>
        <w:rPr>
          <w:sz w:val="20"/>
          <w:szCs w:val="20"/>
          <w:color w:val="auto"/>
        </w:rPr>
      </w:pPr>
      <w:r>
        <w:rPr>
          <w:rFonts w:ascii="Arial" w:cs="Arial" w:eastAsia="Arial" w:hAnsi="Arial"/>
          <w:sz w:val="20"/>
          <w:szCs w:val="20"/>
          <w:b w:val="1"/>
          <w:bCs w:val="1"/>
          <w:color w:val="auto"/>
        </w:rPr>
        <w:t>NORTHERN TECHNOLOGIES INTERNATIONAL CORPORATION AND SUBSIDIARIES CONSOLIDATED BALANCE SHEETS AS OF NOVEMBER 30, 2015 (UNAUDITED) AND AUGUST 31, 2015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798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November 30, 2015</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3,072,015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528,867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2,027,441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520"/>
              <w:spacing w:after="0" w:line="201" w:lineRule="exact"/>
              <w:rPr>
                <w:sz w:val="20"/>
                <w:szCs w:val="20"/>
                <w:color w:val="auto"/>
              </w:rPr>
            </w:pPr>
            <w:r>
              <w:rPr>
                <w:rFonts w:ascii="Arial" w:cs="Arial" w:eastAsia="Arial" w:hAnsi="Arial"/>
                <w:sz w:val="18"/>
                <w:szCs w:val="18"/>
                <w:color w:val="auto"/>
                <w:w w:val="96"/>
              </w:rPr>
              <w:t>Trade excluding joint ventures, less allowance for doubtful accounts of $40,000 at November 30,</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2015 and August 31, 2015</w:t>
            </w:r>
          </w:p>
        </w:tc>
        <w:tc>
          <w:tcPr>
            <w:tcW w:w="4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3,637,387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4,027,167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599,616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1,496,054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1,449,162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323,817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7,628,754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7,468,441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573,018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424,108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18,283,636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19,275,612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7,394,484</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7,293,163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Investments in joint ventures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20,369,002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20,544,238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at carrying value (Note 6)</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1,883,668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1,175,928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1,176,012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1,245,060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240,913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24,914,571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24,996,873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50,592,691</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51,565,648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2,324,787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2,101,175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Payroll and related benefits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768,783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1,056,257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433,938</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3,527,508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3,671,841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COMMITMENTS AND CONTINGENCIES (Note 13)</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EQUITY:</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340"/>
              <w:spacing w:after="0" w:line="201" w:lineRule="exact"/>
              <w:rPr>
                <w:sz w:val="20"/>
                <w:szCs w:val="20"/>
                <w:color w:val="auto"/>
              </w:rPr>
            </w:pPr>
            <w:r>
              <w:rPr>
                <w:rFonts w:ascii="Arial" w:cs="Arial" w:eastAsia="Arial" w:hAnsi="Arial"/>
                <w:sz w:val="18"/>
                <w:szCs w:val="18"/>
                <w:color w:val="auto"/>
                <w:w w:val="97"/>
              </w:rPr>
              <w:t>Common stock, $0.02 par value per share; authorized 10,000,000 shares; issued and outstanding</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4,538,317 and 4,539,045, respectively</w:t>
            </w:r>
          </w:p>
        </w:tc>
        <w:tc>
          <w:tcPr>
            <w:tcW w:w="4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90,766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13,550,424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13,441,264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34,288,520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34,522,871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(4,049,004)</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(3,180,811)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43,880,706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44,874,105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3,184,477</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3,019,702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equity</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47,065,183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47,893,807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equity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50,592,691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51,565,648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 w:name="page5"/>
    <w:bookmarkEnd w:id="4"/>
    <w:p>
      <w:pPr>
        <w:ind w:right="3420"/>
        <w:spacing w:after="0" w:line="251" w:lineRule="auto"/>
        <w:rPr>
          <w:sz w:val="20"/>
          <w:szCs w:val="20"/>
          <w:color w:val="auto"/>
        </w:rPr>
      </w:pPr>
      <w:r>
        <w:rPr>
          <w:rFonts w:ascii="Arial" w:cs="Arial" w:eastAsia="Arial" w:hAnsi="Arial"/>
          <w:sz w:val="20"/>
          <w:szCs w:val="20"/>
          <w:b w:val="1"/>
          <w:bCs w:val="1"/>
          <w:color w:val="auto"/>
        </w:rPr>
        <w:t>NORTHERN TECHNOLOGIES INTERNATIONAL CORPORATION AND SUBSIDIARIES CONSOLIDATED STATEMENTS OF OPERATIONS (UNAUDITED) FOR THE THREE MONTHS ENDED NOVEMBER 30, 2015 AND 2014</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98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November 30, 2015</w:t>
            </w:r>
          </w:p>
        </w:tc>
        <w:tc>
          <w:tcPr>
            <w:tcW w:w="2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6,501,410</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6,480,991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523,027</w:t>
            </w:r>
          </w:p>
        </w:tc>
        <w:tc>
          <w:tcPr>
            <w:tcW w:w="2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733,104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7,024,437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7,214,095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4,875,423</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4,806,611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2,149,014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2,407,484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Equity in income of joint ventures</w:t>
            </w: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983,753</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1,606,683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1,485,429</w:t>
            </w:r>
          </w:p>
        </w:tc>
        <w:tc>
          <w:tcPr>
            <w:tcW w:w="2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2,133,670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Total joint venture operations</w:t>
            </w: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2,469,182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3,740,353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1,525,083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1,394,887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1,857,613</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1,538,262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 incurred in support of joint ventures</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316,994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1,004,097</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1,049,913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4,703,787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4,510,179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1,637,658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14,173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(LOSS) INCOME BEFORE INCOME TAX EXPENSE</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(76,144)</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1,647,780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183,684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(LOSS) INCOME</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(72,642)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1,464,096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161,709</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455,831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(LOSS) INCOME ATTRIBUTABLE TO NTIC</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(234,351)</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1,008,265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(LOSS) INCOME ATTRIBUTABLE TO NTIC PER COMMON SHARE:</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940" w:type="dxa"/>
            <w:vAlign w:val="bottom"/>
            <w:gridSpan w:val="2"/>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4,538,371</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4,518,973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4,538,371</w:t>
            </w:r>
          </w:p>
        </w:tc>
        <w:tc>
          <w:tcPr>
            <w:tcW w:w="2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2"/>
              </w:rPr>
              <w:t>4,659,621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ind w:right="3420"/>
        <w:spacing w:after="0" w:line="251" w:lineRule="auto"/>
        <w:rPr>
          <w:sz w:val="20"/>
          <w:szCs w:val="20"/>
          <w:color w:val="auto"/>
        </w:rPr>
      </w:pPr>
      <w:r>
        <w:rPr>
          <w:rFonts w:ascii="Arial" w:cs="Arial" w:eastAsia="Arial" w:hAnsi="Arial"/>
          <w:sz w:val="20"/>
          <w:szCs w:val="20"/>
          <w:b w:val="1"/>
          <w:bCs w:val="1"/>
          <w:color w:val="auto"/>
        </w:rPr>
        <w:t>NORTHERN TECHNOLOGIES INTERNATIONAL CORPORATION AND SUBSIDIARIES CONSOLIDATED STATEMENTS OF COMPRENSIVE INCOME (LOSS) (UNAUDITED) FOR THE THREE MONTHS ENDED NOVEMBER 30, 2015 AND 2014</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240" w:type="dxa"/>
            <w:vAlign w:val="bottom"/>
            <w:tcBorders>
              <w:top w:val="single" w:sz="8" w:color="auto"/>
              <w:bottom w:val="single" w:sz="8" w:color="auto"/>
            </w:tcBorders>
            <w:gridSpan w:val="5"/>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November 30,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(72,642)</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1,464,096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rPr>
              <w:t>OTHER COMPREHENSIVE (LOSS) INCOME – FOREIGN CURRENCY TRANSLATION</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ADJUSTMENT</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(865,128)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(1,276,216)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(937,770)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187,880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164,775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COMPREHENSIVE (LOSS) INCOME ATTRIBUTABLE TO NTIC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(1,102,545)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ind w:right="3420"/>
        <w:spacing w:after="0" w:line="251" w:lineRule="auto"/>
        <w:rPr>
          <w:sz w:val="20"/>
          <w:szCs w:val="20"/>
          <w:color w:val="auto"/>
        </w:rPr>
      </w:pPr>
      <w:r>
        <w:rPr>
          <w:rFonts w:ascii="Arial" w:cs="Arial" w:eastAsia="Arial" w:hAnsi="Arial"/>
          <w:sz w:val="20"/>
          <w:szCs w:val="20"/>
          <w:b w:val="1"/>
          <w:bCs w:val="1"/>
          <w:color w:val="auto"/>
        </w:rPr>
        <w:t>NORTHERN TECHNOLOGIES INTERNATIONAL CORPORATION AND SUBSIDIARIES CONSOLIDATED STATEMENTS OF CASH FLOWS (UNAUDITED) THREE MONTHS ENDED NOVEMBER 30, 2015 AND 2014</w:t>
      </w: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9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240" w:type="dxa"/>
            <w:vAlign w:val="bottom"/>
            <w:tcBorders>
              <w:top w:val="single" w:sz="8" w:color="auto"/>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(72,642)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1,464,096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121,854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159,048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Amortization expense</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29,758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Equity in income from joint ventures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(983,753)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(1,606,683)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320,786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600"/>
              <w:spacing w:after="0"/>
              <w:rPr>
                <w:sz w:val="20"/>
                <w:szCs w:val="20"/>
                <w:color w:val="auto"/>
              </w:rPr>
            </w:pPr>
            <w:r>
              <w:rPr>
                <w:rFonts w:ascii="Arial" w:cs="Arial" w:eastAsia="Arial" w:hAnsi="Arial"/>
                <w:sz w:val="18"/>
                <w:szCs w:val="18"/>
                <w:color w:val="auto"/>
              </w:rPr>
              <w:t>Trade, excluding joint ventures</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363,381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Trade, joint ventures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600"/>
              <w:spacing w:after="0"/>
              <w:rPr>
                <w:sz w:val="20"/>
                <w:szCs w:val="20"/>
                <w:color w:val="auto"/>
              </w:rPr>
            </w:pPr>
            <w:r>
              <w:rPr>
                <w:rFonts w:ascii="Arial" w:cs="Arial" w:eastAsia="Arial" w:hAnsi="Arial"/>
                <w:sz w:val="18"/>
                <w:szCs w:val="18"/>
                <w:color w:val="auto"/>
              </w:rPr>
              <w:t>Fees for services provided to joint ventures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(46,892)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(180,185)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258,792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(480,440)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(750,248)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Additions to property and equipment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(264,188)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1,498,574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1,495,167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Additions to patents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1,221,787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972,059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34,963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22,620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448,034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2,623,981</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2,477,017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3,072,015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2,598,739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jc w:val="center"/>
              <w:ind w:left="3310"/>
              <w:spacing w:after="0"/>
              <w:rPr>
                <w:sz w:val="20"/>
                <w:szCs w:val="20"/>
                <w:color w:val="auto"/>
              </w:rPr>
            </w:pPr>
            <w:r>
              <w:rPr>
                <w:rFonts w:ascii="Arial" w:cs="Arial" w:eastAsia="Arial" w:hAnsi="Arial"/>
                <w:sz w:val="18"/>
                <w:szCs w:val="18"/>
                <w:color w:val="auto"/>
                <w:w w:val="88"/>
              </w:rPr>
              <w:t>See notes to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jc w:val="right"/>
              <w:ind w:right="215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7" w:name="page8"/>
    <w:bookmarkEnd w:id="7"/>
    <w:p>
      <w:pPr>
        <w:ind w:right="3400"/>
        <w:spacing w:after="0" w:line="293" w:lineRule="auto"/>
        <w:rPr>
          <w:sz w:val="20"/>
          <w:szCs w:val="20"/>
          <w:color w:val="auto"/>
        </w:rPr>
      </w:pPr>
      <w:r>
        <w:rPr>
          <w:rFonts w:ascii="Arial" w:cs="Arial" w:eastAsia="Arial" w:hAnsi="Arial"/>
          <w:sz w:val="19"/>
          <w:szCs w:val="19"/>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INTERIM FINANCIAL INFORMATION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2015 and August 31, 2015 and the results of their operations for the three months ended November 30, 2015 and 2014 and their cash flows for the three months ended November 30, 2015 and 2014, in conformity with accounting principles generally accepted in the United States of America (U.S. GAAP).</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2015. These consolidated financial statements also should be read in conjunction with the “Management’s Discussion and Analysis of Financial Condition and Results of Operations” section appearing in this report.</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Operating results for the three months ended November 30, 2015 are not necessarily indicative of the results that may be expected for the full fiscal year ending August 31, 2016.</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Certain amounts reported in the consolidated financial statements for the previous reporting period have been reclassified to conform to the current period presentation. Beginning in the second quarter of fiscal 2015, the Company reclassified dividends received from equity method from investing cash flows to operating cash flows on the consolidated statements of cash flows for all periods presented. The classification reflects the continued profitability and returns of those profits to its owners, including the Company. The reclassification did not impact net income (loss) or equity.</w:t>
      </w:r>
    </w:p>
    <w:p>
      <w:pPr>
        <w:spacing w:after="0" w:line="16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(Accounting Standards Update (ASU) No. 2014-09), which provides a framework for the recognition of revenue, with the objective that recognized revenues properly reflect amounts an entity is entitled to receive in exchange for goods and services. This guidance, which includes additional disclosure requirements regarding revenue, cash flows and obligations related to contracts with customers, was originally to be effective for the Company beginning in fiscal year 2018. In July 2015, the FASB confirmed a one year deferral of the effective date of the new revenue standard which also allows early adoption as of the original effective date. The updated guidance will be effective for the Company’s first quarter of 2019. The Company is currently evaluating the impact of adopting ASU 2014-09 on its consolidated financial statements, but believes there will be no material impact, if any.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No. 2015-11, “</w:t>
      </w:r>
      <w:r>
        <w:rPr>
          <w:rFonts w:ascii="Arial" w:cs="Arial" w:eastAsia="Arial" w:hAnsi="Arial"/>
          <w:sz w:val="18"/>
          <w:szCs w:val="18"/>
          <w:i w:val="1"/>
          <w:iCs w:val="1"/>
          <w:color w:val="auto"/>
        </w:rPr>
        <w:t>Inventory</w:t>
      </w:r>
      <w:r>
        <w:rPr>
          <w:rFonts w:ascii="Arial" w:cs="Arial" w:eastAsia="Arial" w:hAnsi="Arial"/>
          <w:sz w:val="18"/>
          <w:szCs w:val="18"/>
          <w:color w:val="auto"/>
        </w:rPr>
        <w:t>”, which modifies the subsequent measurement of inventories recorded under a first-in-first-out or average cost method. Under the new standard, such inventories are required to be measured at the lower of cost and net realizable value. The new standard is effective for the Company’s fiscal year 2018, with prospective application. The Company does not expect the adoption of the provisions of ASU 2015-11 to have a material impact on its consolidated financial statements.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80" w:type="dxa"/>
            <w:vAlign w:val="bottom"/>
          </w:tcPr>
          <w:p>
            <w:pPr>
              <w:spacing w:after="0"/>
              <w:rPr>
                <w:sz w:val="24"/>
                <w:szCs w:val="24"/>
                <w:color w:val="auto"/>
              </w:rPr>
            </w:pPr>
          </w:p>
        </w:tc>
        <w:tc>
          <w:tcPr>
            <w:tcW w:w="476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2015</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1,439,783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1,445,014</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6,188,971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6,023,427</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7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7,628,754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7,468,441</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80" w:type="dxa"/>
            <w:vAlign w:val="bottom"/>
          </w:tcPr>
          <w:p>
            <w:pPr>
              <w:spacing w:after="0"/>
              <w:rPr>
                <w:sz w:val="24"/>
                <w:szCs w:val="24"/>
                <w:color w:val="auto"/>
              </w:rPr>
            </w:pPr>
          </w:p>
        </w:tc>
        <w:tc>
          <w:tcPr>
            <w:tcW w:w="476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2015</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6,384,512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6,180,089</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4,145,174</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4,090,619</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10,840,051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10,581,073</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(3,445,567)</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(3,287,910)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7,394,484</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7,293,163</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PATENTS AND TRADEMARKS, NET</w:t>
            </w: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80" w:type="dxa"/>
            <w:vAlign w:val="bottom"/>
          </w:tcPr>
          <w:p>
            <w:pPr>
              <w:spacing w:after="0"/>
              <w:rPr>
                <w:sz w:val="24"/>
                <w:szCs w:val="24"/>
                <w:color w:val="auto"/>
              </w:rPr>
            </w:pPr>
          </w:p>
        </w:tc>
        <w:tc>
          <w:tcPr>
            <w:tcW w:w="476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2015</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2,452,622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2,440,022</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(1,207,562)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(1,177,803)</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7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1,245,060</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1,262,219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$80,000 in each of the next five fiscal years.</w:t>
      </w:r>
    </w:p>
    <w:p>
      <w:pPr>
        <w:spacing w:after="0" w:line="17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recorded on sales from the Company to its joint ventures and from joint ventures to other joint ventures have been eliminated for financial reporting purposes.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of the Company’s other joint ventures, are summarized as follows: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November 30, 2015</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EXCOR</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50,371,596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25,060,815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25,310,781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53,883,178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26,925,906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26,957,272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12,948,319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3,612,595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9,335,724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89,930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89,930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40,844,930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23,313,311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17,531,619</w:t>
            </w: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joint ventures’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20,369,002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11,656,658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8,712,344</w:t>
            </w:r>
          </w:p>
        </w:tc>
      </w:tr>
      <w:tr>
        <w:trPr>
          <w:trHeight w:val="202"/>
        </w:trPr>
        <w:tc>
          <w:tcPr>
            <w:tcW w:w="5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joint ventures’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18,308,141</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11,625,753</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6,682,388</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7"/>
          </w:tcPr>
          <w:p>
            <w:pPr>
              <w:jc w:val="right"/>
              <w:ind w:right="810"/>
              <w:spacing w:after="0"/>
              <w:rPr>
                <w:sz w:val="20"/>
                <w:szCs w:val="20"/>
                <w:color w:val="auto"/>
              </w:rPr>
            </w:pPr>
            <w:r>
              <w:rPr>
                <w:rFonts w:ascii="Arial" w:cs="Arial" w:eastAsia="Arial" w:hAnsi="Arial"/>
                <w:sz w:val="18"/>
                <w:szCs w:val="18"/>
                <w:b w:val="1"/>
                <w:bCs w:val="1"/>
                <w:color w:val="auto"/>
              </w:rPr>
              <w:t>Three Months Ended November 30, 2015</w:t>
            </w:r>
          </w:p>
        </w:tc>
      </w:tr>
      <w:tr>
        <w:trPr>
          <w:trHeight w:val="223"/>
        </w:trPr>
        <w:tc>
          <w:tcPr>
            <w:tcW w:w="5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EXCOR</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21,871,209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8,207,696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13,663,513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9,648,081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4,153,477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5,494,604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1,961,922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1,536,247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425,675</w:t>
            </w: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equity in income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of joint ventures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983,753</w:t>
            </w:r>
          </w:p>
        </w:tc>
        <w:tc>
          <w:tcPr>
            <w:tcW w:w="22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768,123</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215,630</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August 31, 2015</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EXCOR</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49,295,116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22,620,323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26,674,793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52,853,938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24,606,880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28,247,058</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12,288,383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3,360,142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8,928,241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1,215,139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1,215,139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39,350,417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21,246,738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18,103,679</w:t>
            </w: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joint ventures’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20,544,238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11,571,361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8,972,877</w:t>
            </w:r>
          </w:p>
        </w:tc>
      </w:tr>
      <w:tr>
        <w:trPr>
          <w:trHeight w:val="202"/>
        </w:trPr>
        <w:tc>
          <w:tcPr>
            <w:tcW w:w="5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18,483,377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11,540,456</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6,942,921</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w w:val="93"/>
              </w:rPr>
              <w:t>Three Months Ended November 30, 2014</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EXCOR</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Tianjin Zerust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29,120,852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9,524,270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3,735,457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15,861,125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14,035,784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4,974,751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1,783,673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7,277,360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3,184,570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1,956,191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265,648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962,731</w:t>
            </w: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equity in</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income of joint ventures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1,606,683</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978,096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132,824</w:t>
            </w:r>
          </w:p>
        </w:tc>
        <w:tc>
          <w:tcPr>
            <w:tcW w:w="140" w:type="dxa"/>
            <w:vAlign w:val="bottom"/>
          </w:tcPr>
          <w:p>
            <w:pPr>
              <w:spacing w:after="0"/>
              <w:rPr>
                <w:sz w:val="20"/>
                <w:szCs w:val="20"/>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495,763</w:t>
            </w:r>
          </w:p>
        </w:tc>
      </w:tr>
      <w:tr>
        <w:trPr>
          <w:trHeight w:val="648"/>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8"/>
        </w:trPr>
        <w:tc>
          <w:tcPr>
            <w:tcW w:w="52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92" w:right="239" w:bottom="1440" w:gutter="0" w:footer="0" w:header="0"/>
        </w:sectPr>
      </w:pPr>
    </w:p>
    <w:bookmarkStart w:id="10" w:name="page11"/>
    <w:bookmarkEnd w:id="10"/>
    <w:p>
      <w:pPr>
        <w:ind w:right="20"/>
        <w:spacing w:after="0" w:line="257" w:lineRule="auto"/>
        <w:rPr>
          <w:sz w:val="20"/>
          <w:szCs w:val="20"/>
          <w:color w:val="auto"/>
        </w:rPr>
      </w:pPr>
      <w:r>
        <w:rPr>
          <w:rFonts w:ascii="Arial" w:cs="Arial" w:eastAsia="Arial" w:hAnsi="Arial"/>
          <w:sz w:val="18"/>
          <w:szCs w:val="18"/>
          <w:color w:val="auto"/>
        </w:rPr>
        <w:t>On January 2, 2015, the Company announced that, effective as of December 31, 2014, the Company terminated its joint venture arrangement in China, Tianjin Zerust, and began the process of liquidating the joint venture entity. Since December 31, 2014, the Company has conducted business in China through a wholly-owned subsidiary, NTIC (Shanghai) Co. Ltd. (NTIC China). As of December 31, 2014, the Company started recognizing Tianjin Zerust based on its carrying value instead of the equity method since the Company no longer expects to significantly affect the joint venture’s operations or decision making. See note 7.</w:t>
      </w:r>
    </w:p>
    <w:p>
      <w:pPr>
        <w:spacing w:after="0" w:line="18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Company records expenses that are directly attributable to the joint ventures on its consolidated statements of operations in the line item “Expenses incurred in support of joint ventures.” The expenses include items such as employee compensation and benefit expenses, travel expense and consulting expense. See Note 14 regarding the lawsuits filed in relation to Tianjin Zerust.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three months ended November 30, 2015 and 2014.</w:t>
      </w:r>
    </w:p>
    <w:p>
      <w:pPr>
        <w:spacing w:after="0" w:line="22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CHINA OPERATIONS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December 31, 2014, the Company terminated its joint venture agreements with its previous joint venture in China, Tianjin Zerust, began the process of liquidating the joint venture entity, and commenced operations in China through a wholly-owned subsidiary, NTIC (Shanghai) Co. Ltd. on January 1, 2015. Effective December 31, 2014, the Company’s investment in Tianjin Zerust is reported at carrying value based on the Company’s decreased level of influence over the entity, and the Company has reclassified previously unrecognized gains on foreign currency translation from accumulated other comprehensive income. Any declines in the fair value are reflected as adjustments to the carrying value. No such adjustments were recorded during three months ended November 30, 2015.</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Because of the lack of financial and other information received from Tianjin Zerust, it is possible that receipt of future financial and other information from Tianjin Zerust may impact the realization of the Company’s investment in and realization of a receivable from Tianjin Zerust. The last time the Company received financial information from Tianjin Zerust was through November 2014. The Company, as of November 30, 2015, does not believe there are any triggering events that would require an impairment test. The Company’s current net investment is approximately $1,130,200, which is 60% of its investment in Tianjin Zerust, which was $1,883,668 as of November 30, 2015. The Company will continue to evaluate the realization of this asset on an ongoing basis and adjust if necessary.</w:t>
      </w:r>
    </w:p>
    <w:p>
      <w:pPr>
        <w:spacing w:after="0" w:line="19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incurred expenses of $862,183 during three months ended November 30, 2015, related to the termination of the joint venture agreement with Tianjin Zerust, the initiation of the liquidation of Tianjin Zerust and the formation and initial operation of NTIC China. Such expenses consisted primarily of legal expenses and personnel expenses associated with the establishment of the subsidiary and the hiring of new personnel. These expenses are recorded as operating expenses on the consolidated statements of operations and are partially offset by the gross margin contribution from sales of NTIC China.</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Because of the lack of financial and other information received from Tianjin Zerust, it is possible that if and when financial and other information is received from Tianjin Zerust that the Company may need to recognize an impairment charge on its investment in Tianjin Zerust. The Company estimates that its maximum exposure in terms of an impairment charge would be approximately $1,130,200, which is 60% of its investment in Tianjin Zerust, which was $1,883,668 as of November 30,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13 regarding pending litigation involving Tianjin Zerust.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has a revolving line of credit with PNC Bank of $3,000,000. No amounts were outstanding under the line of credit as of both November 30, 2015 and August 31, 2015.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The revolving line of credit is secured by cash, receivables and inventory.</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November 30, 2015, the Company was in compliance with all debt covenants.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January 6, 2016, PNC Bank extended the maturity date of the line of credit from January 7, 2016 to January 7, 2017. All other terms of the line of credit and the loan agreement and other documents evidencing the line of credit remain the same.</w:t>
      </w:r>
    </w:p>
    <w:p>
      <w:pPr>
        <w:spacing w:after="0" w:line="16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November 30, 2015, the Company repurchased and retired 3,166 shares of its common stock at a price of $15.07 per share. No stock options to purchase shares of common stock were exercised during the three months ended November 30, 2015</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granted stock options under the Northern Technologies International Corporation Amended and Restated 2007 Stock Incentive Plan (the 2007 Plan) to purchase an aggregate of 53,447 shares of its common stock to various employees and directors during the three months ended November 30, 2015. The weighted average per share exercise price of the stock options is $14.85, which is equal to the fair market value of the Company’s common stock on the date of grant.</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three months ended November 30, 2014, the Company did not purchase or retire any shares of its common stock. The following stock options to purchase shares of common stock were exercised during the three months ended November 30, 2014:</w:t>
      </w:r>
    </w:p>
    <w:p>
      <w:pPr>
        <w:spacing w:after="0" w:line="167" w:lineRule="exact"/>
        <w:rPr>
          <w:sz w:val="20"/>
          <w:szCs w:val="20"/>
          <w:color w:val="auto"/>
        </w:rPr>
      </w:pPr>
    </w:p>
    <w:tbl>
      <w:tblPr>
        <w:tblLayout w:type="fixed"/>
        <w:tblInd w:w="288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Options Exercised</w:t>
            </w:r>
          </w:p>
        </w:tc>
        <w:tc>
          <w:tcPr>
            <w:tcW w:w="104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Exercise Price</w:t>
            </w:r>
          </w:p>
        </w:tc>
      </w:tr>
      <w:tr>
        <w:trPr>
          <w:trHeight w:val="21"/>
        </w:trPr>
        <w:tc>
          <w:tcPr>
            <w:tcW w:w="7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20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18,000</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7.65</w:t>
            </w:r>
          </w:p>
        </w:tc>
        <w:tc>
          <w:tcPr>
            <w:tcW w:w="9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45,067 shares of its common stock to various employees and directors during the three months ended November 30, 2014. The weighted average per share exercise price of the stock options is $20.10, which is equal to the fair market value of the Company’s common stock on the date of grant.</w:t>
      </w:r>
    </w:p>
    <w:p>
      <w:pPr>
        <w:spacing w:after="0" w:line="177"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is a reconciliation of the earnings per share computation for the three months ended November 30, 2015 and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November 30, 2015</w:t>
            </w: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November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(loss) income attributable to NTIC</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(234,351)</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1,008,265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 shares outstanding</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4,538,371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4,518,973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Diluted – weighted shares outstanding</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4,538,371</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4,659,621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Basic (loss) earnings per share:</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share: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 There were no options outstanding as of November 30, 2015 that were dilutive.</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Excluded from the computation of diluted earnings per share for the three months ended November 30, 2015 were all options outstanding of 295,181 due to the Company’s net loss for the period.</w:t>
      </w:r>
    </w:p>
    <w:p>
      <w:pPr>
        <w:spacing w:after="0" w:line="166"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 these plans.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November 30, 2015, only stock options and stock bonuses had been granted under the 2007 Plan.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options to purchase an aggregate of 53,447 and 45,067 shares of its common stock during the three months ended November 30, 2015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2014, respectively. The fair value of option grants is determined at date of grant, using the Black-Scholes option pricing model with the assumptions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listed below. The Company recognized compensation expense of $121,854 and $143,897 during the three months ended November 30, 2015 and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related to the options that vested during such time period. As of November 30, 2015, the total compensation cost for nonvested options not yet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recognized in the Company’s consolidated statements of operations was $544,984, net of estimated forfeitures. Stock-based compensation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$305,584 is expected through the remainder of fiscal year 2016, and $159,600 and $79,800 is expected to be recognized during fiscal 2017 and fiscal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based on outstanding options as of November 30, 2015. Future option grants will impact the compensation expense recognized. Stock-based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is included in general and administrative expense on the consolidated statements of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November 30,</w:t>
            </w: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46.6%</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1.63%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per share fair value of options granted during the three months ended November 30, 2015 and 2014 was $8.48 and $11.58,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contractual life of the options outstanding as of November 30, 2015 and 2014 was 6.97 years and 6.75 years, respectively.</w:t>
      </w:r>
    </w:p>
    <w:p>
      <w:pPr>
        <w:spacing w:after="0" w:line="23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35 years, and more recently, has targeted and expanded into the oil and gas industry. The Company also sells a portfolio of bio-based and compostable (fully biodegradable) polymer resins and finished products under the Natur-Tec® brand.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2015 and 2014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40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November 30, 2015</w:t>
            </w: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November 30, 2014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4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5,977,682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6,238,071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Natur-Tec® net sales</w:t>
            </w:r>
          </w:p>
        </w:tc>
        <w:tc>
          <w:tcPr>
            <w:tcW w:w="4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1,046,755</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976,024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40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7,024,437</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7,214,095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020" w:type="dxa"/>
            <w:vAlign w:val="bottom"/>
            <w:vMerge w:val="restart"/>
          </w:tcPr>
          <w:p>
            <w:pPr>
              <w:jc w:val="right"/>
              <w:ind w:right="1710"/>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580" w:type="dxa"/>
            <w:vAlign w:val="bottom"/>
            <w:shd w:val="clear" w:color="auto" w:fill="000000"/>
          </w:tcPr>
          <w:p>
            <w:pPr>
              <w:spacing w:after="0"/>
              <w:rPr>
                <w:sz w:val="5"/>
                <w:szCs w:val="5"/>
                <w:color w:val="auto"/>
              </w:rPr>
            </w:pPr>
          </w:p>
        </w:tc>
        <w:tc>
          <w:tcPr>
            <w:tcW w:w="402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following table sets forth the Company’s cost of goods sold for the three months ended November 30, 2015 and 2014 by segment:</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 cost of goods sold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ZERUST®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Natur-Tec®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Indirect cost of goods sold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 net cost of goods sold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 of</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r>
      <w:tr>
        <w:trPr>
          <w:trHeight w:val="216"/>
        </w:trPr>
        <w:tc>
          <w:tcPr>
            <w:tcW w:w="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November 30,</w:t>
            </w:r>
          </w:p>
        </w:tc>
        <w:tc>
          <w:tcPr>
            <w:tcW w:w="10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Product</w:t>
            </w:r>
          </w:p>
        </w:tc>
        <w:tc>
          <w:tcPr>
            <w:tcW w:w="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November 30,</w:t>
            </w: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Sales*</w:t>
            </w:r>
          </w:p>
        </w:tc>
      </w:tr>
      <w:tr>
        <w:trPr>
          <w:trHeight w:val="411"/>
        </w:trPr>
        <w:tc>
          <w:tcPr>
            <w:tcW w:w="24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3,364,555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4"/>
                <w:szCs w:val="24"/>
                <w:color w:val="auto"/>
              </w:rPr>
            </w:pPr>
          </w:p>
        </w:tc>
        <w:tc>
          <w:tcPr>
            <w:tcW w:w="24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3,338,588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53.5%</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834,259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782,575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80.2%</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676,609</w:t>
            </w:r>
          </w:p>
        </w:tc>
        <w:tc>
          <w:tcPr>
            <w:tcW w:w="100" w:type="dxa"/>
            <w:vAlign w:val="bottom"/>
          </w:tcPr>
          <w:p>
            <w:pPr>
              <w:spacing w:after="0"/>
              <w:rPr>
                <w:sz w:val="20"/>
                <w:szCs w:val="20"/>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685,448</w:t>
            </w:r>
          </w:p>
        </w:tc>
        <w:tc>
          <w:tcPr>
            <w:tcW w:w="8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4,875,423</w:t>
            </w:r>
          </w:p>
        </w:tc>
        <w:tc>
          <w:tcPr>
            <w:tcW w:w="1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4,806,611</w:t>
            </w:r>
          </w:p>
        </w:tc>
        <w:tc>
          <w:tcPr>
            <w:tcW w:w="8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-745490</wp:posOffset>
            </wp:positionV>
            <wp:extent cx="65176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-462280</wp:posOffset>
            </wp:positionV>
            <wp:extent cx="65176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-179705</wp:posOffset>
            </wp:positionV>
            <wp:extent cx="651764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20"/>
            <w:col w:w="6420"/>
          </w:cols>
          <w:pgMar w:left="240" w:top="692" w:right="239" w:bottom="1440" w:gutter="0" w:footer="0" w:header="0"/>
          <w:type w:val="continuous"/>
        </w:sectPr>
      </w:pPr>
    </w:p>
    <w:p>
      <w:pPr>
        <w:spacing w:after="0" w:line="6" w:lineRule="exact"/>
        <w:rPr>
          <w:sz w:val="20"/>
          <w:szCs w:val="20"/>
          <w:color w:val="auto"/>
        </w:rPr>
      </w:pPr>
    </w:p>
    <w:p>
      <w:pPr>
        <w:ind w:left="580" w:right="240" w:hanging="572"/>
        <w:spacing w:after="0" w:line="293"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percent of segment sales is calculated by dividing the direct cost of goods sold for each individual segment category by the net sales for each segment category.</w:t>
      </w:r>
    </w:p>
    <w:p>
      <w:pPr>
        <w:spacing w:after="0" w:line="27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for the three months ended November 30, 2015 and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76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November 30, 2015</w:t>
            </w: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November 30, 2014</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1,661,631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1,526,930</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Outside the U.S.A. to:</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549,546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808,987</w:t>
            </w:r>
          </w:p>
        </w:tc>
      </w:tr>
      <w:tr>
        <w:trPr>
          <w:trHeight w:val="230"/>
        </w:trPr>
        <w:tc>
          <w:tcPr>
            <w:tcW w:w="7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4,813,260</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4,878,179</w:t>
            </w:r>
          </w:p>
        </w:tc>
      </w:tr>
      <w:tr>
        <w:trPr>
          <w:trHeight w:val="210"/>
        </w:trPr>
        <w:tc>
          <w:tcPr>
            <w:tcW w:w="7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7,024,437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7,214,095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months ended November 30, 2015 and 2014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r>
      <w:tr>
        <w:trPr>
          <w:trHeight w:val="191"/>
        </w:trPr>
        <w:tc>
          <w:tcPr>
            <w:tcW w:w="8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9"/>
              </w:rPr>
              <w:t>% of Total Fees</w:t>
            </w:r>
          </w:p>
        </w:tc>
        <w:tc>
          <w:tcPr>
            <w:tcW w:w="86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for Services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November 30,</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Provided to</w:t>
            </w:r>
          </w:p>
        </w:tc>
        <w:tc>
          <w:tcPr>
            <w:tcW w:w="1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November 30,</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 to</w:t>
            </w:r>
          </w:p>
        </w:tc>
        <w:tc>
          <w:tcPr>
            <w:tcW w:w="86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860" w:type="dxa"/>
            <w:vAlign w:val="bottom"/>
          </w:tcPr>
          <w:p>
            <w:pPr>
              <w:spacing w:after="0"/>
              <w:rPr>
                <w:sz w:val="20"/>
                <w:szCs w:val="20"/>
                <w:color w:val="auto"/>
              </w:rPr>
            </w:pPr>
          </w:p>
        </w:tc>
      </w:tr>
      <w:tr>
        <w:trPr>
          <w:trHeight w:val="210"/>
        </w:trPr>
        <w:tc>
          <w:tcPr>
            <w:tcW w:w="8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229,785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238,321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Thailand</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223,741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140,634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169,402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191,499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Poland</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139,257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171,223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130,673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160,341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United Kingdom</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108,911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96,371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89,673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133,379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India</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80,451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69,291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72,961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86,920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Finland</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68,933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93,522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516,139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6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171,642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236,030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60" w:type="dxa"/>
            <w:vAlign w:val="bottom"/>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1,485,429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2,133,670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29"/>
        </w:trPr>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8"/>
        </w:trPr>
        <w:tc>
          <w:tcPr>
            <w:tcW w:w="88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92" w:right="239" w:bottom="1440" w:gutter="0" w:footer="0" w:header="0"/>
          <w:type w:val="continuous"/>
        </w:sectPr>
      </w:pPr>
    </w:p>
    <w:bookmarkStart w:id="15" w:name="page16"/>
    <w:bookmarkEnd w:id="15"/>
    <w:p>
      <w:pPr>
        <w:ind w:right="12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4"/>
        </w:trPr>
        <w:tc>
          <w:tcPr>
            <w:tcW w:w="7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At</w:t>
            </w:r>
          </w:p>
        </w:tc>
        <w:tc>
          <w:tcPr>
            <w:tcW w:w="140" w:type="dxa"/>
            <w:vAlign w:val="bottom"/>
          </w:tcPr>
          <w:p>
            <w:pPr>
              <w:spacing w:after="0"/>
              <w:rPr>
                <w:sz w:val="24"/>
                <w:szCs w:val="24"/>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rPr>
              <w:t>At</w:t>
            </w:r>
          </w:p>
        </w:tc>
      </w:tr>
      <w:tr>
        <w:trPr>
          <w:trHeight w:val="216"/>
        </w:trPr>
        <w:tc>
          <w:tcPr>
            <w:tcW w:w="7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November 30,</w:t>
            </w:r>
          </w:p>
        </w:tc>
        <w:tc>
          <w:tcPr>
            <w:tcW w:w="1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August 31,</w:t>
            </w:r>
          </w:p>
        </w:tc>
      </w:tr>
      <w:tr>
        <w:trPr>
          <w:trHeight w:val="234"/>
        </w:trPr>
        <w:tc>
          <w:tcPr>
            <w:tcW w:w="720" w:type="dxa"/>
            <w:vAlign w:val="bottom"/>
          </w:tcPr>
          <w:p>
            <w:pPr>
              <w:spacing w:after="0"/>
              <w:rPr>
                <w:sz w:val="20"/>
                <w:szCs w:val="20"/>
                <w:color w:val="auto"/>
              </w:rPr>
            </w:pPr>
          </w:p>
        </w:tc>
        <w:tc>
          <w:tcPr>
            <w:tcW w:w="60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r>
      <w:tr>
        <w:trPr>
          <w:trHeight w:val="210"/>
        </w:trPr>
        <w:tc>
          <w:tcPr>
            <w:tcW w:w="7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46,918</w:t>
            </w:r>
          </w:p>
        </w:tc>
      </w:tr>
      <w:tr>
        <w:trPr>
          <w:trHeight w:val="216"/>
        </w:trPr>
        <w:tc>
          <w:tcPr>
            <w:tcW w:w="7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India</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16,402</w:t>
            </w:r>
          </w:p>
        </w:tc>
      </w:tr>
      <w:tr>
        <w:trPr>
          <w:trHeight w:val="216"/>
        </w:trPr>
        <w:tc>
          <w:tcPr>
            <w:tcW w:w="7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45,220</w:t>
            </w:r>
          </w:p>
        </w:tc>
      </w:tr>
      <w:tr>
        <w:trPr>
          <w:trHeight w:val="230"/>
        </w:trPr>
        <w:tc>
          <w:tcPr>
            <w:tcW w:w="720" w:type="dxa"/>
            <w:vAlign w:val="bottom"/>
          </w:tcPr>
          <w:p>
            <w:pPr>
              <w:spacing w:after="0"/>
              <w:rPr>
                <w:sz w:val="19"/>
                <w:szCs w:val="19"/>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7,218,779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7,184,623</w:t>
            </w:r>
          </w:p>
        </w:tc>
      </w:tr>
      <w:tr>
        <w:trPr>
          <w:trHeight w:val="223"/>
        </w:trPr>
        <w:tc>
          <w:tcPr>
            <w:tcW w:w="720" w:type="dxa"/>
            <w:vAlign w:val="bottom"/>
          </w:tcPr>
          <w:p>
            <w:pPr>
              <w:spacing w:after="0"/>
              <w:rPr>
                <w:sz w:val="19"/>
                <w:szCs w:val="19"/>
                <w:color w:val="auto"/>
              </w:rPr>
            </w:pPr>
          </w:p>
        </w:tc>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long-lived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7,394,484</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7,293,163</w:t>
            </w:r>
          </w:p>
        </w:tc>
      </w:tr>
      <w:tr>
        <w:trPr>
          <w:trHeight w:val="20"/>
        </w:trPr>
        <w:tc>
          <w:tcPr>
            <w:tcW w:w="7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426"/>
        </w:trPr>
        <w:tc>
          <w:tcPr>
            <w:tcW w:w="7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7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36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2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November 30,</w:t>
            </w:r>
          </w:p>
        </w:tc>
      </w:tr>
      <w:tr>
        <w:trPr>
          <w:trHeight w:val="234"/>
        </w:trPr>
        <w:tc>
          <w:tcPr>
            <w:tcW w:w="720" w:type="dxa"/>
            <w:vAlign w:val="bottom"/>
          </w:tcPr>
          <w:p>
            <w:pPr>
              <w:spacing w:after="0"/>
              <w:rPr>
                <w:sz w:val="20"/>
                <w:szCs w:val="20"/>
                <w:color w:val="auto"/>
              </w:rPr>
            </w:pPr>
          </w:p>
        </w:tc>
        <w:tc>
          <w:tcPr>
            <w:tcW w:w="60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r>
      <w:tr>
        <w:trPr>
          <w:trHeight w:val="210"/>
        </w:trPr>
        <w:tc>
          <w:tcPr>
            <w:tcW w:w="7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763,585</w:t>
            </w:r>
          </w:p>
        </w:tc>
      </w:tr>
      <w:tr>
        <w:trPr>
          <w:trHeight w:val="216"/>
        </w:trPr>
        <w:tc>
          <w:tcPr>
            <w:tcW w:w="7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India</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278,690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206,907</w:t>
            </w:r>
          </w:p>
        </w:tc>
      </w:tr>
      <w:tr>
        <w:trPr>
          <w:trHeight w:val="216"/>
        </w:trPr>
        <w:tc>
          <w:tcPr>
            <w:tcW w:w="7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 w:type="dxa"/>
            <w:vAlign w:val="bottom"/>
          </w:tcPr>
          <w:p>
            <w:pPr>
              <w:spacing w:after="0"/>
              <w:rPr>
                <w:sz w:val="19"/>
                <w:szCs w:val="19"/>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5,617,724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6,243,603</w:t>
            </w:r>
          </w:p>
        </w:tc>
      </w:tr>
      <w:tr>
        <w:trPr>
          <w:trHeight w:val="223"/>
        </w:trPr>
        <w:tc>
          <w:tcPr>
            <w:tcW w:w="720" w:type="dxa"/>
            <w:vAlign w:val="bottom"/>
          </w:tcPr>
          <w:p>
            <w:pPr>
              <w:spacing w:after="0"/>
              <w:rPr>
                <w:sz w:val="19"/>
                <w:szCs w:val="19"/>
                <w:color w:val="auto"/>
              </w:rPr>
            </w:pPr>
          </w:p>
        </w:tc>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7,024,437</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7,214,095</w:t>
            </w:r>
          </w:p>
        </w:tc>
      </w:tr>
      <w:tr>
        <w:trPr>
          <w:trHeight w:val="20"/>
        </w:trPr>
        <w:tc>
          <w:tcPr>
            <w:tcW w:w="7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Total assets located in Brazil, China and India primarily consist of cash and cash equivalents, customer receivables and inventory. These assets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7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August 18, 2015, the Compensation Committee of the Board of Directors of the Company approved the material terms of an annual bonus plan for the Company’s executive officers as well as certain officers and employees for the fiscal year ending August 31, 2016. For fiscal 2016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Adjusted EBITOI for fiscal 2016 compared to a pre-established target Adjusted EBITOI for fiscal 2016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the Company’s common stock, the exact amount and percentages will be determined by the Company’s Board of Directors, upon recommendation of the Compensation Committee, after the completion of the Company’s consolidated financial statements for fiscal 2016. There was no accrual for management bonuses for the three months ended November 30, 2015 compared to an accrual of $240,000 for management bonuses for the three months ended November 30, 2014.</w:t>
      </w:r>
    </w:p>
    <w:p>
      <w:pPr>
        <w:spacing w:after="0" w:line="18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Four joint ventures (consisting of the Company’s joint ventures in Korea, India, Thailand and Tianjin Zerust) accounted for 64.4% of the Company’s trade joint venture receivables at November 30, 2015 and accounted for 67.0% of the Company’s trade joint venture receivables at August 31, 2015.</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6" w:name="page17"/>
    <w:bookmarkEnd w:id="16"/>
    <w:p>
      <w:pPr>
        <w:ind w:right="40"/>
        <w:spacing w:after="0" w:line="276" w:lineRule="auto"/>
        <w:rPr>
          <w:sz w:val="20"/>
          <w:szCs w:val="20"/>
          <w:color w:val="auto"/>
        </w:rPr>
      </w:pPr>
      <w:r>
        <w:rPr>
          <w:rFonts w:ascii="Arial" w:cs="Arial" w:eastAsia="Arial" w:hAnsi="Arial"/>
          <w:sz w:val="17"/>
          <w:szCs w:val="17"/>
          <w:color w:val="auto"/>
        </w:rPr>
        <w:t>On March 23, 2015, the Company and NTI Asean filed a lawsuit in Tianjin No 1 Intermediate People’s Court against two individuals, Meng Tao and Xu Hui, related to breaches of duties and contractual commitments owed to NTI Asean under certain agreements related to the Company’s former joint venture in China, Tianjin Zerust Anti-Corrosion Technologies Ltd (Tianjin Zerust). The lawsuit alleges, among other things, that Mr. Meng Tao and Xu Hui have engaged in self-dealing, usurped business opportunities, and received economic benefits that were required to go to Tianjin Zerust. As of November 30, 2015, the Company is not able to reasonably estimate the amount of any recovery to NTI Asean, if any.</w:t>
      </w:r>
    </w:p>
    <w:p>
      <w:pPr>
        <w:spacing w:after="0" w:line="173"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color w:val="auto"/>
        </w:rPr>
        <w:t>On April 21, 2015, the Company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the Company’s joint venture in China, Tianjin Zerust.</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November 30, 2015, the amount of liability, if any, with respect to these matters, individually or in the aggregate, will not materially affect the Company’s consolidated results of operations, financial position or cash flows.</w:t>
      </w:r>
    </w:p>
    <w:p>
      <w:pPr>
        <w:spacing w:after="0" w:line="16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Fair Value Measurements</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Using Inputs Considered as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center"/>
              <w:ind w:right="400"/>
              <w:spacing w:after="0" w:line="178" w:lineRule="exact"/>
              <w:rPr>
                <w:sz w:val="20"/>
                <w:szCs w:val="20"/>
                <w:color w:val="auto"/>
              </w:rPr>
            </w:pPr>
            <w:r>
              <w:rPr>
                <w:rFonts w:ascii="Arial" w:cs="Arial" w:eastAsia="Arial" w:hAnsi="Arial"/>
                <w:sz w:val="18"/>
                <w:szCs w:val="18"/>
                <w:b w:val="1"/>
                <w:bCs w:val="1"/>
                <w:color w:val="auto"/>
                <w:w w:val="89"/>
              </w:rPr>
              <w:t>Fair value as of</w:t>
            </w:r>
          </w:p>
        </w:tc>
        <w:tc>
          <w:tcPr>
            <w:tcW w:w="3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November 30, 2015</w:t>
            </w:r>
          </w:p>
        </w:tc>
        <w:tc>
          <w:tcPr>
            <w:tcW w:w="3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528,867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528,867</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0"/>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00" w:type="dxa"/>
            <w:vAlign w:val="bottom"/>
            <w:gridSpan w:val="5"/>
          </w:tcPr>
          <w:p>
            <w:pPr>
              <w:ind w:left="60"/>
              <w:spacing w:after="0"/>
              <w:rPr>
                <w:sz w:val="20"/>
                <w:szCs w:val="20"/>
                <w:color w:val="auto"/>
              </w:rPr>
            </w:pPr>
            <w:r>
              <w:rPr>
                <w:rFonts w:ascii="Arial" w:cs="Arial" w:eastAsia="Arial" w:hAnsi="Arial"/>
                <w:sz w:val="18"/>
                <w:szCs w:val="18"/>
                <w:b w:val="1"/>
                <w:bCs w:val="1"/>
                <w:color w:val="auto"/>
                <w:w w:val="93"/>
              </w:rPr>
              <w:t>Fair Value Measurements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9"/>
              </w:rPr>
              <w:t>Fair value as of</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ind w:right="185"/>
              <w:spacing w:after="0"/>
              <w:rPr>
                <w:sz w:val="20"/>
                <w:szCs w:val="20"/>
                <w:color w:val="auto"/>
              </w:rPr>
            </w:pPr>
            <w:r>
              <w:rPr>
                <w:rFonts w:ascii="Arial" w:cs="Arial" w:eastAsia="Arial" w:hAnsi="Arial"/>
                <w:sz w:val="18"/>
                <w:szCs w:val="18"/>
                <w:b w:val="1"/>
                <w:bCs w:val="1"/>
                <w:color w:val="auto"/>
                <w:w w:val="88"/>
              </w:rPr>
              <w:t>Using Inputs Considered as</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August 31, 2015</w:t>
            </w:r>
          </w:p>
        </w:tc>
        <w:tc>
          <w:tcPr>
            <w:tcW w:w="3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2,027,441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2,027,441</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months ended November 30, 2015 and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in this report and under “Part 1. Item 1A. Risk Factors” in our annual report on Form 10-K for the fiscal year ended August 31, 2015 and “Part II. Item 1A. Risk Factors” in this report.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compostable (fully biodegradable) polymer resins and finished products under the Natur-Tec® brand. These products are intended to reduce NTIC’s customers’ carbon footprint and provide environmentally sound waste disposal options.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NTIC’s ZERUST®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wholly-owned subsidiary in China, NTIC (Shanghai) Co., Ltd. (NTIC China), its majority-owned joint venture holding company for NTIC’s joint venture investments in the Association of Southeast Asian Nations (ASEAN) region, its majority-owned subsidiary in Brazil, Zerust Prevenção de Corrosão S.A. (Zerust Brazil), and joint venture arrangements in North America, Europe and Asia.</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a long sales cycle, often including a one- to multi-year trial period with each customer and a slow integration process thereafter.</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resins are fully biodegradable in a composting environment and are currently being used to produce finished products including can liners, shopping and grocery bags, lawn and leaf bags, pet waste collection bags, cutlery, packaging foam and coated paper products. In North America, NTIC markets its Natur-Tec® resins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resins and finished products both directly and through its majority- owned subsidiary in India, Natur-Tec India Private Limited (Natur-Tec India), and through certain joint ventures. In November 2014, NTIC entered into an agreement with NatureWorks LLC for joint marketing and sales of Ingeo® based packaging solutions to customers in India. With recent Indian government mandates banning use of non-biodegradable plastics in certain types of food and consumer packaging, NTIC expects the market in India for bioplastic packaging solutions to grow substantially.</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Termination of Chinese Joint Venture</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January 2, 2015, NTIC announced that, effective as of December 31, 2014, it is selling its ZERUST® products and services in China through a wholly-owned subsidiary, NTIC (Shanghai) Co., Ltd. (NTIC China), and has terminated its joint venture agreements with Tianjin-Zerust Anticorrosion Co., Ltd. (Tianjin Zerust). NTIC and NTI Asean LLC have filed a lawsuit against Mr. Tao Meng, a Chinese national and the former joint venture entity’s other shareholder, and his spouse in the Chinese court of Tianjin, seeking, among other things, an orderly liquidation of Tianjin Zerust.</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NTIC indirectly has a 30% ownership interest in Tianjin Zerust through its 60% owned holding company subsidiary, NTI Asean LLC. Commencing during the second quarter of fiscal 2015, NTIC’s consolidated financial statements include the financial results of NTIC China.</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NTIC anticipates that it may take several quarters to transition many of the previous customers of Tianjin Zerust to NTIC China and no assurance can be provided that NTIC China will be able to achieve the net sales and income levels previously achieved by Tianjin Zerust. For fiscal 2014, Tianjin Zerust had net sales of $15.9 million and net income of $1.3 million. The operating income of the joint venture before paying royalties in an aggregate amount of $4.2 million to all shareholders was over $5.5 million; NTIC’s indirect ownership of Tianjin Zerust is 30%.</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2015, NTIC incurred approximately $1,640,000 and during the first quarter of fiscal 2016, NTIC incurred approximately $862,000 in expenses related either directly or indirectly to the establishment and initial business operations of NTIC China, the termination of the joint venture agreements with Tianjin Zerust and its pending litigation against Mr. Tao Meng and his spouse and Cortec Corporation, and the anticipated liquidation of Tianjin Zerust. These expenses are recorded as selling, general and administrative expenses and expenses incurred in support of joint ventures on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NTIC expects that its operating results may be volatile over the next few quarters as a result of NTIC’s Chinese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results of Zerust Brazil, NTI Asean and Natur-Tec India, and as of December 31, 2014, NTIC China, are fully consolidated in NTIC’s consolidated financial statements. NTIC holds 85% of the equity and 85% of the voting rights of Zerust Brazil. NTIC holds 60% of the equity and 60% of the voting rights of NTI Asean. NTI Asean holds investments in eight entities that operate in the following eight territories located in the ASEAN region: China (although liquidation was initiated December 31, 2014), Indonesia, South Korea, Malaysia, Philippines, Singapore, Taiwan and Thailand. NTIC holds 90% of the equity and 90% of the voting rights of Natur-Tec India. NTIC China is a wholly-owned subsidiary of NTIC.</w:t>
      </w:r>
    </w:p>
    <w:p>
      <w:pPr>
        <w:spacing w:after="0" w:line="1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NTIC’s consolidated net sales decreased 2.6% during the three months ended November 30, 2015 compared to the three months ended November 30, 2014. This decrease was primarily a result of a decrease in sales of ZERUST® rust and corrosion inhibiting packaging products and sales to joint ventures, partially offset by an increase in sales of Natur-Tec® products.</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three months ended November 30, 2015, 85.1% of NTIC’s consolidated net sales were derived from sales of ZERUST® products and services, which decreased 4.2% to $5,977,682 compared to $6,238,071 for the three months ended November 30, 2014. This decrease was due to lower sales from existing customers for new and existing products. NTIC has expanded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three months ended November 30, 2015 included $340,239 of sales made to customers in the oil and gas industry compared to $502,192 for the three months ended November 30, 2014. Overall demand for ZERUST® products and services depends heavily on the overall health of the markets in which NTIC sells its products, including the automotive, oil and gas, agriculture, and mining markets in particular. In addition, we believe demand for ZERUST® products and services in the oil and gas industry may be dependent upon oil prices, with low oil prices causing existing or potential customers to delay purchases and installations.</w:t>
      </w:r>
    </w:p>
    <w:p>
      <w:pPr>
        <w:spacing w:after="0" w:line="182"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During the three months ended November 30, 2015, 14.9% of NTIC’s consolidated net sales were derived from sales of Natur-Tec® products compared to 13.5% during the three months ended November 30, 2014. Net sales of Natur-Tec® products increased 7.2% during the three months ended November 30, 2015 compared to the three months ended November 30, 2014 primarily due to an increase in finished product sales in North America and finished product sales at NTIC’s majority-owned subsidiary in India, Natur-Tec India Private Limited (Natur-Tec India).</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0" w:name="page21"/>
    <w:bookmarkEnd w:id="20"/>
    <w:p>
      <w:pPr>
        <w:ind w:right="280"/>
        <w:spacing w:after="0" w:line="264" w:lineRule="auto"/>
        <w:rPr>
          <w:sz w:val="20"/>
          <w:szCs w:val="20"/>
          <w:color w:val="auto"/>
        </w:rPr>
      </w:pPr>
      <w:r>
        <w:rPr>
          <w:rFonts w:ascii="Arial" w:cs="Arial" w:eastAsia="Arial" w:hAnsi="Arial"/>
          <w:sz w:val="18"/>
          <w:szCs w:val="18"/>
          <w:color w:val="auto"/>
        </w:rPr>
        <w:t>Cost of goods sold as a percentage of net sales increased to 69.4% during the three months ended November 30, 2015 compared to 66.6% during the three months ended November 30, 2014 primarily as a result of increased sales of Natur-Tec® products which carry lower margins than NTIC’s ZERUST® products and services.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NTIC’s equity in income of joint ventures decreased 38.8% to $983,753 during the three months ended November 30, 2015 compared to $1,606,683 during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November 30, 2014. This decrease was primarily due to decreases in profitability at the joint ventures, decreases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anticipated liquidation of Tianjin Zerust and adverse effects of foreign currency exchange rate fluctuations, including in particular, the Euro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dollar. NTIC recognized a 30.4% decrease in fees for services provided to joint ventures during the three months ended November 30, 2015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three months ended November 30, 2014 primarily due to the anticipated liquidation of Tianjin Zerust. Fees for services provided to Tianjin Zerust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decreased $516,139 to $0 during the three months ended November 30, 2015 compared to $516,139 during the three months ended November 30, 2014.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Additionally, total net sales of NTIC’s joint ventures decreased 24.9% to $21,871,209 during the three months ended November 30, 2015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$29,120,852 for the three months ended November 30, 2014 due primarily to the anticipated liquidation of Tianjin Zerust, which had sales of $3,735,457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November 30, 2014, and the adverse effects of foreign currency exchange rate fluctuations, including in particular, the Euro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U.S. dollar.</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NTIC’s total operating expenses increased 4.3% to $4,703,787 during the three months ended November 30, 2015 compared to $4,510,179 for the three months ended November 30, 2014. This increase was primarily due to $504,385 in expenses related to the formation and establishment of NTIC China and the anticipated liquidation of Tianjin Zerust. Such expenses consisted primarily of legal expenses and personnel expenses associated with the establishment of the subsidiary, the hiring of new personnel and initial operations.</w:t>
      </w:r>
    </w:p>
    <w:p>
      <w:pPr>
        <w:spacing w:after="0" w:line="187"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NTIC expenses all costs related to product research and development as incurred. NTIC incurred $1,004,097 and $1,049,913 of expense during the three months ended November 30, 2015 and 2014, respectively, in connection with its research and development activities. NTIC anticipates that it will spend between $4,000,000 and $4,400,000 in total during fiscal 2016 on research and development activities related to its new technologies.</w:t>
      </w:r>
    </w:p>
    <w:p>
      <w:pPr>
        <w:spacing w:after="0" w:line="147"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Net (loss) income attributable to NTIC decreased 123.2% to a net loss of $(234,351), or $(0.05), per diluted common share, for the three months ended November 30, 2015 compared to net income of $1,008,265, or $0.22 per diluted common share, for the three months ended November 30, 2014. This decrease was primarily the result of the decreases in income from NTIC’s joint venture operations and the decrease in gross profit.</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NTIC anticipates that its quarterly net income or loss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during the next few quarters will be particularly volatile as a result of the changes in its Chinese operations.</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NTIC’s working capital was $14,756,128 at November 30, 2015, including $3,072,015 in cash and cash equivalents and $528,867 in available for sale securities, compared to $15,603,771 at August 31, 2015, including $2,623,981 in cash and cash equivalents and $2,027,441 in available for sale securities.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8720" w:type="dxa"/>
            <w:vAlign w:val="bottom"/>
            <w:gridSpan w:val="11"/>
          </w:tcPr>
          <w:p>
            <w:pPr>
              <w:spacing w:after="0"/>
              <w:rPr>
                <w:sz w:val="20"/>
                <w:szCs w:val="20"/>
                <w:color w:val="auto"/>
              </w:rPr>
            </w:pPr>
            <w:r>
              <w:rPr>
                <w:rFonts w:ascii="Arial" w:cs="Arial" w:eastAsia="Arial" w:hAnsi="Arial"/>
                <w:sz w:val="18"/>
                <w:szCs w:val="18"/>
                <w:color w:val="auto"/>
                <w:w w:val="94"/>
              </w:rPr>
              <w:t>The following table sets forth NTIC’s results of operations for the three months ended November 30, 2015 and 2014.</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6"/>
        </w:trPr>
        <w:tc>
          <w:tcPr>
            <w:tcW w:w="3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134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November 30,</w:t>
            </w:r>
          </w:p>
        </w:tc>
        <w:tc>
          <w:tcPr>
            <w:tcW w:w="140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9"/>
              </w:rPr>
              <w:t>% of</w:t>
            </w:r>
          </w:p>
        </w:tc>
        <w:tc>
          <w:tcPr>
            <w:tcW w:w="134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November 30,</w:t>
            </w:r>
          </w:p>
        </w:tc>
        <w:tc>
          <w:tcPr>
            <w:tcW w:w="140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6"/>
                <w:szCs w:val="16"/>
                <w:color w:val="auto"/>
              </w:rPr>
            </w:pPr>
          </w:p>
        </w:tc>
        <w:tc>
          <w:tcPr>
            <w:tcW w:w="1040" w:type="dxa"/>
            <w:vAlign w:val="bottom"/>
          </w:tcPr>
          <w:p>
            <w:pPr>
              <w:jc w:val="right"/>
              <w:ind w:right="51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360" w:type="dxa"/>
            <w:vAlign w:val="bottom"/>
          </w:tcPr>
          <w:p>
            <w:pPr>
              <w:jc w:val="right"/>
              <w:ind w:right="51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Net Sales</w:t>
            </w: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Net Sales</w:t>
            </w: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6,501,410</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6,480,991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20,419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523,027</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733,104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(210,077)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4,875,423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4,806,611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68,812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983,753</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1,606,683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(622,930)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3"/>
              </w:rPr>
              <w:t>Fees for services provided to joint ventures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1,485,429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2,133,670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(648,241)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Selling expenses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1,525,083</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1,394,887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130,196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1,857,613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1,538,262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319,351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Expenses incurred in support of joint</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ventures</w:t>
            </w: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316,994</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527,117</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(210,123)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1,004,097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1,049,913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bl>
    <w:p>
      <w:pPr>
        <w:spacing w:after="0" w:line="202"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decreased 2.6% to $7,024,437 during the three months ended November 30, 2015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November 30, 2014. This decrease was primarily a result of a decrease in net sales to joint ventures. NTIC’s consolidated net sales to unaffiliated customers excluding NTIC’s joint ventures increased 0.3% to $6,501,410 during the three months ended November 30, 2015 compared to the same period in fiscal 2015. This increase was primarily a result of increased demand from the addition of new customers at NTI China and an increase in sale of our Natur-Tec® products. Net sales to joint ventures decreased 28.7% to $523,027 during the three months ended November 30, 2015 compared to the same period in</w:t>
      </w:r>
    </w:p>
    <w:p>
      <w:pPr>
        <w:spacing w:after="0" w:line="2" w:lineRule="exact"/>
        <w:rPr>
          <w:sz w:val="20"/>
          <w:szCs w:val="20"/>
          <w:color w:val="auto"/>
        </w:rPr>
      </w:pPr>
    </w:p>
    <w:p>
      <w:pPr>
        <w:ind w:right="400"/>
        <w:spacing w:after="0" w:line="205" w:lineRule="auto"/>
        <w:rPr>
          <w:sz w:val="20"/>
          <w:szCs w:val="20"/>
          <w:color w:val="auto"/>
        </w:rPr>
      </w:pPr>
      <w:r>
        <w:rPr>
          <w:rFonts w:ascii="Arial" w:cs="Arial" w:eastAsia="Arial" w:hAnsi="Arial"/>
          <w:sz w:val="18"/>
          <w:szCs w:val="18"/>
          <w:color w:val="auto"/>
        </w:rPr>
        <w:t>fiscal 2015. This decrease was primarily a result of lower demand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adverse effects of foreign currency exchange rates.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category for the three months ended November 30, 2015 and 2014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Borders>
              <w:bottom w:val="single" w:sz="8" w:color="auto"/>
            </w:tcBorders>
          </w:tcPr>
          <w:p>
            <w:pPr>
              <w:spacing w:after="0"/>
              <w:rPr>
                <w:sz w:val="20"/>
                <w:szCs w:val="20"/>
                <w:color w:val="auto"/>
              </w:rPr>
            </w:pPr>
          </w:p>
        </w:tc>
      </w:tr>
      <w:tr>
        <w:trPr>
          <w:trHeight w:val="191"/>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line="191" w:lineRule="exact"/>
              <w:rPr>
                <w:sz w:val="20"/>
                <w:szCs w:val="20"/>
                <w:color w:val="auto"/>
              </w:rPr>
            </w:pPr>
            <w:r>
              <w:rPr>
                <w:rFonts w:ascii="Arial" w:cs="Arial" w:eastAsia="Arial" w:hAnsi="Arial"/>
                <w:sz w:val="18"/>
                <w:szCs w:val="18"/>
                <w:b w:val="1"/>
                <w:bCs w:val="1"/>
                <w:color w:val="auto"/>
                <w:w w:val="99"/>
              </w:rPr>
              <w:t>November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November 30,</w:t>
            </w:r>
          </w:p>
        </w:tc>
        <w:tc>
          <w:tcPr>
            <w:tcW w:w="220" w:type="dxa"/>
            <w:vAlign w:val="bottom"/>
          </w:tcPr>
          <w:p>
            <w:pPr>
              <w:spacing w:after="0"/>
              <w:rPr>
                <w:sz w:val="16"/>
                <w:szCs w:val="16"/>
                <w:color w:val="auto"/>
              </w:rPr>
            </w:pPr>
          </w:p>
        </w:tc>
        <w:tc>
          <w:tcPr>
            <w:tcW w:w="106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400" w:type="dxa"/>
            <w:vAlign w:val="bottom"/>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5,977,682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6,238,071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(260,389)</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Natur-Tec® sales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1,046,755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976,024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70,731</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1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7,024,437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7,214,095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(189,658)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05" w:lineRule="exact"/>
        <w:rPr>
          <w:sz w:val="20"/>
          <w:szCs w:val="20"/>
          <w:color w:val="auto"/>
        </w:rPr>
      </w:pPr>
    </w:p>
    <w:p>
      <w:pPr>
        <w:ind w:right="20"/>
        <w:spacing w:after="0" w:line="227" w:lineRule="auto"/>
        <w:rPr>
          <w:sz w:val="20"/>
          <w:szCs w:val="20"/>
          <w:color w:val="auto"/>
        </w:rPr>
      </w:pPr>
      <w:r>
        <w:rPr>
          <w:rFonts w:ascii="Arial" w:cs="Arial" w:eastAsia="Arial" w:hAnsi="Arial"/>
          <w:sz w:val="16"/>
          <w:szCs w:val="16"/>
          <w:color w:val="auto"/>
        </w:rPr>
        <w:t>During the three months ended November 30, 2015, 85.1%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decreased 4.2% to $5,977,682 during the three months ended November 30, 2015 compared to $6,238,071 during the same period in fiscal 2015.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w:t>
      </w:r>
    </w:p>
    <w:p>
      <w:pPr>
        <w:spacing w:after="0" w:line="2"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sizable growth opportunities, including the oil and gas sector. Overall demand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depends heavily on the overall health of the market segments to which NTIC sells its products, including the automotive, oil and gas, agriculture, and mining markets in particular. In addition, we believe demand for ZERUST® products and services in the oil and gas industry may be dependent upon oil prices, with low oil prices causing existing or potential customers to delay purchases and installations.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three months ended November 30, 2015 and 2014: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Borders>
              <w:bottom w:val="single" w:sz="8" w:color="auto"/>
            </w:tcBorders>
          </w:tcPr>
          <w:p>
            <w:pPr>
              <w:spacing w:after="0"/>
              <w:rPr>
                <w:sz w:val="20"/>
                <w:szCs w:val="20"/>
                <w:color w:val="auto"/>
              </w:rPr>
            </w:pPr>
          </w:p>
        </w:tc>
      </w:tr>
      <w:tr>
        <w:trPr>
          <w:trHeight w:val="191"/>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November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November 30,</w:t>
            </w:r>
          </w:p>
        </w:tc>
        <w:tc>
          <w:tcPr>
            <w:tcW w:w="220" w:type="dxa"/>
            <w:vAlign w:val="bottom"/>
          </w:tcPr>
          <w:p>
            <w:pPr>
              <w:spacing w:after="0"/>
              <w:rPr>
                <w:sz w:val="16"/>
                <w:szCs w:val="16"/>
                <w:color w:val="auto"/>
              </w:rPr>
            </w:pPr>
          </w:p>
        </w:tc>
        <w:tc>
          <w:tcPr>
            <w:tcW w:w="106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400" w:type="dxa"/>
            <w:vAlign w:val="bottom"/>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5,119,093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5,002,775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116,318</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1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518,350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733,104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(214,754)</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340,239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502,192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(161,953)</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4"/>
        </w:trPr>
        <w:tc>
          <w:tcPr>
            <w:tcW w:w="522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5,977,682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6,238,071</w:t>
            </w:r>
          </w:p>
        </w:tc>
        <w:tc>
          <w:tcPr>
            <w:tcW w:w="1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(260,389)</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NTIC’s net sales to the oil and gas industry sector decreased during the three months ended November 30, 2015 compared to the prior fiscal year period primarily as a result of decreased sales in Brazil. We also believe our sales of ZERUST® products and services into the oil and gas industry during the three months ended November 30, 2015 may have been adversely affected by low oil prices. NTIC anticipates that its sales of ZERUST® products and services into the oil and gas industry will continue to remain subject to significant volatility from quarter to quarter as sales are recognized.</w:t>
      </w:r>
    </w:p>
    <w:p>
      <w:pPr>
        <w:spacing w:after="0" w:line="15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the three months ended November 30, 2015, 14.9% of NTIC’s consolidated net sales were derived from sales of Natur-Tec® products, which increased 7.2% to $1,046,755 during the three months ended November 30, 2015 compared to the three months ended November 30, 2014. 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can materially affect NTIC’s quarterly sales of Natur-Tec® products and the comparisons to prior fiscal year quarters.</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1.4% for the three months ended November 30, 2015 compared to the three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2014. Cost of goods sold as a percentage of net sales increased to 69.4% for the three months ended November 30, 2015 compared to 66.6% for the three months ended November 30, 2014 primarily as a result of increased sales of Natur-Tec® products which carry lower margins than NTIC’s ZERUST® products and services.</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Equity in Income of Joint Ventures. </w:t>
      </w:r>
      <w:r>
        <w:rPr>
          <w:rFonts w:ascii="Arial" w:cs="Arial" w:eastAsia="Arial" w:hAnsi="Arial"/>
          <w:sz w:val="18"/>
          <w:szCs w:val="18"/>
          <w:color w:val="auto"/>
        </w:rPr>
        <w:t>NTIC’s equity in income of joint ventures decreased 38.8% to $983,753 during the three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compared $1,606,683 during the three months ended November 30, 2014. This decrease was primarily a result of decreases in profitability at the joint ventures, partially offset by decreases in profitability associated with the anticipated liquidation of Tianjin Zerust and adverse effects of foreign currency exchange rate fluctuations, including in particular, the Euro compared to the U.S. dollar. Of the total equity in income of joint ventures, NTIC had equity in income of joint ventures of $768,123 attributable to EXCOR during the three months ended November 30, 2015 compared to $978,096 during the three months ended November 30, 2014.</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Fees for Services Provided to Joint Ventures</w:t>
      </w:r>
      <w:r>
        <w:rPr>
          <w:rFonts w:ascii="Arial" w:cs="Arial" w:eastAsia="Arial" w:hAnsi="Arial"/>
          <w:sz w:val="18"/>
          <w:szCs w:val="18"/>
          <w:color w:val="auto"/>
        </w:rPr>
        <w:t>. NTIC recognized fee income for services provided to joint ventures of $1,485,429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November 30, 2015 compared to $2,133,670 during the three months ended November 30, 2014, representing a decrease of $648,241, or 30.4%. Fee income for services provided to joint ventures is a function of the sales made by NTIC’s joint ventures. Total net sales of NTIC’s joint ventures decreased 24.9% to $21,871,209 during the three months ended November 30, 2015 compared to $29,120,852 for the three months ended November 30, 2014 due primarily to the anticipated liquidation of Tianjin Zerust and adverse effects of foreign currency exchange rates. Net sales of NTIC’s joint ventures are not included in NTIC’s consolidated financial statements. Of the total fee income for services provided to its joint ventures, fees of $229,785 were attributable to EXCOR during the three months ended November 30, 2015 compared to $238,321 attributable to EXCOR during the three months ended November 30, 2014.</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9.3% for the three months ended November 30, 2015 compared to the same period in fiscal 2015 due to</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the formation and establishment of NTIC China’s operations. Such expenses consisted primarily of personnel expenses associated with the establishment of the subsidiary, the hiring of new personnel and initial operations. Selling expenses as a percentage of net sales increased to 21.7% for the three months ended November 30, 2015, from 19.3% during the three months ended November 30, 2014 due primarily to the decrease in net sales and increase in selling expenses, as previously described.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3" w:name="page24"/>
    <w:bookmarkEnd w:id="23"/>
    <w:p>
      <w:pPr>
        <w:ind w:right="40"/>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increased 20.8% for the three months ended November 30, 2015</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fiscal 2015 due primarily to expenses incurred to establish and operate NTIC China. As a percentage of net sales, general and administrative expenses increased to 26.4% for the three months ended November 30, 2015 from 21.3% for the three months ended November 30, 2014 due primarily to the decrease in net sales and increase in general and administrative expenses, as previously described.</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Expenses Incurred in Support of Joint Ventures. </w:t>
      </w:r>
      <w:r>
        <w:rPr>
          <w:rFonts w:ascii="Arial" w:cs="Arial" w:eastAsia="Arial" w:hAnsi="Arial"/>
          <w:sz w:val="18"/>
          <w:szCs w:val="18"/>
          <w:color w:val="auto"/>
        </w:rPr>
        <w:t>Expenses incurred in support of NTIC’s joint ventures were $316,994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2015 compared to $527,117 during the three months ended November 30, 2014, representing an decrease of 39.9%. This decrease was primarily the result of expenses incurred by NTIC’s Chinese operations being classified as selling expenses and general and administrative expenses upon the formation of NTIC’s subsidiary in January 2015.</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decreased 4.4% for the three months ended November 30, 2015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fiscal 2015 due primarily to decreases in personnel and consulting expenses.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$14,173 during the three months ended November 30, 2015 compared to $15,127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2014 due to lower average cash balances.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$4,726 during the three months ended November 30, 2015 compared to $5,005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2014.</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(Loss) Income Before Income Tax Expense</w:t>
      </w:r>
      <w:r>
        <w:rPr>
          <w:rFonts w:ascii="Arial" w:cs="Arial" w:eastAsia="Arial" w:hAnsi="Arial"/>
          <w:sz w:val="17"/>
          <w:szCs w:val="17"/>
          <w:color w:val="auto"/>
        </w:rPr>
        <w:t>. NTIC incurred a loss before income tax expense equal to $(76,144) for the three months ended November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2015 compared to income before income tax expense of $1,647,780 for the three months ended November 30, 2014.</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(Benefit) Expense</w:t>
      </w:r>
      <w:r>
        <w:rPr>
          <w:rFonts w:ascii="Arial" w:cs="Arial" w:eastAsia="Arial" w:hAnsi="Arial"/>
          <w:sz w:val="16"/>
          <w:szCs w:val="16"/>
          <w:color w:val="auto"/>
        </w:rPr>
        <w:t>. Income tax (benefit) expense was $(3,502) during the three months ended November 30, 2015 compared to tax expense of</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$183,684 during the three months ended November 30, 2014. Income tax expense was calculated based on management’s estimate of NTIC’s annual effective income tax rate.</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$18,308,141 and $18,483,377 at November 30, 2015 and August 31, 2015,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Other Comprehensive (Loss) Income - Foreign Currency Translations Adjustment. </w:t>
      </w:r>
      <w:r>
        <w:rPr>
          <w:rFonts w:ascii="Arial" w:cs="Arial" w:eastAsia="Arial" w:hAnsi="Arial"/>
          <w:sz w:val="18"/>
          <w:szCs w:val="18"/>
          <w:color w:val="auto"/>
        </w:rPr>
        <w:t>The significant changes in the foreign currency translations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the strengthening of the U.S. dollar compared to the Euro and other foreign currencies during the three months ended November 30, 2015 compared to the same period in fiscal 2015.</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was $14,756,128 at November 30, 2015, including $3,072,015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$528,867 in available for sale securities, compared to $15,603,771 at August 31, 2015, including $2,623,981 in cash and cash equivalents and $2,027,441 in available for sale securities.</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As of November 30, 2015,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January 6, 2016, PNC Bank extended the maturity date of the line of credit from January 7, 2016 to January 7, 2017.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the remainder of fiscal 2016, NTIC expects to continue to invest in NTIC China, research and development and in marketing efforts and resources into the application of its corrosion prevention technology into the oil and gas industry and its Natur-Tec®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Net cash used in operating activities during the three months ended November 30, 2015 was $750,248, which resulted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from NTIC’s equity in income from joint ventures and a decrease in accrued liabilities and increases in receivables and prepaid expenses, partially offset by dividends received by joint ventures, depreciation and amortization. Net cash used in operating activities during the three months ended November 30, 2014 was $384,121, which resulted principally from NTIC’s equity in income from joint ventures and a decrease in accrued liabilities and increases in receivables and prepaid expenses, partially offset by NTIC’s net income, depreciation and amortization.</w:t>
      </w:r>
    </w:p>
    <w:p>
      <w:pPr>
        <w:spacing w:after="0" w:line="17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both"/>
        <w:ind w:right="320"/>
        <w:spacing w:after="0" w:line="264" w:lineRule="auto"/>
        <w:rPr>
          <w:sz w:val="20"/>
          <w:szCs w:val="20"/>
          <w:color w:val="auto"/>
        </w:rPr>
      </w:pPr>
      <w:r>
        <w:rPr>
          <w:rFonts w:ascii="Arial" w:cs="Arial" w:eastAsia="Arial" w:hAnsi="Arial"/>
          <w:sz w:val="18"/>
          <w:szCs w:val="18"/>
          <w:color w:val="auto"/>
        </w:rPr>
        <w:t>NTIC experienced a decrease in trade receivables and an increase in inventory as of November 30, 2015 compared to August 31, 2015. Trade receivables excluding joint ventures as of November 30, 2015 decreased $389,780 compared to August 31, 2015, primarily related to miscellaneous differences in the timing of collections and the decrease in sales.</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Outstanding trade receivables excluding joint ventures balances as of November 30, 2015 increased one day to an average of 51 days from balances outstanding from these customers as of August 31, 2015.</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Outstanding trade receivables from joint ventures as of November 30, 2015 decreased $45,761 compared to August 31, 2015 primarily due to the timing of payments. Outstanding balances from trade receivables from joint ventures increased an average of 11 days from an average of 93 days from balances outstanding from these customers compared to August 31, 2015. The significant average days outstanding of trade receivables from joint ventures as of November 30, 2015 were primarily due to the receivables balances at NTIC’s joint venture in South Korea and Tianjin Zerust. Because of the lack of financial and other information received from Tianjin Zerust, it is possible that if and when financial and other information is received from Tianjin Zerust that NTIC may need to recognize an impairment charge on its receivable from Tianjin Zerust. NTIC estimates that its maximum exposure in terms of an impairment charge on this receivable would be approximately $114,000.</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Outstanding receivables for services provided to joint ventures as of November 30, 2015 increased $46,892 compared to August 31, 2015 and decreased 12 days to an average of 92 days compared to August 31, 2015.</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provided by investing activities for the three months ended November 30, 2015 was $1,221,787, which was primarily the result of cash proceeds from the sale of available for sale securities, partially offset by additions to property and equipment and additions to patents. Net cash provided by investing activities for the three months ended November 30, 2014 was $972,059, which was primarily the result of cash proceeds from the sale of available for sale securities</w:t>
      </w:r>
      <w:r>
        <w:rPr>
          <w:rFonts w:ascii="Arial" w:cs="Arial" w:eastAsia="Arial" w:hAnsi="Arial"/>
          <w:sz w:val="18"/>
          <w:szCs w:val="18"/>
          <w:b w:val="1"/>
          <w:bCs w:val="1"/>
          <w:color w:val="auto"/>
        </w:rPr>
        <w:t>,</w:t>
      </w:r>
      <w:r>
        <w:rPr>
          <w:rFonts w:ascii="Arial" w:cs="Arial" w:eastAsia="Arial" w:hAnsi="Arial"/>
          <w:sz w:val="18"/>
          <w:szCs w:val="18"/>
          <w:color w:val="auto"/>
        </w:rPr>
        <w:t xml:space="preserve"> partially offset by additions to property and equipment and additions to patents.</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used in financing activities for the three months ended November 30, 2015 was $12,706, which resulted from stock repurchases, partially offset by proceeds from NTIC’s employee stock purchase plan. Net cash used in financing activities for the three months ended November 30, 2014 was $437,930, which resulted from a dividend paid to a non-controlling interest, partially offset by proceeds from stock option exercises and NTIC’s employee stock purchase plan.</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Share Repurchase Plan</w:t>
      </w:r>
      <w:r>
        <w:rPr>
          <w:rFonts w:ascii="Arial" w:cs="Arial" w:eastAsia="Arial" w:hAnsi="Arial"/>
          <w:sz w:val="18"/>
          <w:szCs w:val="18"/>
          <w:color w:val="auto"/>
        </w:rPr>
        <w:t>. On January 15, 2015, NTIC’s Board of Directors authorized the repurchase of up to $3,000,000 in shares of NTIC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market purchases or unsolicited or solicited privately negotiated transactions. This program has no expiration date but may be terminated by NTIC’s Board of Directors at any time. As of November 30, 2015, up to $2,927,927 in shares of NTIC common stock remained available for repurchase under NTIC’s stock repurchase program.</w:t>
      </w:r>
    </w:p>
    <w:p>
      <w:pPr>
        <w:spacing w:after="0" w:line="18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$264,188 on capital expenditures during the three months ended November 30, 2015, which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purchase of new equipment. NTIC expects to spend an aggregate of approximately $300,000 to $400,000 on capital expenditures during fiscal 2016, which will relate primarily to the purchase of new equipment.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There has been no material change to NTIC’s contractual obligations as provided in “Part II. Item 7, Management’s Discussion and Analysis of Financial Condition and Results of Operations—Contractual Obligations,” included in NTIC’s annual report on Form 10-K for the fiscal year ended August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United States and abroad historically has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2015, NTIC had no borrowings under the line of credit.</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establishment of NTIC China.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jc w:val="both"/>
        <w:ind w:left="900" w:right="280" w:hanging="244"/>
        <w:spacing w:after="0" w:line="31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establishment of NTIC China, the termination of the joint venture agreements with Tianjin Zerust, the pending litigation against Mr. Tao Meng and Cortec Corporation and the anticipated liquidation of Tianjin Zerust and the effect on NTIC’s business and future operating results, including possible future impairment charges on NTIC’s investment in Tianjin Zerust and a receivable from Tianjin Zerust;</w:t>
      </w:r>
    </w:p>
    <w:p>
      <w:pPr>
        <w:spacing w:after="0" w:line="146" w:lineRule="exact"/>
        <w:rPr>
          <w:rFonts w:ascii="Arial" w:cs="Arial" w:eastAsia="Arial" w:hAnsi="Arial"/>
          <w:sz w:val="16"/>
          <w:szCs w:val="16"/>
          <w:color w:val="auto"/>
        </w:rPr>
      </w:pPr>
    </w:p>
    <w:p>
      <w:pPr>
        <w:ind w:left="980" w:right="3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174" w:lineRule="exact"/>
        <w:rPr>
          <w:rFonts w:ascii="Arial" w:cs="Arial" w:eastAsia="Arial" w:hAnsi="Arial"/>
          <w:sz w:val="18"/>
          <w:szCs w:val="18"/>
          <w:color w:val="auto"/>
        </w:rPr>
      </w:pPr>
    </w:p>
    <w:p>
      <w:pPr>
        <w:ind w:left="980" w:right="500" w:hanging="324"/>
        <w:spacing w:after="0" w:line="202" w:lineRule="auto"/>
        <w:tabs>
          <w:tab w:leader="none" w:pos="980" w:val="left"/>
        </w:tabs>
        <w:numPr>
          <w:ilvl w:val="0"/>
          <w:numId w:val="14"/>
        </w:numPr>
        <w:rPr>
          <w:rFonts w:ascii="Arial" w:cs="Arial" w:eastAsia="Arial" w:hAnsi="Arial"/>
          <w:sz w:val="36"/>
          <w:szCs w:val="36"/>
          <w:color w:val="auto"/>
          <w:vertAlign w:val="superscript"/>
        </w:rPr>
      </w:pPr>
      <w:r>
        <w:rPr>
          <w:rFonts w:ascii="Arial" w:cs="Arial" w:eastAsia="Arial" w:hAnsi="Arial"/>
          <w:sz w:val="18"/>
          <w:szCs w:val="18"/>
          <w:color w:val="auto"/>
        </w:rPr>
        <w:t>The variability in NTIC’s sales of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of joint venture in turn, subject NTIC’s earnings to quarterly fluctuations;</w:t>
      </w:r>
    </w:p>
    <w:p>
      <w:pPr>
        <w:spacing w:after="0" w:line="204" w:lineRule="exact"/>
        <w:rPr>
          <w:rFonts w:ascii="Arial" w:cs="Arial" w:eastAsia="Arial" w:hAnsi="Arial"/>
          <w:sz w:val="36"/>
          <w:szCs w:val="36"/>
          <w:color w:val="auto"/>
          <w:vertAlign w:val="superscript"/>
        </w:rPr>
      </w:pPr>
    </w:p>
    <w:p>
      <w:pPr>
        <w:ind w:left="980" w:right="3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8" w:name="page29"/>
    <w:bookmarkEnd w:id="28"/>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324" w:right="120" w:hanging="324"/>
        <w:spacing w:after="0" w:line="277" w:lineRule="auto"/>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324" w:right="80" w:hanging="324"/>
        <w:spacing w:after="0" w:line="277" w:lineRule="auto"/>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dependence upon sales by Zerust Brazil to Petroleo Brasileiro S.A. (Petrobras), an oil company located in Brazil, and the effect of such sales on NTIC’s quarterly operating results, including in particular its net sales and margins;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324" w:right="60" w:hanging="324"/>
        <w:spacing w:after="0" w:line="222" w:lineRule="auto"/>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324" w:right="300" w:hanging="324"/>
        <w:spacing w:after="0" w:line="186" w:lineRule="auto"/>
        <w:tabs>
          <w:tab w:leader="none" w:pos="324" w:val="left"/>
        </w:tabs>
        <w:numPr>
          <w:ilvl w:val="0"/>
          <w:numId w:val="15"/>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324" w:hanging="324"/>
        <w:spacing w:after="0" w:line="186" w:lineRule="auto"/>
        <w:tabs>
          <w:tab w:leader="none" w:pos="324" w:val="left"/>
        </w:tabs>
        <w:numPr>
          <w:ilvl w:val="0"/>
          <w:numId w:val="15"/>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5"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78" w:lineRule="exact"/>
        <w:rPr>
          <w:rFonts w:ascii="Arial" w:cs="Arial" w:eastAsia="Arial" w:hAnsi="Arial"/>
          <w:sz w:val="36"/>
          <w:szCs w:val="36"/>
          <w:color w:val="auto"/>
          <w:vertAlign w:val="superscript"/>
        </w:rPr>
      </w:pPr>
    </w:p>
    <w:p>
      <w:pPr>
        <w:ind w:left="324" w:right="300" w:hanging="324"/>
        <w:spacing w:after="0" w:line="277" w:lineRule="auto"/>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00" w:lineRule="exact"/>
        <w:rPr>
          <w:sz w:val="20"/>
          <w:szCs w:val="20"/>
          <w:color w:val="auto"/>
        </w:rPr>
      </w:pPr>
    </w:p>
    <w:p>
      <w:pPr>
        <w:spacing w:after="0" w:line="241"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24"/>
          </w:cols>
          <w:pgMar w:left="896" w:top="935" w:right="279" w:bottom="1440" w:gutter="0" w:footer="0" w:header="0"/>
        </w:sectPr>
      </w:pPr>
    </w:p>
    <w:bookmarkStart w:id="29" w:name="page30"/>
    <w:bookmarkEnd w:id="29"/>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accelerated filer status and its joint venture arrangements;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2015 under the heading “Part I. Item 1A. Risk Factors.”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2015,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2015 that has materially affected, or is reasonably likely to materially affect NTIC’s internal control over financial reporting.</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March 23, 2015, NTIC and NTI Asean LLC, a majority-owned subsidiary of NTIC, filed a lawsuit in Tianjin No 1 Intermediate People’s Court against two individuals, Meng Tao and Xu Hui, related to breaches of duties and contractual commitments owed to NTI Asean under certain agreements related to NTIC’s former joint venture in China, Tianjin Zerust Anti-Corrosion Technologies Ltd. The lawsuit alleges, among other things, that Mr. Meng Tao and Xu Hui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18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April 21, 2015, NTIC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NTIC’s joint venture in China, Tianjin Zerust. On November 4, 2015, NTIC and NTI Asean were permitted to file an amended complaint adding new counts, including, but not limited to, one for breach of contract, arising out of Cortec’s breach of a 2005 Settlement Agreement and Consent Order. The case was subsequently assigned to the complex civil jury trial calendar, extending deadlines for discovery and trial. The current discovery deadline is September 23, 2016 and the trial will be scheduled during the March 27-April 14, 2017 jury trial block in Ramsey County. The parties attended a court ordered mediation on September 24, 2015 which did not result in a settlement. A second mediation deadline of August 12, 2016 was set by the court in the amended scheduling order.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NTIC is affected by risks specific to NTIC as well as factors that affect all businesses operating in a global market. For a discussion of the specific risks that could materially adversely affect NTIC’s business, financial condition or operating results, please see NTIC’s annual report on Form 10-K for the fiscal year ended August 31, 2015 under the heading “Part I — Item 1A. Risk Factors.” There have been no material changes to the risk factors as disclosed in that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three months ended November 30, 2015,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first quarter of fiscal 2016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680" w:type="dxa"/>
            <w:vAlign w:val="bottom"/>
            <w:tcBorders>
              <w:top w:val="single" w:sz="8" w:color="auto"/>
              <w:left w:val="single" w:sz="8" w:color="auto"/>
              <w:right w:val="single" w:sz="8" w:color="auto"/>
            </w:tcBorders>
          </w:tcPr>
          <w:p>
            <w:pPr>
              <w:spacing w:after="0"/>
              <w:rPr>
                <w:sz w:val="20"/>
                <w:szCs w:val="20"/>
                <w:color w:val="auto"/>
              </w:rPr>
            </w:pPr>
          </w:p>
        </w:tc>
        <w:tc>
          <w:tcPr>
            <w:tcW w:w="1960" w:type="dxa"/>
            <w:vAlign w:val="bottom"/>
            <w:tcBorders>
              <w:top w:val="single" w:sz="8" w:color="auto"/>
              <w:right w:val="single" w:sz="8" w:color="auto"/>
            </w:tcBorders>
          </w:tcPr>
          <w:p>
            <w:pPr>
              <w:spacing w:after="0"/>
              <w:rPr>
                <w:sz w:val="20"/>
                <w:szCs w:val="20"/>
                <w:color w:val="auto"/>
              </w:rPr>
            </w:pPr>
          </w:p>
        </w:tc>
        <w:tc>
          <w:tcPr>
            <w:tcW w:w="1920" w:type="dxa"/>
            <w:vAlign w:val="bottom"/>
            <w:tcBorders>
              <w:top w:val="single" w:sz="8" w:color="auto"/>
              <w:right w:val="single" w:sz="8" w:color="auto"/>
            </w:tcBorders>
          </w:tcPr>
          <w:p>
            <w:pPr>
              <w:spacing w:after="0"/>
              <w:rPr>
                <w:sz w:val="20"/>
                <w:szCs w:val="20"/>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Purchased As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Total Number</w:t>
            </w: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of Shares</w:t>
            </w:r>
          </w:p>
        </w:tc>
        <w:tc>
          <w:tcPr>
            <w:tcW w:w="19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Average Price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(or Units)</w:t>
            </w:r>
          </w:p>
        </w:tc>
        <w:tc>
          <w:tcPr>
            <w:tcW w:w="19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Paid Per Share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9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Purchased</w:t>
            </w:r>
          </w:p>
        </w:tc>
        <w:tc>
          <w:tcPr>
            <w:tcW w:w="19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7"/>
              </w:rPr>
              <w:t>(or Unit)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22"/>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September 1, 2015 through September 30,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3,166</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$15.07</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30"/>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2015</w:t>
            </w:r>
          </w:p>
        </w:tc>
        <w:tc>
          <w:tcPr>
            <w:tcW w:w="19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October 1, 2015 through October 31, 2015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November 1, 2015 through November 30, 2015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3,166</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$15.07</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642"/>
        </w:trPr>
        <w:tc>
          <w:tcPr>
            <w:tcW w:w="3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20" w:type="dxa"/>
            <w:vAlign w:val="bottom"/>
          </w:tcPr>
          <w:p>
            <w:pPr>
              <w:jc w:val="right"/>
              <w:ind w:right="1650"/>
              <w:spacing w:after="0"/>
              <w:rPr>
                <w:sz w:val="20"/>
                <w:szCs w:val="20"/>
                <w:color w:val="auto"/>
              </w:rPr>
            </w:pPr>
            <w:r>
              <w:rPr>
                <w:rFonts w:ascii="Arial" w:cs="Arial" w:eastAsia="Arial" w:hAnsi="Arial"/>
                <w:sz w:val="18"/>
                <w:szCs w:val="18"/>
                <w:color w:val="auto"/>
                <w:w w:val="79"/>
              </w:rPr>
              <w:t>29</w:t>
            </w: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68"/>
        </w:trPr>
        <w:tc>
          <w:tcPr>
            <w:tcW w:w="3680" w:type="dxa"/>
            <w:vAlign w:val="bottom"/>
            <w:tcBorders>
              <w:left w:val="single" w:sz="8" w:color="auto"/>
              <w:right w:val="single" w:sz="8" w:color="auto"/>
            </w:tcBorders>
            <w:shd w:val="clear" w:color="auto" w:fill="000000"/>
          </w:tcPr>
          <w:p>
            <w:pPr>
              <w:spacing w:after="0"/>
              <w:rPr>
                <w:sz w:val="5"/>
                <w:szCs w:val="5"/>
                <w:color w:val="auto"/>
              </w:rPr>
            </w:pPr>
          </w:p>
        </w:tc>
        <w:tc>
          <w:tcPr>
            <w:tcW w:w="1960" w:type="dxa"/>
            <w:vAlign w:val="bottom"/>
            <w:tcBorders>
              <w:right w:val="single" w:sz="8" w:color="auto"/>
            </w:tcBorders>
            <w:shd w:val="clear" w:color="auto" w:fill="000000"/>
          </w:tcPr>
          <w:p>
            <w:pPr>
              <w:spacing w:after="0"/>
              <w:rPr>
                <w:sz w:val="5"/>
                <w:szCs w:val="5"/>
                <w:color w:val="auto"/>
              </w:rPr>
            </w:pPr>
          </w:p>
        </w:tc>
        <w:tc>
          <w:tcPr>
            <w:tcW w:w="1920" w:type="dxa"/>
            <w:vAlign w:val="bottom"/>
            <w:tcBorders>
              <w:right w:val="single" w:sz="8" w:color="auto"/>
            </w:tcBorders>
            <w:shd w:val="clear" w:color="auto" w:fill="000000"/>
          </w:tcPr>
          <w:p>
            <w:pPr>
              <w:spacing w:after="0"/>
              <w:rPr>
                <w:sz w:val="5"/>
                <w:szCs w:val="5"/>
                <w:color w:val="auto"/>
              </w:rPr>
            </w:pPr>
          </w:p>
        </w:tc>
        <w:tc>
          <w:tcPr>
            <w:tcW w:w="1940" w:type="dxa"/>
            <w:vAlign w:val="bottom"/>
            <w:tcBorders>
              <w:right w:val="single" w:sz="8" w:color="auto"/>
            </w:tcBorders>
            <w:shd w:val="clear" w:color="auto" w:fill="000000"/>
          </w:tcPr>
          <w:p>
            <w:pPr>
              <w:spacing w:after="0"/>
              <w:rPr>
                <w:sz w:val="5"/>
                <w:szCs w:val="5"/>
                <w:color w:val="auto"/>
              </w:rPr>
            </w:pPr>
          </w:p>
        </w:tc>
        <w:tc>
          <w:tcPr>
            <w:tcW w:w="19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904" w:right="239" w:bottom="1440" w:gutter="0" w:footer="0" w:header="0"/>
        </w:sectPr>
      </w:pPr>
    </w:p>
    <w:bookmarkStart w:id="32" w:name="page33"/>
    <w:bookmarkEnd w:id="32"/>
    <w:p>
      <w:pPr>
        <w:ind w:left="660" w:right="34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November 30, 2015, up to $2,927,927 in shares of NTIC common stock remained available for repurchase under NTIC’s stock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6, 2016, PNC Bank extended the maturity date of NTIC’s line of credit with PNC Bank from January 7, 2016 to January 7, 2017. All other terms of the line of credit and the loan agreement and other documents evidencing the line of credit remain the same.</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PNC Bank and its affiliates have in the past performed, and may in the future from time to time perform, investment banking, financial advisory, lending and/or commercial banking services for NTIC and its subsidiaries in arm’s length transactions, on terms customarily available to unrelated third-parties and for which services it has in the past received, and may in the future receive, customary compensation and reimbursement of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80"/>
        <w:spacing w:after="0"/>
        <w:tabs>
          <w:tab w:leader="none" w:pos="118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0"/>
          <w:szCs w:val="20"/>
          <w:color w:val="auto"/>
        </w:rPr>
      </w:pPr>
    </w:p>
    <w:p>
      <w:pPr>
        <w:ind w:left="1200" w:right="220" w:hanging="839"/>
        <w:spacing w:after="0" w:line="277" w:lineRule="auto"/>
        <w:tabs>
          <w:tab w:leader="none" w:pos="1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Exchange Act Rules 13a-14(a)/15d-14(a), as Adopted Pursuant to Section 302 of the Sarbanes-Oxley Act of 2002 (filed herewith)</w:t>
      </w:r>
    </w:p>
    <w:p>
      <w:pPr>
        <w:spacing w:after="0" w:line="35" w:lineRule="exact"/>
        <w:rPr>
          <w:sz w:val="20"/>
          <w:szCs w:val="20"/>
          <w:color w:val="auto"/>
        </w:rPr>
      </w:pPr>
    </w:p>
    <w:p>
      <w:pPr>
        <w:ind w:left="1200" w:right="280" w:hanging="839"/>
        <w:spacing w:after="0" w:line="277" w:lineRule="auto"/>
        <w:tabs>
          <w:tab w:leader="none" w:pos="1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Exchange Act Rules 13a-14(a)/15d-14(a), as Adopted Pursuant to Section 302 of the Sarbanes-Oxley Act of 2002 (filed herewith)</w:t>
      </w:r>
    </w:p>
    <w:p>
      <w:pPr>
        <w:spacing w:after="0" w:line="35" w:lineRule="exact"/>
        <w:rPr>
          <w:sz w:val="20"/>
          <w:szCs w:val="20"/>
          <w:color w:val="auto"/>
        </w:rPr>
      </w:pPr>
    </w:p>
    <w:p>
      <w:pPr>
        <w:ind w:left="1200" w:hanging="839"/>
        <w:spacing w:after="0" w:line="277" w:lineRule="auto"/>
        <w:tabs>
          <w:tab w:leader="none" w:pos="1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 (furnished herewith)</w:t>
      </w:r>
    </w:p>
    <w:p>
      <w:pPr>
        <w:spacing w:after="0" w:line="35" w:lineRule="exact"/>
        <w:rPr>
          <w:sz w:val="20"/>
          <w:szCs w:val="20"/>
          <w:color w:val="auto"/>
        </w:rPr>
      </w:pPr>
    </w:p>
    <w:p>
      <w:pPr>
        <w:ind w:left="1200" w:right="40" w:hanging="839"/>
        <w:spacing w:after="0" w:line="277" w:lineRule="auto"/>
        <w:tabs>
          <w:tab w:leader="none" w:pos="11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2002 (furnished herewith)</w:t>
      </w:r>
    </w:p>
    <w:p>
      <w:pPr>
        <w:spacing w:after="0" w:line="35" w:lineRule="exact"/>
        <w:rPr>
          <w:sz w:val="20"/>
          <w:szCs w:val="20"/>
          <w:color w:val="auto"/>
        </w:rPr>
      </w:pPr>
    </w:p>
    <w:p>
      <w:pPr>
        <w:ind w:left="1200" w:right="80" w:hanging="821"/>
        <w:spacing w:after="0" w:line="279" w:lineRule="auto"/>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materials from NTIC’s Quarterly Report on Form 10-Q for the fiscal quarter ended November 30, 2015, formatted in XBRL (Extensible Business Reporting Language): (i) the unaudited Consolidated Balance Sheets, (ii) the unaudited Consolidated Statements of Operations, (iii) the unaudited Consolidated Statements of Comprehensive Income (Loss), (iv) the unaudited Consolidated Statements of Cash Flows, and (v) Notes to Condensed Financial Statements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1121" w:right="359" w:bottom="1440" w:gutter="0" w:footer="0" w:header="0"/>
        </w:sectPr>
      </w:pPr>
    </w:p>
    <w:bookmarkStart w:id="34" w:name="page35"/>
    <w:bookmarkEnd w:id="34"/>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94361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3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January 11, 2016</w:t>
            </w: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12"/>
        </w:trPr>
        <w:tc>
          <w:tcPr>
            <w:tcW w:w="57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49"/>
        </w:trPr>
        <w:tc>
          <w:tcPr>
            <w:tcW w:w="57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(Principal Financial and Accounting Officer and</w:t>
            </w:r>
          </w:p>
        </w:tc>
      </w:tr>
      <w:tr>
        <w:trPr>
          <w:trHeight w:val="182"/>
        </w:trPr>
        <w:tc>
          <w:tcPr>
            <w:tcW w:w="57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18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Exhibit</w:t>
            </w:r>
          </w:p>
        </w:tc>
        <w:tc>
          <w:tcPr>
            <w:tcW w:w="7400" w:type="dxa"/>
            <w:vAlign w:val="bottom"/>
            <w:tcBorders>
              <w:top w:val="single" w:sz="8" w:color="auto"/>
              <w:right w:val="single" w:sz="8" w:color="auto"/>
            </w:tcBorders>
          </w:tcPr>
          <w:p>
            <w:pPr>
              <w:spacing w:after="0"/>
              <w:rPr>
                <w:sz w:val="23"/>
                <w:szCs w:val="23"/>
                <w:color w:val="auto"/>
              </w:rPr>
            </w:pPr>
          </w:p>
        </w:tc>
        <w:tc>
          <w:tcPr>
            <w:tcW w:w="2840" w:type="dxa"/>
            <w:vAlign w:val="bottom"/>
            <w:tcBorders>
              <w:top w:val="single" w:sz="8" w:color="auto"/>
              <w:right w:val="single" w:sz="8" w:color="auto"/>
            </w:tcBorders>
          </w:tcPr>
          <w:p>
            <w:pPr>
              <w:spacing w:after="0"/>
              <w:rPr>
                <w:sz w:val="23"/>
                <w:szCs w:val="23"/>
                <w:color w:val="auto"/>
              </w:rPr>
            </w:pPr>
          </w:p>
        </w:tc>
      </w:tr>
      <w:tr>
        <w:trPr>
          <w:trHeight w:val="234"/>
        </w:trPr>
        <w:tc>
          <w:tcPr>
            <w:tcW w:w="118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No.</w:t>
            </w:r>
          </w:p>
        </w:tc>
        <w:tc>
          <w:tcPr>
            <w:tcW w:w="7400" w:type="dxa"/>
            <w:vAlign w:val="bottom"/>
            <w:tcBorders>
              <w:right w:val="single" w:sz="8" w:color="auto"/>
            </w:tcBorders>
          </w:tcPr>
          <w:p>
            <w:pPr>
              <w:ind w:left="3260"/>
              <w:spacing w:after="0"/>
              <w:rPr>
                <w:sz w:val="20"/>
                <w:szCs w:val="20"/>
                <w:color w:val="auto"/>
              </w:rPr>
            </w:pPr>
            <w:r>
              <w:rPr>
                <w:rFonts w:ascii="Arial" w:cs="Arial" w:eastAsia="Arial" w:hAnsi="Arial"/>
                <w:sz w:val="18"/>
                <w:szCs w:val="18"/>
                <w:b w:val="1"/>
                <w:bCs w:val="1"/>
                <w:color w:val="auto"/>
              </w:rPr>
              <w:t>Description</w:t>
            </w:r>
          </w:p>
        </w:tc>
        <w:tc>
          <w:tcPr>
            <w:tcW w:w="284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Method of Filing</w:t>
            </w: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740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49"/>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Certification of Chief Executive Officer Pursuant to Exchange Act Rules 13a-14(a)/15d-14(a), as</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c>
          <w:tcPr>
            <w:tcW w:w="2840" w:type="dxa"/>
            <w:vAlign w:val="bottom"/>
            <w:tcBorders>
              <w:right w:val="single" w:sz="8" w:color="auto"/>
            </w:tcBorders>
          </w:tcPr>
          <w:p>
            <w:pPr>
              <w:spacing w:after="0"/>
              <w:rPr>
                <w:sz w:val="20"/>
                <w:szCs w:val="20"/>
                <w:color w:val="auto"/>
              </w:rPr>
            </w:pP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740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49"/>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31.2</w:t>
            </w: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Certification of Chief Financial Officer Pursuant to Exchange Act Rules 13a-14(a)/15d-14(a), as</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c>
          <w:tcPr>
            <w:tcW w:w="2840" w:type="dxa"/>
            <w:vAlign w:val="bottom"/>
            <w:tcBorders>
              <w:right w:val="single" w:sz="8" w:color="auto"/>
            </w:tcBorders>
          </w:tcPr>
          <w:p>
            <w:pPr>
              <w:spacing w:after="0"/>
              <w:rPr>
                <w:sz w:val="20"/>
                <w:szCs w:val="20"/>
                <w:color w:val="auto"/>
              </w:rPr>
            </w:pP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740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49"/>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32.1</w:t>
            </w: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Furnished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906 of the Sarbanes-Oxley Act of 2002</w:t>
            </w:r>
          </w:p>
        </w:tc>
        <w:tc>
          <w:tcPr>
            <w:tcW w:w="2840" w:type="dxa"/>
            <w:vAlign w:val="bottom"/>
            <w:tcBorders>
              <w:right w:val="single" w:sz="8" w:color="auto"/>
            </w:tcBorders>
          </w:tcPr>
          <w:p>
            <w:pPr>
              <w:spacing w:after="0"/>
              <w:rPr>
                <w:sz w:val="20"/>
                <w:szCs w:val="20"/>
                <w:color w:val="auto"/>
              </w:rPr>
            </w:pP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740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49"/>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32.2</w:t>
            </w: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Furnished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906 of the Sarbanes-Oxley Act of 2002</w:t>
            </w:r>
          </w:p>
        </w:tc>
        <w:tc>
          <w:tcPr>
            <w:tcW w:w="2840" w:type="dxa"/>
            <w:vAlign w:val="bottom"/>
            <w:tcBorders>
              <w:right w:val="single" w:sz="8" w:color="auto"/>
            </w:tcBorders>
          </w:tcPr>
          <w:p>
            <w:pPr>
              <w:spacing w:after="0"/>
              <w:rPr>
                <w:sz w:val="20"/>
                <w:szCs w:val="20"/>
                <w:color w:val="auto"/>
              </w:rPr>
            </w:pP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740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49"/>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101</w:t>
            </w: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The following materials from Northern Technologies International Corporation’s Quarterly Report</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on Form 10-Q for the fiscal quarter ended November 30, 2015, formatted in XBRL (Extensible</w:t>
            </w:r>
          </w:p>
        </w:tc>
        <w:tc>
          <w:tcPr>
            <w:tcW w:w="284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Business Reporting Language): (i) the unaudited Consolidated Balance Sheets, (ii) the unaudited</w:t>
            </w:r>
          </w:p>
        </w:tc>
        <w:tc>
          <w:tcPr>
            <w:tcW w:w="284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Consolidated Statements of Operations, (iii) the unaudited Consolidated Statements of</w:t>
            </w:r>
          </w:p>
        </w:tc>
        <w:tc>
          <w:tcPr>
            <w:tcW w:w="284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Comprehensive Income (Loss), (iv) the unaudited Consolidated Statements of Cash Flows, and (v)</w:t>
            </w:r>
          </w:p>
        </w:tc>
        <w:tc>
          <w:tcPr>
            <w:tcW w:w="2840" w:type="dxa"/>
            <w:vAlign w:val="bottom"/>
            <w:tcBorders>
              <w:right w:val="single" w:sz="8" w:color="auto"/>
            </w:tcBorders>
          </w:tcPr>
          <w:p>
            <w:pPr>
              <w:spacing w:after="0"/>
              <w:rPr>
                <w:sz w:val="18"/>
                <w:szCs w:val="18"/>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Notes to Condensed Financial Statements</w:t>
            </w:r>
          </w:p>
        </w:tc>
        <w:tc>
          <w:tcPr>
            <w:tcW w:w="2840" w:type="dxa"/>
            <w:vAlign w:val="bottom"/>
            <w:tcBorders>
              <w:right w:val="single" w:sz="8" w:color="auto"/>
            </w:tcBorders>
          </w:tcPr>
          <w:p>
            <w:pPr>
              <w:spacing w:after="0"/>
              <w:rPr>
                <w:sz w:val="20"/>
                <w:szCs w:val="20"/>
                <w:color w:val="auto"/>
              </w:rPr>
            </w:pPr>
          </w:p>
        </w:tc>
      </w:tr>
      <w:tr>
        <w:trPr>
          <w:trHeight w:val="54"/>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740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20" w:firstLine="8"/>
        <w:spacing w:after="0" w:line="264" w:lineRule="auto"/>
        <w:tabs>
          <w:tab w:leader="none" w:pos="14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80" w:firstLine="8"/>
        <w:spacing w:after="0" w:line="264" w:lineRule="auto"/>
        <w:tabs>
          <w:tab w:leader="none" w:pos="1515"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200" w:firstLine="8"/>
        <w:spacing w:after="0" w:line="342" w:lineRule="auto"/>
        <w:tabs>
          <w:tab w:leader="none" w:pos="1505" w:val="left"/>
        </w:tabs>
        <w:numPr>
          <w:ilvl w:val="2"/>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120" w:firstLine="8"/>
        <w:spacing w:after="0" w:line="264" w:lineRule="auto"/>
        <w:tabs>
          <w:tab w:leader="none" w:pos="1515" w:val="left"/>
        </w:tabs>
        <w:numPr>
          <w:ilvl w:val="2"/>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6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400"/>
        <w:spacing w:after="0" w:line="308" w:lineRule="auto"/>
        <w:tabs>
          <w:tab w:leader="none" w:pos="1455"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160" w:firstLine="5"/>
        <w:spacing w:after="0" w:line="277" w:lineRule="auto"/>
        <w:tabs>
          <w:tab w:leader="none" w:pos="14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ind w:left="5720" w:right="3680" w:hanging="5712"/>
        <w:spacing w:after="0"/>
        <w:rPr>
          <w:sz w:val="20"/>
          <w:szCs w:val="20"/>
          <w:color w:val="auto"/>
        </w:rPr>
      </w:pPr>
      <w:r>
        <w:rPr>
          <w:rFonts w:ascii="Arial" w:cs="Arial" w:eastAsia="Arial" w:hAnsi="Arial"/>
          <w:sz w:val="18"/>
          <w:szCs w:val="18"/>
          <w:color w:val="auto"/>
        </w:rPr>
        <w:t xml:space="preserve">Date: January 11, 2016 </w:t>
      </w:r>
      <w:r>
        <w:rPr>
          <w:sz w:val="1"/>
          <w:szCs w:val="1"/>
          <w:color w:val="auto"/>
        </w:rPr>
        <w:drawing>
          <wp:inline distT="0" distB="0" distL="0" distR="0">
            <wp:extent cx="1286510" cy="32575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6510" cy="325755"/>
                    </a:xfrm>
                    <a:prstGeom prst="rect">
                      <a:avLst/>
                    </a:prstGeom>
                    <a:noFill/>
                    <a:ln>
                      <a:noFill/>
                    </a:ln>
                  </pic:spPr>
                </pic:pic>
              </a:graphicData>
            </a:graphic>
          </wp:inline>
        </w:drawing>
      </w:r>
      <w:r>
        <w:rPr>
          <w:rFonts w:ascii="Arial" w:cs="Arial" w:eastAsia="Arial" w:hAnsi="Arial"/>
          <w:sz w:val="18"/>
          <w:szCs w:val="18"/>
          <w:color w:val="auto"/>
        </w:rPr>
        <w:t xml:space="preserve"> 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538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20" w:firstLine="8"/>
        <w:spacing w:after="0" w:line="264" w:lineRule="auto"/>
        <w:tabs>
          <w:tab w:leader="none" w:pos="1505"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0" w:firstLine="8"/>
        <w:spacing w:after="0" w:line="264" w:lineRule="auto"/>
        <w:tabs>
          <w:tab w:leader="none" w:pos="15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160" w:firstLine="8"/>
        <w:spacing w:after="0" w:line="342" w:lineRule="auto"/>
        <w:tabs>
          <w:tab w:leader="none" w:pos="1550" w:val="left"/>
        </w:tabs>
        <w:numPr>
          <w:ilvl w:val="2"/>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120" w:firstLine="8"/>
        <w:spacing w:after="0" w:line="264" w:lineRule="auto"/>
        <w:tabs>
          <w:tab w:leader="none" w:pos="1515" w:val="left"/>
        </w:tabs>
        <w:numPr>
          <w:ilvl w:val="2"/>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60" w:hanging="512"/>
        <w:spacing w:after="0" w:line="308"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400"/>
        <w:spacing w:after="0" w:line="308" w:lineRule="auto"/>
        <w:tabs>
          <w:tab w:leader="none" w:pos="145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160" w:firstLine="5"/>
        <w:spacing w:after="0" w:line="277" w:lineRule="auto"/>
        <w:tabs>
          <w:tab w:leader="none" w:pos="146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ind w:left="5720" w:right="3740" w:hanging="5712"/>
        <w:spacing w:after="0"/>
        <w:rPr>
          <w:sz w:val="20"/>
          <w:szCs w:val="20"/>
          <w:color w:val="auto"/>
        </w:rPr>
      </w:pPr>
      <w:r>
        <w:rPr>
          <w:rFonts w:ascii="Arial" w:cs="Arial" w:eastAsia="Arial" w:hAnsi="Arial"/>
          <w:sz w:val="18"/>
          <w:szCs w:val="18"/>
          <w:color w:val="auto"/>
        </w:rPr>
        <w:t xml:space="preserve">Date: January 11, 2016 </w:t>
      </w:r>
      <w:r>
        <w:rPr>
          <w:sz w:val="1"/>
          <w:szCs w:val="1"/>
          <w:color w:val="auto"/>
        </w:rPr>
        <w:drawing>
          <wp:inline distT="0" distB="0" distL="0" distR="0">
            <wp:extent cx="943610" cy="30861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3610" cy="308610"/>
                    </a:xfrm>
                    <a:prstGeom prst="rect">
                      <a:avLst/>
                    </a:prstGeom>
                    <a:noFill/>
                    <a:ln>
                      <a:noFill/>
                    </a:ln>
                  </pic:spPr>
                </pic:pic>
              </a:graphicData>
            </a:graphic>
          </wp:inline>
        </w:drawing>
      </w:r>
      <w:r>
        <w:rPr>
          <w:rFonts w:ascii="Arial" w:cs="Arial" w:eastAsia="Arial" w:hAnsi="Arial"/>
          <w:sz w:val="18"/>
          <w:szCs w:val="18"/>
          <w:color w:val="auto"/>
        </w:rPr>
        <w:t xml:space="preserve"> 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-145415</wp:posOffset>
            </wp:positionV>
            <wp:extent cx="2538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8" w:name="page39"/>
    <w:bookmarkEnd w:id="38"/>
    <w:p>
      <w:pPr>
        <w:ind w:left="10480"/>
        <w:spacing w:after="0"/>
        <w:rPr>
          <w:sz w:val="20"/>
          <w:szCs w:val="20"/>
          <w:color w:val="auto"/>
        </w:rPr>
      </w:pPr>
      <w:r>
        <w:rPr>
          <w:rFonts w:ascii="Arial" w:cs="Arial" w:eastAsia="Arial" w:hAnsi="Arial"/>
          <w:sz w:val="16"/>
          <w:szCs w:val="16"/>
          <w:b w:val="1"/>
          <w:bCs w:val="1"/>
          <w:color w:val="auto"/>
        </w:rPr>
        <w:t>Exhibit 32.1</w:t>
      </w:r>
    </w:p>
    <w:p>
      <w:pPr>
        <w:spacing w:after="0" w:line="266"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2015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2178050" cy="3346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78050" cy="3346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(principal executive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11, 2016</w:t>
      </w:r>
    </w:p>
    <w:p>
      <w:pPr>
        <w:sectPr>
          <w:pgSz w:w="11900" w:h="16838" w:orient="portrait"/>
          <w:cols w:equalWidth="0" w:num="1">
            <w:col w:w="11420"/>
          </w:cols>
          <w:pgMar w:left="240" w:top="121" w:right="239" w:bottom="1440" w:gutter="0" w:footer="0" w:header="0"/>
        </w:sectPr>
      </w:pPr>
    </w:p>
    <w:bookmarkStart w:id="39" w:name="page40"/>
    <w:bookmarkEnd w:id="39"/>
    <w:p>
      <w:pPr>
        <w:ind w:left="10480"/>
        <w:spacing w:after="0"/>
        <w:rPr>
          <w:sz w:val="20"/>
          <w:szCs w:val="20"/>
          <w:color w:val="auto"/>
        </w:rPr>
      </w:pPr>
      <w:r>
        <w:rPr>
          <w:rFonts w:ascii="Arial" w:cs="Arial" w:eastAsia="Arial" w:hAnsi="Arial"/>
          <w:sz w:val="16"/>
          <w:szCs w:val="16"/>
          <w:b w:val="1"/>
          <w:bCs w:val="1"/>
          <w:color w:val="auto"/>
        </w:rPr>
        <w:t>Exhibit 32.2</w:t>
      </w:r>
    </w:p>
    <w:p>
      <w:pPr>
        <w:spacing w:after="0" w:line="239"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2015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178050" cy="317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7805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Corporate Secretary</w:t>
      </w:r>
    </w:p>
    <w:p>
      <w:pPr>
        <w:spacing w:after="0"/>
        <w:rPr>
          <w:sz w:val="20"/>
          <w:szCs w:val="20"/>
          <w:color w:val="auto"/>
        </w:rPr>
      </w:pPr>
      <w:r>
        <w:rPr>
          <w:rFonts w:ascii="Arial" w:cs="Arial" w:eastAsia="Arial" w:hAnsi="Arial"/>
          <w:sz w:val="22"/>
          <w:szCs w:val="22"/>
          <w:color w:val="auto"/>
        </w:rPr>
        <w:t>(principal financial officer and principal accounting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11,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6"/>
    </w:lvl>
  </w:abstractNum>
  <w:abstractNum w:abstractNumId="4">
    <w:nsid w:val="DED7263"/>
    <w:multiLevelType w:val="hybridMultilevel"/>
    <w:lvl w:ilvl="0">
      <w:lvlJc w:val="left"/>
      <w:lvlText w:val="%1."/>
      <w:numFmt w:val="decimal"/>
      <w:start w:val="7"/>
    </w:lvl>
  </w:abstractNum>
  <w:abstractNum w:abstractNumId="5">
    <w:nsid w:val="7FDCC233"/>
    <w:multiLevelType w:val="hybridMultilevel"/>
    <w:lvl w:ilvl="0">
      <w:lvlJc w:val="left"/>
      <w:lvlText w:val="%1."/>
      <w:numFmt w:val="decimal"/>
      <w:start w:val="8"/>
    </w:lvl>
  </w:abstractNum>
  <w:abstractNum w:abstractNumId="6">
    <w:nsid w:val="1BEFD79F"/>
    <w:multiLevelType w:val="hybridMultilevel"/>
    <w:lvl w:ilvl="0">
      <w:lvlJc w:val="left"/>
      <w:lvlText w:val="%1."/>
      <w:numFmt w:val="decimal"/>
      <w:start w:val="9"/>
    </w:lvl>
  </w:abstractNum>
  <w:abstractNum w:abstractNumId="7">
    <w:nsid w:val="41A7C4C9"/>
    <w:multiLevelType w:val="hybridMultilevel"/>
    <w:lvl w:ilvl="0">
      <w:lvlJc w:val="left"/>
      <w:lvlText w:val="%1."/>
      <w:numFmt w:val="decimal"/>
      <w:start w:val="10"/>
    </w:lvl>
  </w:abstractNum>
  <w:abstractNum w:abstractNumId="8">
    <w:nsid w:val="6B68079A"/>
    <w:multiLevelType w:val="hybridMultilevel"/>
    <w:lvl w:ilvl="0">
      <w:lvlJc w:val="left"/>
      <w:lvlText w:val="%1."/>
      <w:numFmt w:val="decimal"/>
      <w:start w:val="11"/>
    </w:lvl>
  </w:abstractNum>
  <w:abstractNum w:abstractNumId="9">
    <w:nsid w:val="4E6AFB66"/>
    <w:multiLevelType w:val="hybridMultilevel"/>
    <w:lvl w:ilvl="0">
      <w:lvlJc w:val="left"/>
      <w:lvlText w:val="%1."/>
      <w:numFmt w:val="decimal"/>
      <w:start w:val="12"/>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3"/>
    </w:lvl>
  </w:abstractNum>
  <w:abstractNum w:abstractNumId="12">
    <w:nsid w:val="431BD7B7"/>
    <w:multiLevelType w:val="hybridMultilevel"/>
    <w:lvl w:ilvl="0">
      <w:lvlJc w:val="left"/>
      <w:lvlText w:val="%1."/>
      <w:numFmt w:val="decimal"/>
      <w:start w:val="14"/>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01"/>
    </w:lvl>
  </w:abstractNum>
  <w:abstractNum w:abstractNumId="18">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
    <w:nsid w:val="721DA317"/>
    <w:multiLevelType w:val="hybridMultilevel"/>
    <w:lvl w:ilvl="0">
      <w:lvlJc w:val="left"/>
      <w:lvlText w:val="%1"/>
      <w:numFmt w:val="upperLetter"/>
      <w:start w:val="1"/>
    </w:lvl>
    <w:lvl w:ilvl="1">
      <w:lvlJc w:val="left"/>
      <w:lvlText w:val="(%2)"/>
      <w:numFmt w:val="decimal"/>
      <w:start w:val="1"/>
    </w:lvl>
  </w:abstractNum>
  <w:abstractNum w:abstractNumId="21">
    <w:nsid w:val="2443A858"/>
    <w:multiLevelType w:val="hybridMultilevel"/>
    <w:lvl w:ilvl="0">
      <w:lvlJc w:val="left"/>
      <w:lvlText w:val="%1."/>
      <w:numFmt w:val="upperLetter"/>
      <w:start w:val="7"/>
    </w:lvl>
    <w:lvl w:ilvl="1">
      <w:lvlJc w:val="left"/>
      <w:lvlText w:val="%2"/>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2019-12-29T12:45:55Z</dcterms:created>
  <dcterms:modified xsi:type="dcterms:W3CDTF">2019-12-29T12:45:55Z</dcterms:modified>
</cp:coreProperties>
</file>