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820" w:hanging="812"/>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2960" w:right="1400" w:hanging="2952"/>
        <w:spacing w:after="0" w:line="532" w:lineRule="auto"/>
        <w:tabs>
          <w:tab w:leader="none" w:pos="8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__________________.</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80"/>
          </w:cols>
          <w:pgMar w:left="240" w:top="216" w:right="279" w:bottom="1440" w:gutter="0" w:footer="0" w:header="0"/>
        </w:sectPr>
      </w:pPr>
    </w:p>
    <w:p>
      <w:pPr>
        <w:spacing w:after="0" w:line="22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20"/>
          </w:cols>
          <w:pgMar w:left="240" w:top="216" w:right="279" w:bottom="1440" w:gutter="0" w:footer="0" w:header="0"/>
          <w:type w:val="continuous"/>
        </w:sectPr>
      </w:pP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3" w:lineRule="exact"/>
        <w:rPr>
          <w:sz w:val="24"/>
          <w:szCs w:val="24"/>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203" w:lineRule="exact"/>
        <w:rPr>
          <w:sz w:val="24"/>
          <w:szCs w:val="24"/>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16" w:right="279" w:bottom="1440" w:gutter="0" w:footer="0" w:header="0"/>
          <w:type w:val="continuous"/>
        </w:sectPr>
      </w:pP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 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 (Do not check if a smaller reporting company) 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211" w:lineRule="exact"/>
        <w:rPr>
          <w:sz w:val="24"/>
          <w:szCs w:val="24"/>
          <w:color w:val="auto"/>
        </w:rPr>
      </w:pPr>
    </w:p>
    <w:p>
      <w:pPr>
        <w:sectPr>
          <w:pgSz w:w="11900" w:h="16838" w:orient="portrait"/>
          <w:cols w:equalWidth="0" w:num="2">
            <w:col w:w="7040" w:space="720"/>
            <w:col w:w="3620"/>
          </w:cols>
          <w:pgMar w:left="240" w:top="216" w:right="279" w:bottom="1440" w:gutter="0" w:footer="0" w:header="0"/>
          <w:type w:val="continuous"/>
        </w:sectPr>
      </w:pPr>
    </w:p>
    <w:p>
      <w:pPr>
        <w:spacing w:after="0" w:line="7" w:lineRule="exact"/>
        <w:rPr>
          <w:sz w:val="24"/>
          <w:szCs w:val="24"/>
          <w:color w:val="auto"/>
        </w:rPr>
      </w:pPr>
    </w:p>
    <w:p>
      <w:pPr>
        <w:ind w:left="340"/>
        <w:spacing w:after="0"/>
        <w:tabs>
          <w:tab w:leader="none" w:pos="8660" w:val="left"/>
          <w:tab w:leader="none" w:pos="91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YES</w:t>
        <w:tab/>
        <w:t>NO x</w:t>
      </w:r>
    </w:p>
    <w:p>
      <w:pPr>
        <w:spacing w:after="0" w:line="25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9, 2015, there were 4,523,160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16" w:right="2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28, 2015</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640" w:type="dxa"/>
            <w:vAlign w:val="bottom"/>
            <w:tcBorders>
              <w:top w:val="single" w:sz="8" w:color="auto"/>
              <w:bottom w:val="single" w:sz="8" w:color="0000EE"/>
            </w:tcBorders>
            <w:gridSpan w:val="3"/>
          </w:tcPr>
          <w:p>
            <w:pPr>
              <w:spacing w:after="0"/>
              <w:rPr>
                <w:rFonts w:ascii="Times New Roman" w:cs="Times New Roman" w:eastAsia="Times New Roman" w:hAnsi="Times New Roman"/>
                <w:sz w:val="18"/>
                <w:szCs w:val="18"/>
                <w:b w:val="1"/>
                <w:bCs w:val="1"/>
                <w:color w:val="0000EE"/>
                <w:w w:val="95"/>
              </w:rPr>
            </w:pPr>
            <w:hyperlink w:anchor="page4">
              <w:r>
                <w:rPr>
                  <w:rFonts w:ascii="Times New Roman" w:cs="Times New Roman" w:eastAsia="Times New Roman" w:hAnsi="Times New Roman"/>
                  <w:sz w:val="18"/>
                  <w:szCs w:val="18"/>
                  <w:b w:val="1"/>
                  <w:bCs w:val="1"/>
                  <w:color w:val="0000EE"/>
                  <w:w w:val="95"/>
                </w:rPr>
                <w:t>PART I.</w:t>
              </w:r>
            </w:hyperlink>
          </w:p>
        </w:tc>
        <w:tc>
          <w:tcPr>
            <w:tcW w:w="260" w:type="dxa"/>
            <w:vAlign w:val="bottom"/>
            <w:tcBorders>
              <w:top w:val="single" w:sz="8" w:color="auto"/>
            </w:tcBorders>
            <w:gridSpan w:val="2"/>
          </w:tcPr>
          <w:p>
            <w:pPr>
              <w:spacing w:after="0"/>
              <w:rPr>
                <w:sz w:val="24"/>
                <w:szCs w:val="24"/>
                <w:color w:val="auto"/>
              </w:rPr>
            </w:pPr>
          </w:p>
        </w:tc>
        <w:tc>
          <w:tcPr>
            <w:tcW w:w="50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rFonts w:ascii="Times New Roman" w:cs="Times New Roman" w:eastAsia="Times New Roman" w:hAnsi="Times New Roman"/>
                <w:sz w:val="18"/>
                <w:szCs w:val="18"/>
                <w:b w:val="1"/>
                <w:bCs w:val="1"/>
                <w:color w:val="0000EE"/>
                <w:w w:val="98"/>
              </w:rPr>
            </w:pPr>
            <w:hyperlink w:anchor="page4">
              <w:r>
                <w:rPr>
                  <w:rFonts w:ascii="Times New Roman" w:cs="Times New Roman" w:eastAsia="Times New Roman" w:hAnsi="Times New Roman"/>
                  <w:sz w:val="18"/>
                  <w:szCs w:val="18"/>
                  <w:b w:val="1"/>
                  <w:bCs w:val="1"/>
                  <w:color w:val="0000EE"/>
                  <w:w w:val="98"/>
                </w:rPr>
                <w:t>FINANCIAL INFORMATION</w:t>
              </w:r>
            </w:hyperlink>
          </w:p>
        </w:tc>
        <w:tc>
          <w:tcPr>
            <w:tcW w:w="6600" w:type="dxa"/>
            <w:vAlign w:val="bottom"/>
            <w:gridSpan w:val="9"/>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880" w:type="dxa"/>
            <w:vAlign w:val="bottom"/>
            <w:gridSpan w:val="5"/>
          </w:tcPr>
          <w:p>
            <w:pPr>
              <w:spacing w:after="0"/>
              <w:rPr>
                <w:sz w:val="24"/>
                <w:szCs w:val="24"/>
                <w:color w:val="auto"/>
              </w:rPr>
            </w:pPr>
          </w:p>
        </w:tc>
        <w:tc>
          <w:tcPr>
            <w:tcW w:w="15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Financial Statements</w:t>
              </w:r>
            </w:hyperlink>
          </w:p>
        </w:tc>
        <w:tc>
          <w:tcPr>
            <w:tcW w:w="7480" w:type="dxa"/>
            <w:vAlign w:val="bottom"/>
            <w:gridSpan w:val="13"/>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60" w:type="dxa"/>
            <w:vAlign w:val="bottom"/>
            <w:gridSpan w:val="15"/>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Balance Sheets as of February 28, 2015 (unaudited) and August 31, 2014</w:t>
              </w:r>
            </w:hyperlink>
          </w:p>
        </w:tc>
        <w:tc>
          <w:tcPr>
            <w:tcW w:w="2720" w:type="dxa"/>
            <w:vAlign w:val="bottom"/>
            <w:gridSpan w:val="5"/>
          </w:tcPr>
          <w:p>
            <w:pPr>
              <w:spacing w:after="0"/>
              <w:rPr>
                <w:sz w:val="17"/>
                <w:szCs w:val="17"/>
                <w:color w:val="auto"/>
              </w:rPr>
            </w:pPr>
          </w:p>
        </w:tc>
        <w:tc>
          <w:tcPr>
            <w:tcW w:w="104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980" w:type="dxa"/>
            <w:vAlign w:val="bottom"/>
            <w:gridSpan w:val="20"/>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Operations (unaudited) for the Three and Six Months Ended February 28, 2015 and 2014</w:t>
              </w:r>
            </w:hyperlink>
          </w:p>
        </w:tc>
        <w:tc>
          <w:tcPr>
            <w:tcW w:w="104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980" w:type="dxa"/>
            <w:vAlign w:val="bottom"/>
            <w:gridSpan w:val="20"/>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Comprehensive Income (Loss) (unaudited) for the Three and Six Months Ended February 28,</w:t>
              </w:r>
            </w:hyperlink>
          </w:p>
        </w:tc>
        <w:tc>
          <w:tcPr>
            <w:tcW w:w="104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2015 and 2014</w:t>
              </w:r>
            </w:hyperlink>
          </w:p>
        </w:tc>
        <w:tc>
          <w:tcPr>
            <w:tcW w:w="7680" w:type="dxa"/>
            <w:vAlign w:val="bottom"/>
            <w:tcBorders>
              <w:top w:val="single" w:sz="8" w:color="0000EE"/>
            </w:tcBorders>
            <w:gridSpan w:val="15"/>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720" w:type="dxa"/>
            <w:vAlign w:val="bottom"/>
            <w:gridSpan w:val="17"/>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Statements of Cash Flows (unaudited) for the Six Months Ended February 28, 2015 and 2014</w:t>
              </w:r>
            </w:hyperlink>
          </w:p>
        </w:tc>
        <w:tc>
          <w:tcPr>
            <w:tcW w:w="1260" w:type="dxa"/>
            <w:vAlign w:val="bottom"/>
            <w:gridSpan w:val="3"/>
          </w:tcPr>
          <w:p>
            <w:pPr>
              <w:spacing w:after="0"/>
              <w:rPr>
                <w:sz w:val="17"/>
                <w:szCs w:val="17"/>
                <w:color w:val="auto"/>
              </w:rPr>
            </w:pPr>
          </w:p>
        </w:tc>
        <w:tc>
          <w:tcPr>
            <w:tcW w:w="104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720" w:type="dxa"/>
            <w:vAlign w:val="bottom"/>
            <w:gridSpan w:val="17"/>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Consolidated Financial Statements (unaudited)</w:t>
              </w:r>
            </w:hyperlink>
          </w:p>
        </w:tc>
        <w:tc>
          <w:tcPr>
            <w:tcW w:w="1260" w:type="dxa"/>
            <w:vAlign w:val="bottom"/>
            <w:gridSpan w:val="3"/>
          </w:tcPr>
          <w:p>
            <w:pPr>
              <w:spacing w:after="0"/>
              <w:rPr>
                <w:sz w:val="17"/>
                <w:szCs w:val="17"/>
                <w:color w:val="auto"/>
              </w:rPr>
            </w:pPr>
          </w:p>
        </w:tc>
        <w:tc>
          <w:tcPr>
            <w:tcW w:w="104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7-16</w:t>
              </w:r>
            </w:hyperlink>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right w:val="single" w:sz="8" w:color="0000EE"/>
            </w:tcBorders>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Item 2.</w:t>
              </w:r>
            </w:hyperlink>
          </w:p>
        </w:tc>
        <w:tc>
          <w:tcPr>
            <w:tcW w:w="860" w:type="dxa"/>
            <w:vAlign w:val="bottom"/>
            <w:gridSpan w:val="4"/>
          </w:tcPr>
          <w:p>
            <w:pPr>
              <w:spacing w:after="0"/>
              <w:rPr>
                <w:sz w:val="17"/>
                <w:szCs w:val="17"/>
                <w:color w:val="auto"/>
              </w:rPr>
            </w:pPr>
          </w:p>
        </w:tc>
        <w:tc>
          <w:tcPr>
            <w:tcW w:w="8980" w:type="dxa"/>
            <w:vAlign w:val="bottom"/>
            <w:gridSpan w:val="20"/>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04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17-30</w:t>
              </w:r>
            </w:hyperlink>
          </w:p>
        </w:tc>
      </w:tr>
      <w:tr>
        <w:trPr>
          <w:trHeight w:val="196"/>
        </w:trPr>
        <w:tc>
          <w:tcPr>
            <w:tcW w:w="5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3.</w:t>
              </w:r>
            </w:hyperlink>
          </w:p>
        </w:tc>
        <w:tc>
          <w:tcPr>
            <w:tcW w:w="860" w:type="dxa"/>
            <w:vAlign w:val="bottom"/>
            <w:gridSpan w:val="4"/>
          </w:tcPr>
          <w:p>
            <w:pPr>
              <w:spacing w:after="0"/>
              <w:rPr>
                <w:sz w:val="17"/>
                <w:szCs w:val="17"/>
                <w:color w:val="auto"/>
              </w:rPr>
            </w:pPr>
          </w:p>
        </w:tc>
        <w:tc>
          <w:tcPr>
            <w:tcW w:w="43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2540" w:type="dxa"/>
            <w:vAlign w:val="bottom"/>
            <w:gridSpan w:val="4"/>
          </w:tcPr>
          <w:p>
            <w:pPr>
              <w:spacing w:after="0"/>
              <w:rPr>
                <w:sz w:val="17"/>
                <w:szCs w:val="17"/>
                <w:color w:val="auto"/>
              </w:rPr>
            </w:pPr>
          </w:p>
        </w:tc>
        <w:tc>
          <w:tcPr>
            <w:tcW w:w="620" w:type="dxa"/>
            <w:vAlign w:val="bottom"/>
            <w:gridSpan w:val="3"/>
          </w:tcPr>
          <w:p>
            <w:pPr>
              <w:spacing w:after="0"/>
              <w:rPr>
                <w:sz w:val="17"/>
                <w:szCs w:val="17"/>
                <w:color w:val="auto"/>
              </w:rPr>
            </w:pPr>
          </w:p>
        </w:tc>
        <w:tc>
          <w:tcPr>
            <w:tcW w:w="420" w:type="dxa"/>
            <w:vAlign w:val="bottom"/>
            <w:tcBorders>
              <w:top w:val="single" w:sz="8" w:color="0000EE"/>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5"/>
              </w:rPr>
            </w:pPr>
            <w:hyperlink w:anchor="page31">
              <w:r>
                <w:rPr>
                  <w:rFonts w:ascii="Times New Roman" w:cs="Times New Roman" w:eastAsia="Times New Roman" w:hAnsi="Times New Roman"/>
                  <w:sz w:val="18"/>
                  <w:szCs w:val="18"/>
                  <w:color w:val="0000EE"/>
                  <w:w w:val="95"/>
                </w:rPr>
                <w:t>30-31</w:t>
              </w:r>
            </w:hyperlink>
          </w:p>
        </w:tc>
      </w:tr>
      <w:tr>
        <w:trPr>
          <w:trHeight w:val="196"/>
        </w:trPr>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Item 4.</w:t>
              </w:r>
            </w:hyperlink>
          </w:p>
        </w:tc>
        <w:tc>
          <w:tcPr>
            <w:tcW w:w="880" w:type="dxa"/>
            <w:vAlign w:val="bottom"/>
            <w:gridSpan w:val="5"/>
          </w:tcPr>
          <w:p>
            <w:pPr>
              <w:spacing w:after="0"/>
              <w:rPr>
                <w:sz w:val="17"/>
                <w:szCs w:val="17"/>
                <w:color w:val="auto"/>
              </w:rPr>
            </w:pPr>
          </w:p>
        </w:tc>
        <w:tc>
          <w:tcPr>
            <w:tcW w:w="17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32">
              <w:r>
                <w:rPr>
                  <w:rFonts w:ascii="Times New Roman" w:cs="Times New Roman" w:eastAsia="Times New Roman" w:hAnsi="Times New Roman"/>
                  <w:sz w:val="18"/>
                  <w:szCs w:val="18"/>
                  <w:color w:val="0000EE"/>
                  <w:w w:val="98"/>
                </w:rPr>
                <w:t>Controls and Procedures</w:t>
              </w:r>
            </w:hyperlink>
          </w:p>
        </w:tc>
        <w:tc>
          <w:tcPr>
            <w:tcW w:w="7220" w:type="dxa"/>
            <w:vAlign w:val="bottom"/>
            <w:gridSpan w:val="12"/>
          </w:tcPr>
          <w:p>
            <w:pPr>
              <w:spacing w:after="0"/>
              <w:rPr>
                <w:sz w:val="17"/>
                <w:szCs w:val="17"/>
                <w:color w:val="auto"/>
              </w:rPr>
            </w:pPr>
          </w:p>
        </w:tc>
        <w:tc>
          <w:tcPr>
            <w:tcW w:w="86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2">
              <w:r>
                <w:rPr>
                  <w:rFonts w:ascii="Times New Roman" w:cs="Times New Roman" w:eastAsia="Times New Roman" w:hAnsi="Times New Roman"/>
                  <w:sz w:val="18"/>
                  <w:szCs w:val="18"/>
                  <w:color w:val="0000EE"/>
                  <w:w w:val="88"/>
                </w:rPr>
                <w:t>31</w:t>
              </w:r>
            </w:hyperlink>
          </w:p>
        </w:tc>
      </w:tr>
      <w:tr>
        <w:trPr>
          <w:trHeight w:val="412"/>
        </w:trPr>
        <w:tc>
          <w:tcPr>
            <w:tcW w:w="1400" w:type="dxa"/>
            <w:vAlign w:val="bottom"/>
            <w:gridSpan w:val="6"/>
          </w:tcPr>
          <w:p>
            <w:pPr>
              <w:spacing w:after="0"/>
              <w:rPr>
                <w:rFonts w:ascii="Times New Roman" w:cs="Times New Roman" w:eastAsia="Times New Roman" w:hAnsi="Times New Roman"/>
                <w:sz w:val="18"/>
                <w:szCs w:val="18"/>
                <w:b w:val="1"/>
                <w:bCs w:val="1"/>
                <w:color w:val="0000EE"/>
              </w:rPr>
            </w:pPr>
            <w:hyperlink w:anchor="page33">
              <w:r>
                <w:rPr>
                  <w:rFonts w:ascii="Times New Roman" w:cs="Times New Roman" w:eastAsia="Times New Roman" w:hAnsi="Times New Roman"/>
                  <w:sz w:val="18"/>
                  <w:szCs w:val="18"/>
                  <w:b w:val="1"/>
                  <w:bCs w:val="1"/>
                  <w:color w:val="0000EE"/>
                </w:rPr>
                <w:t>PART II.</w:t>
              </w:r>
            </w:hyperlink>
          </w:p>
        </w:tc>
        <w:tc>
          <w:tcPr>
            <w:tcW w:w="8980" w:type="dxa"/>
            <w:vAlign w:val="bottom"/>
            <w:gridSpan w:val="20"/>
          </w:tcPr>
          <w:p>
            <w:pPr>
              <w:spacing w:after="0"/>
              <w:rPr>
                <w:rFonts w:ascii="Times New Roman" w:cs="Times New Roman" w:eastAsia="Times New Roman" w:hAnsi="Times New Roman"/>
                <w:sz w:val="18"/>
                <w:szCs w:val="18"/>
                <w:b w:val="1"/>
                <w:bCs w:val="1"/>
                <w:color w:val="0000EE"/>
              </w:rPr>
            </w:pPr>
            <w:hyperlink w:anchor="page33">
              <w:r>
                <w:rPr>
                  <w:rFonts w:ascii="Times New Roman" w:cs="Times New Roman" w:eastAsia="Times New Roman" w:hAnsi="Times New Roman"/>
                  <w:sz w:val="18"/>
                  <w:szCs w:val="18"/>
                  <w:b w:val="1"/>
                  <w:bCs w:val="1"/>
                  <w:color w:val="0000EE"/>
                </w:rPr>
                <w:t>OTHER INFORMATION</w:t>
              </w:r>
            </w:hyperlink>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5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1.</w:t>
              </w:r>
            </w:hyperlink>
          </w:p>
        </w:tc>
        <w:tc>
          <w:tcPr>
            <w:tcW w:w="160" w:type="dxa"/>
            <w:vAlign w:val="bottom"/>
            <w:tcBorders>
              <w:top w:val="single" w:sz="8" w:color="0000EE"/>
            </w:tcBorders>
            <w:gridSpan w:val="2"/>
          </w:tcPr>
          <w:p>
            <w:pPr>
              <w:spacing w:after="0"/>
              <w:rPr>
                <w:sz w:val="24"/>
                <w:szCs w:val="24"/>
                <w:color w:val="auto"/>
              </w:rPr>
            </w:pPr>
          </w:p>
        </w:tc>
        <w:tc>
          <w:tcPr>
            <w:tcW w:w="700" w:type="dxa"/>
            <w:vAlign w:val="bottom"/>
            <w:gridSpan w:val="2"/>
          </w:tcPr>
          <w:p>
            <w:pPr>
              <w:spacing w:after="0"/>
              <w:rPr>
                <w:sz w:val="24"/>
                <w:szCs w:val="24"/>
                <w:color w:val="auto"/>
              </w:rPr>
            </w:pPr>
          </w:p>
        </w:tc>
        <w:tc>
          <w:tcPr>
            <w:tcW w:w="132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Legal Proceedings</w:t>
              </w:r>
            </w:hyperlink>
          </w:p>
        </w:tc>
        <w:tc>
          <w:tcPr>
            <w:tcW w:w="680" w:type="dxa"/>
            <w:vAlign w:val="bottom"/>
            <w:tcBorders>
              <w:top w:val="single" w:sz="8" w:color="0000EE"/>
            </w:tcBorders>
            <w:gridSpan w:val="3"/>
          </w:tcPr>
          <w:p>
            <w:pPr>
              <w:spacing w:after="0"/>
              <w:rPr>
                <w:sz w:val="24"/>
                <w:szCs w:val="24"/>
                <w:color w:val="auto"/>
              </w:rPr>
            </w:pPr>
          </w:p>
        </w:tc>
        <w:tc>
          <w:tcPr>
            <w:tcW w:w="6980" w:type="dxa"/>
            <w:vAlign w:val="bottom"/>
            <w:gridSpan w:val="11"/>
          </w:tcPr>
          <w:p>
            <w:pPr>
              <w:spacing w:after="0"/>
              <w:rPr>
                <w:sz w:val="24"/>
                <w:szCs w:val="24"/>
                <w:color w:val="auto"/>
              </w:rPr>
            </w:pPr>
          </w:p>
        </w:tc>
        <w:tc>
          <w:tcPr>
            <w:tcW w:w="860" w:type="dxa"/>
            <w:vAlign w:val="bottom"/>
            <w:gridSpan w:val="5"/>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32</w:t>
              </w:r>
            </w:hyperlink>
          </w:p>
        </w:tc>
      </w:tr>
      <w:tr>
        <w:trPr>
          <w:trHeight w:val="196"/>
        </w:trPr>
        <w:tc>
          <w:tcPr>
            <w:tcW w:w="1400" w:type="dxa"/>
            <w:vAlign w:val="bottom"/>
            <w:gridSpan w:val="6"/>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1A.</w:t>
              </w:r>
            </w:hyperlink>
          </w:p>
        </w:tc>
        <w:tc>
          <w:tcPr>
            <w:tcW w:w="8980" w:type="dxa"/>
            <w:vAlign w:val="bottom"/>
            <w:gridSpan w:val="20"/>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Risk Factors</w:t>
              </w:r>
            </w:hyperlink>
          </w:p>
        </w:tc>
        <w:tc>
          <w:tcPr>
            <w:tcW w:w="104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32</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760" w:type="dxa"/>
            <w:vAlign w:val="bottom"/>
            <w:tcBorders>
              <w:right w:val="single" w:sz="8" w:color="0000EE"/>
            </w:tcBorders>
            <w:gridSpan w:val="3"/>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2.</w:t>
              </w:r>
            </w:hyperlink>
          </w:p>
        </w:tc>
        <w:tc>
          <w:tcPr>
            <w:tcW w:w="100" w:type="dxa"/>
            <w:vAlign w:val="bottom"/>
          </w:tcPr>
          <w:p>
            <w:pPr>
              <w:spacing w:after="0"/>
              <w:rPr>
                <w:sz w:val="17"/>
                <w:szCs w:val="17"/>
                <w:color w:val="auto"/>
              </w:rPr>
            </w:pPr>
          </w:p>
        </w:tc>
        <w:tc>
          <w:tcPr>
            <w:tcW w:w="760" w:type="dxa"/>
            <w:vAlign w:val="bottom"/>
            <w:gridSpan w:val="3"/>
          </w:tcPr>
          <w:p>
            <w:pPr>
              <w:spacing w:after="0"/>
              <w:rPr>
                <w:sz w:val="17"/>
                <w:szCs w:val="17"/>
                <w:color w:val="auto"/>
              </w:rPr>
            </w:pPr>
          </w:p>
        </w:tc>
        <w:tc>
          <w:tcPr>
            <w:tcW w:w="43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Unregistered Sales of Equity Securities and Use of Proceeds</w:t>
              </w:r>
            </w:hyperlink>
          </w:p>
        </w:tc>
        <w:tc>
          <w:tcPr>
            <w:tcW w:w="4640" w:type="dxa"/>
            <w:vAlign w:val="bottom"/>
            <w:gridSpan w:val="6"/>
          </w:tcPr>
          <w:p>
            <w:pPr>
              <w:spacing w:after="0"/>
              <w:rPr>
                <w:sz w:val="17"/>
                <w:szCs w:val="17"/>
                <w:color w:val="auto"/>
              </w:rPr>
            </w:pPr>
          </w:p>
        </w:tc>
        <w:tc>
          <w:tcPr>
            <w:tcW w:w="86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4">
              <w:r>
                <w:rPr>
                  <w:rFonts w:ascii="Times New Roman" w:cs="Times New Roman" w:eastAsia="Times New Roman" w:hAnsi="Times New Roman"/>
                  <w:sz w:val="18"/>
                  <w:szCs w:val="18"/>
                  <w:color w:val="0000EE"/>
                  <w:w w:val="88"/>
                </w:rPr>
                <w:t>33</w:t>
              </w:r>
            </w:hyperlink>
          </w:p>
        </w:tc>
      </w:tr>
      <w:tr>
        <w:trPr>
          <w:trHeight w:val="196"/>
        </w:trPr>
        <w:tc>
          <w:tcPr>
            <w:tcW w:w="540" w:type="dxa"/>
            <w:vAlign w:val="bottom"/>
            <w:gridSpan w:val="2"/>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3.</w:t>
              </w:r>
            </w:hyperlink>
          </w:p>
        </w:tc>
        <w:tc>
          <w:tcPr>
            <w:tcW w:w="860" w:type="dxa"/>
            <w:vAlign w:val="bottom"/>
            <w:gridSpan w:val="4"/>
          </w:tcPr>
          <w:p>
            <w:pPr>
              <w:spacing w:after="0"/>
              <w:rPr>
                <w:sz w:val="17"/>
                <w:szCs w:val="17"/>
                <w:color w:val="auto"/>
              </w:rPr>
            </w:pPr>
          </w:p>
        </w:tc>
        <w:tc>
          <w:tcPr>
            <w:tcW w:w="8980" w:type="dxa"/>
            <w:vAlign w:val="bottom"/>
            <w:gridSpan w:val="20"/>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Defaults Upon Senior Securities</w:t>
              </w:r>
            </w:hyperlink>
          </w:p>
        </w:tc>
        <w:tc>
          <w:tcPr>
            <w:tcW w:w="104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33</w:t>
              </w:r>
            </w:hyperlink>
          </w:p>
        </w:tc>
      </w:tr>
      <w:tr>
        <w:trPr>
          <w:trHeight w:val="196"/>
        </w:trPr>
        <w:tc>
          <w:tcPr>
            <w:tcW w:w="5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4.</w:t>
              </w:r>
            </w:hyperlink>
          </w:p>
        </w:tc>
        <w:tc>
          <w:tcPr>
            <w:tcW w:w="860" w:type="dxa"/>
            <w:vAlign w:val="bottom"/>
            <w:gridSpan w:val="4"/>
          </w:tcPr>
          <w:p>
            <w:pPr>
              <w:spacing w:after="0"/>
              <w:rPr>
                <w:sz w:val="17"/>
                <w:szCs w:val="17"/>
                <w:color w:val="auto"/>
              </w:rPr>
            </w:pPr>
          </w:p>
        </w:tc>
        <w:tc>
          <w:tcPr>
            <w:tcW w:w="17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Mine Safety Disclosures</w:t>
              </w:r>
            </w:hyperlink>
          </w:p>
        </w:tc>
        <w:tc>
          <w:tcPr>
            <w:tcW w:w="540" w:type="dxa"/>
            <w:vAlign w:val="bottom"/>
            <w:tcBorders>
              <w:top w:val="single" w:sz="8" w:color="0000EE"/>
            </w:tcBorders>
            <w:gridSpan w:val="2"/>
          </w:tcPr>
          <w:p>
            <w:pPr>
              <w:spacing w:after="0"/>
              <w:rPr>
                <w:sz w:val="17"/>
                <w:szCs w:val="17"/>
                <w:color w:val="auto"/>
              </w:rPr>
            </w:pPr>
          </w:p>
        </w:tc>
        <w:tc>
          <w:tcPr>
            <w:tcW w:w="6680" w:type="dxa"/>
            <w:vAlign w:val="bottom"/>
            <w:gridSpan w:val="10"/>
          </w:tcPr>
          <w:p>
            <w:pPr>
              <w:spacing w:after="0"/>
              <w:rPr>
                <w:sz w:val="17"/>
                <w:szCs w:val="17"/>
                <w:color w:val="auto"/>
              </w:rPr>
            </w:pPr>
          </w:p>
        </w:tc>
        <w:tc>
          <w:tcPr>
            <w:tcW w:w="860" w:type="dxa"/>
            <w:vAlign w:val="bottom"/>
            <w:gridSpan w:val="5"/>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4">
              <w:r>
                <w:rPr>
                  <w:rFonts w:ascii="Times New Roman" w:cs="Times New Roman" w:eastAsia="Times New Roman" w:hAnsi="Times New Roman"/>
                  <w:sz w:val="18"/>
                  <w:szCs w:val="18"/>
                  <w:color w:val="0000EE"/>
                  <w:w w:val="88"/>
                </w:rPr>
                <w:t>33</w:t>
              </w:r>
            </w:hyperlink>
          </w:p>
        </w:tc>
      </w:tr>
      <w:tr>
        <w:trPr>
          <w:trHeight w:val="196"/>
        </w:trPr>
        <w:tc>
          <w:tcPr>
            <w:tcW w:w="540" w:type="dxa"/>
            <w:vAlign w:val="bottom"/>
            <w:gridSpan w:val="2"/>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5.</w:t>
              </w:r>
            </w:hyperlink>
          </w:p>
        </w:tc>
        <w:tc>
          <w:tcPr>
            <w:tcW w:w="860" w:type="dxa"/>
            <w:vAlign w:val="bottom"/>
            <w:gridSpan w:val="4"/>
          </w:tcPr>
          <w:p>
            <w:pPr>
              <w:spacing w:after="0"/>
              <w:rPr>
                <w:sz w:val="17"/>
                <w:szCs w:val="17"/>
                <w:color w:val="auto"/>
              </w:rPr>
            </w:pPr>
          </w:p>
        </w:tc>
        <w:tc>
          <w:tcPr>
            <w:tcW w:w="8980" w:type="dxa"/>
            <w:vAlign w:val="bottom"/>
            <w:gridSpan w:val="20"/>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Other Information</w:t>
              </w:r>
            </w:hyperlink>
          </w:p>
        </w:tc>
        <w:tc>
          <w:tcPr>
            <w:tcW w:w="104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33</w:t>
              </w:r>
            </w:hyperlink>
          </w:p>
        </w:tc>
      </w:tr>
      <w:tr>
        <w:trPr>
          <w:trHeight w:val="196"/>
        </w:trPr>
        <w:tc>
          <w:tcPr>
            <w:tcW w:w="54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Item 6.</w:t>
              </w:r>
            </w:hyperlink>
          </w:p>
        </w:tc>
        <w:tc>
          <w:tcPr>
            <w:tcW w:w="860" w:type="dxa"/>
            <w:vAlign w:val="bottom"/>
            <w:gridSpan w:val="4"/>
          </w:tcPr>
          <w:p>
            <w:pPr>
              <w:spacing w:after="0"/>
              <w:rPr>
                <w:sz w:val="17"/>
                <w:szCs w:val="17"/>
                <w:color w:val="auto"/>
              </w:rPr>
            </w:pPr>
          </w:p>
        </w:tc>
        <w:tc>
          <w:tcPr>
            <w:tcW w:w="13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Exhibits</w:t>
              </w:r>
            </w:hyperlink>
          </w:p>
        </w:tc>
        <w:tc>
          <w:tcPr>
            <w:tcW w:w="7680" w:type="dxa"/>
            <w:vAlign w:val="bottom"/>
            <w:gridSpan w:val="15"/>
          </w:tcPr>
          <w:p>
            <w:pPr>
              <w:spacing w:after="0"/>
              <w:rPr>
                <w:sz w:val="17"/>
                <w:szCs w:val="17"/>
                <w:color w:val="auto"/>
              </w:rPr>
            </w:pPr>
          </w:p>
        </w:tc>
        <w:tc>
          <w:tcPr>
            <w:tcW w:w="860" w:type="dxa"/>
            <w:vAlign w:val="bottom"/>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34</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4"/>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0" w:type="dxa"/>
            <w:vAlign w:val="bottom"/>
            <w:gridSpan w:val="18"/>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6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b w:val="1"/>
                <w:bCs w:val="1"/>
                <w:color w:val="0000EE"/>
                <w:w w:val="97"/>
              </w:rPr>
            </w:pPr>
            <w:hyperlink w:anchor="page36">
              <w:r>
                <w:rPr>
                  <w:rFonts w:ascii="Times New Roman" w:cs="Times New Roman" w:eastAsia="Times New Roman" w:hAnsi="Times New Roman"/>
                  <w:sz w:val="18"/>
                  <w:szCs w:val="18"/>
                  <w:b w:val="1"/>
                  <w:bCs w:val="1"/>
                  <w:color w:val="0000EE"/>
                  <w:w w:val="97"/>
                </w:rPr>
                <w:t>SIGNATURE PAGE</w:t>
              </w:r>
            </w:hyperlink>
          </w:p>
        </w:tc>
        <w:tc>
          <w:tcPr>
            <w:tcW w:w="8780" w:type="dxa"/>
            <w:vAlign w:val="bottom"/>
            <w:gridSpan w:val="19"/>
          </w:tcPr>
          <w:p>
            <w:pPr>
              <w:spacing w:after="0"/>
              <w:rPr>
                <w:sz w:val="17"/>
                <w:szCs w:val="17"/>
                <w:color w:val="auto"/>
              </w:rPr>
            </w:pPr>
          </w:p>
        </w:tc>
        <w:tc>
          <w:tcPr>
            <w:tcW w:w="86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88"/>
              </w:rPr>
            </w:pPr>
            <w:hyperlink w:anchor="page36">
              <w:r>
                <w:rPr>
                  <w:rFonts w:ascii="Times New Roman" w:cs="Times New Roman" w:eastAsia="Times New Roman" w:hAnsi="Times New Roman"/>
                  <w:sz w:val="18"/>
                  <w:szCs w:val="18"/>
                  <w:color w:val="0000EE"/>
                  <w:w w:val="88"/>
                </w:rPr>
                <w:t>35</w:t>
              </w:r>
            </w:hyperlink>
          </w:p>
        </w:tc>
      </w:tr>
      <w:tr>
        <w:trPr>
          <w:trHeight w:val="196"/>
        </w:trPr>
        <w:tc>
          <w:tcPr>
            <w:tcW w:w="10380" w:type="dxa"/>
            <w:vAlign w:val="bottom"/>
            <w:gridSpan w:val="26"/>
          </w:tcPr>
          <w:p>
            <w:pPr>
              <w:spacing w:after="0" w:line="196" w:lineRule="exact"/>
              <w:rPr>
                <w:rFonts w:ascii="Times New Roman" w:cs="Times New Roman" w:eastAsia="Times New Roman" w:hAnsi="Times New Roman"/>
                <w:sz w:val="18"/>
                <w:szCs w:val="18"/>
                <w:b w:val="1"/>
                <w:bCs w:val="1"/>
                <w:color w:val="0000EE"/>
              </w:rPr>
            </w:pPr>
            <w:hyperlink w:anchor="page37">
              <w:r>
                <w:rPr>
                  <w:rFonts w:ascii="Times New Roman" w:cs="Times New Roman" w:eastAsia="Times New Roman" w:hAnsi="Times New Roman"/>
                  <w:sz w:val="18"/>
                  <w:szCs w:val="18"/>
                  <w:b w:val="1"/>
                  <w:bCs w:val="1"/>
                  <w:color w:val="0000EE"/>
                </w:rPr>
                <w:t>EXHIBIT INDEX</w:t>
              </w:r>
            </w:hyperlink>
          </w:p>
        </w:tc>
        <w:tc>
          <w:tcPr>
            <w:tcW w:w="1040" w:type="dxa"/>
            <w:vAlign w:val="bottom"/>
            <w:gridSpan w:val="7"/>
          </w:tcPr>
          <w:p>
            <w:pPr>
              <w:jc w:val="right"/>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36</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50"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of Financial Condition and Results of Operations– Forward-Looking Statements.”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2" w:name="page3"/>
    <w:bookmarkEnd w:id="2"/>
    <w:p>
      <w:pPr>
        <w:ind w:left="494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5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As used in this report, references to “NTIC,” the “Company,” “we,” “our” or “us,” unless the context otherwise requires, refer to Northern Technologies International Corporation and its wholly owned subsidiaries, NTIC (Shanghai) Co., Ltd., NTI Facilities, Inc. and Northern Technologies Holding Company, LLC, and its majority owned subsidiaries, Zerust Prevenção de Corrosão S.A., NTI Asean LLC and Natur-Tec India Private Limited, all of which are consolidated on NTIC’s consolidated financial statements.</w:t>
      </w:r>
    </w:p>
    <w:p>
      <w:pPr>
        <w:spacing w:after="0" w:line="20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NTIC’s consolidated financial statements do not include the accounts of any of its joint ventures. Except as otherwise indicated, references in this report to NTIC’s joint ventures do not include: (1) NTIC’s majority owned Brazilian subsidiary, Zerust Prevenção de Corrosão S.A.; (2) NTIC’s majority owned subsidiary, NTI Asean LLC, which is a holding company that holds investments in eight entities that operate in the Association of Southeast Asian Nations (ASEAN) region, including the following countries: China (although the joint venture agreements for the Chinese joint venture were terminated as of December 31, 2014 and liquidation of this joint venture is anticipated), Indonesia, Korea, Malaysia, Philippines, Singapore, Taiwan and Thailand; or (3) NTIC’s majority owned subsidiary, Northern Technologies India Private Limited, in India.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“NTIC China” refer to NTIC’s newly formed wholly owned subsidiary in China, NTIC (Shanghai) Co., Ltd.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“Tianjin Zerust” refer to NTIC’s former joint venture in China, Tianjin-Zerust Anticorrosion Co., Ltd.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“Zerust Brazil” refer to NTIC’s majority owned Brazilian subsidiary, Zerust Prevenção de Corrosão S.A.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“NTI Asean” refer to NTIC’s majority owned holding company subsidiary, NTI Asean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 used in this report, references to “Natur-Tec India” refer to NTIC’s recently formed majority owned subsidiary in India, Natur-Tec India Private Limited.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 used in this report, references to “EXCOR” refer to NTIC’s joint venture in Germany, Excor Korrosionsschutz – Technologien und Produkte GmbH.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80"/>
          </w:cols>
          <w:pgMar w:left="240" w:top="270"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2"/>
        </w:trPr>
        <w:tc>
          <w:tcPr>
            <w:tcW w:w="81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ITEM 1.</w:t>
            </w:r>
          </w:p>
        </w:tc>
        <w:tc>
          <w:tcPr>
            <w:tcW w:w="69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FINANCIAL STATEMENTS</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81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w w:val="99"/>
              </w:rPr>
              <w:t>NORTHERN TECHNOLOGIES INTERNATIONAL CORPORATION AND SUBSIDIARIES</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CONSOLIDATED BALANCE SHEETS AS OF FEBRUARY 28, 2015 (UNAUDITED)</w:t>
            </w: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1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AND AUGUST 31, 2014 (AUDITED)</w:t>
            </w: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980" w:type="dxa"/>
            <w:vAlign w:val="bottom"/>
            <w:tcBorders>
              <w:top w:val="single" w:sz="8" w:color="auto"/>
            </w:tcBorders>
          </w:tcPr>
          <w:p>
            <w:pPr>
              <w:spacing w:after="0"/>
              <w:rPr>
                <w:sz w:val="24"/>
                <w:szCs w:val="24"/>
                <w:color w:val="auto"/>
              </w:rPr>
            </w:pPr>
          </w:p>
        </w:tc>
        <w:tc>
          <w:tcPr>
            <w:tcW w:w="162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 28, 2015</w:t>
            </w: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August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3,365,389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2,477,017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3,524,985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5,519,766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Receivables: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gridSpan w:val="2"/>
          </w:tcPr>
          <w:p>
            <w:pPr>
              <w:ind w:left="480"/>
              <w:spacing w:after="0" w:line="198" w:lineRule="exact"/>
              <w:rPr>
                <w:sz w:val="20"/>
                <w:szCs w:val="20"/>
                <w:color w:val="auto"/>
              </w:rPr>
            </w:pPr>
            <w:r>
              <w:rPr>
                <w:rFonts w:ascii="Times New Roman" w:cs="Times New Roman" w:eastAsia="Times New Roman" w:hAnsi="Times New Roman"/>
                <w:sz w:val="18"/>
                <w:szCs w:val="18"/>
                <w:color w:val="auto"/>
              </w:rPr>
              <w:t>Trade excluding joint ventures, less allowance for doubtful accounts of $40,000 at February 28, 2015</w:t>
            </w: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and August 31, 2014, respectively</w:t>
            </w:r>
          </w:p>
        </w:tc>
        <w:tc>
          <w:tcPr>
            <w:tcW w:w="4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3,623,418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3,596,247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Trade joint ventures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784,732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1,484,058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2,612,899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275,352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6"/>
              </w:rPr>
              <w:t>Inventories</w:t>
            </w:r>
          </w:p>
        </w:tc>
        <w:tc>
          <w:tcPr>
            <w:tcW w:w="6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5,981,435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551,816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411,226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789,364</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789,364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20,380,549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22,319,966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7,091,428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6,477,987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18,377,038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22,961,989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Investments at carrying value (Note 7)</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1,883,668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943,279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943,279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Patents and trademarks, net</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1,260,574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1,197,700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69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167,965</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assets</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22,632,524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25,259,822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50,104,501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54,057,775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1,543,721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2,225,029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liabilities: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554,774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1,847,246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Deferred joint venture royalties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69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154,451</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106,380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2,540,946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4,466,655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w:t>
            </w:r>
          </w:p>
        </w:tc>
        <w:tc>
          <w:tcPr>
            <w:tcW w:w="6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gridSpan w:val="2"/>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10,000,000 shares; issued and outstanding</w:t>
            </w:r>
          </w:p>
        </w:tc>
        <w:tc>
          <w:tcPr>
            <w:tcW w:w="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4,523,160 and 4,504,552, respectively</w:t>
            </w: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90,463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13,059,404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12,676,546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33,612,921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32,733,300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(2,719,047)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253,925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Stockholders’ equity</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44,043,741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45,753,863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Non-controlling interest</w:t>
            </w: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3,519,814</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3,837,257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equity</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47,563,555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49,591,120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50,104,501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54,057,775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NORTHERN TECHNOLOGIES INTERNATIONAL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(UNAUDITED)</w:t>
      </w:r>
    </w:p>
    <w:p>
      <w:pPr>
        <w:spacing w:after="0"/>
        <w:rPr>
          <w:sz w:val="20"/>
          <w:szCs w:val="20"/>
          <w:color w:val="auto"/>
        </w:rPr>
      </w:pPr>
      <w:r>
        <w:rPr>
          <w:rFonts w:ascii="Times New Roman" w:cs="Times New Roman" w:eastAsia="Times New Roman" w:hAnsi="Times New Roman"/>
          <w:sz w:val="20"/>
          <w:szCs w:val="20"/>
          <w:b w:val="1"/>
          <w:bCs w:val="1"/>
          <w:color w:val="auto"/>
        </w:rPr>
        <w:t>FOR THE THREE AND SIX MONTHS ENDED FEBRUARY 28,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5,995,543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5,527,366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12,476,534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11,132,384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733,166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691,642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1,466,270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1,395,724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6,728,709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6,219,008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13,942,804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12,528,108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4,657,740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4,051,833</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9,464,351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8,209,864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2,070,969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2,167,175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4,478,453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4,318,244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 in income of joint ventures</w:t>
            </w:r>
          </w:p>
        </w:tc>
        <w:tc>
          <w:tcPr>
            <w:tcW w:w="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1,474,649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1,395,451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3,081,332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2,823,199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994,860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2,057,671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3,128,530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4,167,319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2,469,509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3,453,122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6,209,862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6,990,518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Selling expenses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1,339,441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1,291,316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2,734,328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1,552,861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1,209,933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3,091,123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2,597,429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Expenses incurred in support of joint ventures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656,127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366,469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1,183,244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695,733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854,256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1,099,345</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1,904,169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2,237,865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4,402,685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3,967,063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8,912,864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8,141,229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137,793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1,653,234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1,775,451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3,167,533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139,149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1,643,828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1,786,929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3,146,246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197,614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259,759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381,298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457,759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1,384,069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1,405,631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2,688,487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ATTRIBUTABLE TO NON-CONTROLLING</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1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70,179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359,025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526,010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804,857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NTIC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(128,644)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1,025,044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879,621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1,883,630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INCOME ATTRIBUTABLE TO NTIC PER COMMON</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ASSUMED</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4,522,514</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4,434,837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4,516,311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4,434,770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4,522,514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4,579,603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4,655,792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4,566,103</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NORTHERN TECHNOLOGIES INTERNATIONAL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 INCOME (UNAUDITED)</w:t>
      </w:r>
    </w:p>
    <w:p>
      <w:pPr>
        <w:spacing w:after="0"/>
        <w:rPr>
          <w:sz w:val="20"/>
          <w:szCs w:val="20"/>
          <w:color w:val="auto"/>
        </w:rPr>
      </w:pPr>
      <w:r>
        <w:rPr>
          <w:rFonts w:ascii="Times New Roman" w:cs="Times New Roman" w:eastAsia="Times New Roman" w:hAnsi="Times New Roman"/>
          <w:sz w:val="20"/>
          <w:szCs w:val="20"/>
          <w:b w:val="1"/>
          <w:bCs w:val="1"/>
          <w:color w:val="auto"/>
        </w:rPr>
        <w:t>FOR THE THREE AND SIX MONTHS ENDED FEBRUARY 28,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1,384,069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1,405,631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2,688,487</w:t>
            </w:r>
          </w:p>
        </w:tc>
      </w:tr>
      <w:tr>
        <w:trPr>
          <w:trHeight w:val="198"/>
        </w:trPr>
        <w:tc>
          <w:tcPr>
            <w:tcW w:w="20" w:type="dxa"/>
            <w:vAlign w:val="bottom"/>
          </w:tcPr>
          <w:p>
            <w:pPr>
              <w:spacing w:after="0"/>
              <w:rPr>
                <w:sz w:val="17"/>
                <w:szCs w:val="17"/>
                <w:color w:val="auto"/>
              </w:rPr>
            </w:pPr>
          </w:p>
        </w:tc>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INCOME – FOREIGN</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(1,980,209)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(3,256,425)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605,611</w:t>
            </w: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(2,038,674)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1,468,107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(1,850,794)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3,294,098</w:t>
            </w:r>
          </w:p>
        </w:tc>
      </w:tr>
      <w:tr>
        <w:trPr>
          <w:trHeight w:val="198"/>
        </w:trPr>
        <w:tc>
          <w:tcPr>
            <w:tcW w:w="20" w:type="dxa"/>
            <w:vAlign w:val="bottom"/>
          </w:tcPr>
          <w:p>
            <w:pPr>
              <w:spacing w:after="0"/>
              <w:rPr>
                <w:sz w:val="17"/>
                <w:szCs w:val="17"/>
                <w:color w:val="auto"/>
              </w:rPr>
            </w:pPr>
          </w:p>
        </w:tc>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ATTRIBUTABLE TO NON-</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8"/>
        </w:trPr>
        <w:tc>
          <w:tcPr>
            <w:tcW w:w="20" w:type="dxa"/>
            <w:vAlign w:val="bottom"/>
          </w:tcPr>
          <w:p>
            <w:pPr>
              <w:spacing w:after="0"/>
              <w:rPr>
                <w:sz w:val="21"/>
                <w:szCs w:val="21"/>
                <w:color w:val="auto"/>
              </w:rPr>
            </w:pPr>
          </w:p>
        </w:tc>
        <w:tc>
          <w:tcPr>
            <w:tcW w:w="56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CONTROLLING INTERESTS</w:t>
            </w:r>
          </w:p>
        </w:tc>
        <w:tc>
          <w:tcPr>
            <w:tcW w:w="1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334,607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242,557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793,206</w:t>
            </w: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NTIC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(1,896,540)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1,133,500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(2,093,351)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2,500,892</w:t>
            </w: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1" w:right="239" w:bottom="1440" w:gutter="0" w:footer="0" w:header="0"/>
        </w:sectPr>
      </w:pPr>
    </w:p>
    <w:bookmarkStart w:id="6" w:name="page7"/>
    <w:bookmarkEnd w:id="6"/>
    <w:p>
      <w:pPr>
        <w:ind w:right="3420"/>
        <w:spacing w:after="0" w:line="256" w:lineRule="auto"/>
        <w:rPr>
          <w:sz w:val="20"/>
          <w:szCs w:val="20"/>
          <w:color w:val="auto"/>
        </w:rPr>
      </w:pPr>
      <w:r>
        <w:rPr>
          <w:rFonts w:ascii="Times New Roman" w:cs="Times New Roman" w:eastAsia="Times New Roman" w:hAnsi="Times New Roman"/>
          <w:sz w:val="20"/>
          <w:szCs w:val="20"/>
          <w:b w:val="1"/>
          <w:bCs w:val="1"/>
          <w:color w:val="auto"/>
        </w:rPr>
        <w:t>NORTHERN TECHNOLOGIES INTERNATIONAL CORPORATION AND SUBSIDIARIES CONSOLIDATED STATEMENTS OF CASH FLOWS (UNAUDITED) FOR THE SIX MONTHS ENDED FEBRUARY 28,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1,405,631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2,688,487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261,159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245,432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expense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(3,081,332)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2,696,963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5,217,878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Increase in allowance for doubtful accounts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Receivables: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Trade, excluding joint ventures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Trade, joint ventures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166,554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1,128,841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Income taxes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Income tax payable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(1,248,986)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392,041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3,753,836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the sale of investment in joint ventures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1,994,781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Additions to patents</w:t>
            </w:r>
          </w:p>
        </w:tc>
        <w:tc>
          <w:tcPr>
            <w:tcW w:w="1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(106,707)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990,492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Repayment of note payable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Investment by non-controlling interest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Dividend received by non-controlling interest</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99,450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888,372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2,681,869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2,477,017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4,314,258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3,365,389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6,996,127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698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69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1" w:right="239" w:bottom="1440" w:gutter="0" w:footer="0" w:header="0"/>
        </w:sectPr>
      </w:pPr>
    </w:p>
    <w:bookmarkStart w:id="7" w:name="page8"/>
    <w:bookmarkEnd w:id="7"/>
    <w:p>
      <w:pPr>
        <w:ind w:right="3420"/>
        <w:spacing w:after="0" w:line="300" w:lineRule="auto"/>
        <w:rPr>
          <w:sz w:val="20"/>
          <w:szCs w:val="20"/>
          <w:color w:val="auto"/>
        </w:rPr>
      </w:pPr>
      <w:r>
        <w:rPr>
          <w:rFonts w:ascii="Times New Roman" w:cs="Times New Roman" w:eastAsia="Times New Roman" w:hAnsi="Times New Roman"/>
          <w:sz w:val="19"/>
          <w:szCs w:val="19"/>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FINANCIAL INFORMATION</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28, 2015 and August 31, 2014 and the results of their operations for the three and six months ended February 28, 2015 and 2014 and their cash flows for the six months ended February 28, 2015 and 2014, in conformity with accounting principles generally accepted in the United States of America (U.S. GAAP).</w:t>
      </w:r>
    </w:p>
    <w:p>
      <w:pPr>
        <w:spacing w:after="0" w:line="211" w:lineRule="exact"/>
        <w:rPr>
          <w:sz w:val="20"/>
          <w:szCs w:val="20"/>
          <w:color w:val="auto"/>
        </w:rPr>
      </w:pPr>
    </w:p>
    <w:p>
      <w:pPr>
        <w:jc w:val="both"/>
        <w:ind w:right="860"/>
        <w:spacing w:after="0" w:line="289" w:lineRule="auto"/>
        <w:rPr>
          <w:sz w:val="20"/>
          <w:szCs w:val="20"/>
          <w:color w:val="auto"/>
        </w:rPr>
      </w:pPr>
      <w:r>
        <w:rPr>
          <w:rFonts w:ascii="Times New Roman" w:cs="Times New Roman" w:eastAsia="Times New Roman" w:hAnsi="Times New Roman"/>
          <w:sz w:val="17"/>
          <w:szCs w:val="17"/>
          <w:color w:val="auto"/>
        </w:rPr>
        <w:t>These consolidated financial statements should be read in conjunction with the consolidated financial statements and related notes contained in the Company’s annual report on Form 10-K for the fiscal year ended August 31, 2014. These consolidated financial statements also should be read in conjunction with the “Management’s Discussion and Analysis of Financial Condition and Results of Operations” section appearing in this report.</w:t>
      </w:r>
    </w:p>
    <w:p>
      <w:pPr>
        <w:spacing w:after="0" w:line="18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six months ended February 28, 2015 are not necessarily indicative of the results that may be expected for the full fiscal year ending August 31, 2015.</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Certain amounts reported in the consolidated financial statements for the previous reporting periods have been reclassified to conform to the current period presentation. During the quarter ended February 28, 2015, the Company reclassified dividends received from equity method from investing cash flows to operating cash flows on the consolidated statements of cash flows for all periods presented. The classification reflects the continued profitability and returns of those profits to its owners, including the Company. The reclassification did not impact net income (loss) or equity.</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evaluates events occurring after the date of the consolidated financial statements requiring recording or disclosure in the consolidated financial statements.</w:t>
      </w:r>
    </w:p>
    <w:p>
      <w:pPr>
        <w:spacing w:after="0" w:line="185"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revised guidance on revenue recognition. The standard provides a single revenue recognition model which is intended to improve comparability over a range of industries, companies and geographical boundaries and will also result in enhanced disclosures. The changes are effective for the Company’s fiscal year ended August 31, 2018, and interim periods within that year. The Company is currently reviewing the revised guidance and assessing the potential impact on its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59"/>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3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73"/>
        </w:trPr>
        <w:tc>
          <w:tcPr>
            <w:tcW w:w="4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 28, 2015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August 31, 2014</w:t>
            </w:r>
          </w:p>
        </w:tc>
      </w:tr>
      <w:tr>
        <w:trPr>
          <w:trHeight w:val="210"/>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43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1,375,679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1,242,649</w:t>
            </w:r>
          </w:p>
        </w:tc>
      </w:tr>
      <w:tr>
        <w:trPr>
          <w:trHeight w:val="23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9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4,605,756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4,718,750</w:t>
            </w:r>
          </w:p>
        </w:tc>
      </w:tr>
      <w:tr>
        <w:trPr>
          <w:trHeight w:val="250"/>
        </w:trPr>
        <w:tc>
          <w:tcPr>
            <w:tcW w:w="400" w:type="dxa"/>
            <w:vAlign w:val="bottom"/>
            <w:shd w:val="clear" w:color="auto" w:fill="CCEEFF"/>
          </w:tcPr>
          <w:p>
            <w:pPr>
              <w:spacing w:after="0"/>
              <w:rPr>
                <w:sz w:val="21"/>
                <w:szCs w:val="21"/>
                <w:color w:val="auto"/>
              </w:rPr>
            </w:pPr>
          </w:p>
        </w:tc>
        <w:tc>
          <w:tcPr>
            <w:tcW w:w="3820" w:type="dxa"/>
            <w:vAlign w:val="bottom"/>
            <w:shd w:val="clear" w:color="auto" w:fill="CCEEFF"/>
          </w:tcPr>
          <w:p>
            <w:pPr>
              <w:spacing w:after="0"/>
              <w:rPr>
                <w:sz w:val="21"/>
                <w:szCs w:val="21"/>
                <w:color w:val="auto"/>
              </w:rPr>
            </w:pPr>
          </w:p>
        </w:tc>
        <w:tc>
          <w:tcPr>
            <w:tcW w:w="43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5,981,435</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5,961,399</w:t>
            </w:r>
          </w:p>
        </w:tc>
      </w:tr>
      <w:tr>
        <w:trPr>
          <w:trHeight w:val="601"/>
        </w:trPr>
        <w:tc>
          <w:tcPr>
            <w:tcW w:w="400" w:type="dxa"/>
            <w:vAlign w:val="bottom"/>
            <w:tcBorders>
              <w:top w:val="single" w:sz="8" w:color="CCEEFF"/>
            </w:tcBorders>
          </w:tcPr>
          <w:p>
            <w:pPr>
              <w:spacing w:after="0"/>
              <w:rPr>
                <w:sz w:val="24"/>
                <w:szCs w:val="24"/>
                <w:color w:val="auto"/>
              </w:rPr>
            </w:pPr>
          </w:p>
        </w:tc>
        <w:tc>
          <w:tcPr>
            <w:tcW w:w="3820" w:type="dxa"/>
            <w:vAlign w:val="bottom"/>
            <w:tcBorders>
              <w:top w:val="single" w:sz="8" w:color="CCEEFF"/>
            </w:tcBorders>
          </w:tcPr>
          <w:p>
            <w:pPr>
              <w:spacing w:after="0"/>
              <w:rPr>
                <w:sz w:val="24"/>
                <w:szCs w:val="24"/>
                <w:color w:val="auto"/>
              </w:rPr>
            </w:pPr>
          </w:p>
        </w:tc>
        <w:tc>
          <w:tcPr>
            <w:tcW w:w="3900" w:type="dxa"/>
            <w:vAlign w:val="bottom"/>
            <w:tcBorders>
              <w:top w:val="single" w:sz="8" w:color="CCEEFF"/>
            </w:tcBorders>
          </w:tcPr>
          <w:p>
            <w:pPr>
              <w:jc w:val="right"/>
              <w:ind w:right="2270"/>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105"/>
        </w:trPr>
        <w:tc>
          <w:tcPr>
            <w:tcW w:w="400" w:type="dxa"/>
            <w:vAlign w:val="bottom"/>
          </w:tcPr>
          <w:p>
            <w:pPr>
              <w:spacing w:after="0"/>
              <w:rPr>
                <w:sz w:val="9"/>
                <w:szCs w:val="9"/>
                <w:color w:val="auto"/>
              </w:rPr>
            </w:pPr>
          </w:p>
        </w:tc>
        <w:tc>
          <w:tcPr>
            <w:tcW w:w="3820" w:type="dxa"/>
            <w:vAlign w:val="bottom"/>
          </w:tcPr>
          <w:p>
            <w:pPr>
              <w:spacing w:after="0"/>
              <w:rPr>
                <w:sz w:val="9"/>
                <w:szCs w:val="9"/>
                <w:color w:val="auto"/>
              </w:rPr>
            </w:pPr>
          </w:p>
        </w:tc>
        <w:tc>
          <w:tcPr>
            <w:tcW w:w="3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61"/>
        </w:trPr>
        <w:tc>
          <w:tcPr>
            <w:tcW w:w="400" w:type="dxa"/>
            <w:vAlign w:val="bottom"/>
            <w:shd w:val="clear" w:color="auto" w:fill="808080"/>
          </w:tcPr>
          <w:p>
            <w:pPr>
              <w:spacing w:after="0"/>
              <w:rPr>
                <w:sz w:val="5"/>
                <w:szCs w:val="5"/>
                <w:color w:val="auto"/>
              </w:rPr>
            </w:pPr>
          </w:p>
        </w:tc>
        <w:tc>
          <w:tcPr>
            <w:tcW w:w="3820" w:type="dxa"/>
            <w:vAlign w:val="bottom"/>
            <w:shd w:val="clear" w:color="auto" w:fill="808080"/>
          </w:tcPr>
          <w:p>
            <w:pPr>
              <w:spacing w:after="0"/>
              <w:rPr>
                <w:sz w:val="5"/>
                <w:szCs w:val="5"/>
                <w:color w:val="auto"/>
              </w:rPr>
            </w:pPr>
          </w:p>
        </w:tc>
        <w:tc>
          <w:tcPr>
            <w:tcW w:w="39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61"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020" w:type="dxa"/>
            <w:vAlign w:val="bottom"/>
            <w:gridSpan w:val="2"/>
          </w:tcPr>
          <w:p>
            <w:pPr>
              <w:jc w:val="right"/>
              <w:ind w:right="477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73"/>
        </w:trPr>
        <w:tc>
          <w:tcPr>
            <w:tcW w:w="50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6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 28, 2015</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August 31, 2014</w:t>
            </w:r>
          </w:p>
        </w:tc>
      </w:tr>
      <w:tr>
        <w:trPr>
          <w:trHeight w:val="21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80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310,365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r>
      <w:tr>
        <w:trPr>
          <w:trHeight w:val="216"/>
        </w:trPr>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6,195,154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5,695,268</w:t>
            </w:r>
          </w:p>
        </w:tc>
      </w:tr>
      <w:tr>
        <w:trPr>
          <w:trHeight w:val="230"/>
        </w:trPr>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3,622,514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3,713,145</w:t>
            </w:r>
          </w:p>
        </w:tc>
      </w:tr>
      <w:tr>
        <w:trPr>
          <w:trHeight w:val="210"/>
        </w:trPr>
        <w:tc>
          <w:tcPr>
            <w:tcW w:w="500" w:type="dxa"/>
            <w:vAlign w:val="bottom"/>
            <w:tcBorders>
              <w:top w:val="single" w:sz="8" w:color="CCEEFF"/>
            </w:tcBorders>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10,128,033</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9,718,778</w:t>
            </w:r>
          </w:p>
        </w:tc>
      </w:tr>
      <w:tr>
        <w:trPr>
          <w:trHeight w:val="230"/>
        </w:trPr>
        <w:tc>
          <w:tcPr>
            <w:tcW w:w="8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(3,036,605)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(3,240,791)</w:t>
            </w:r>
          </w:p>
        </w:tc>
      </w:tr>
      <w:tr>
        <w:trPr>
          <w:trHeight w:val="210"/>
        </w:trPr>
        <w:tc>
          <w:tcPr>
            <w:tcW w:w="500" w:type="dxa"/>
            <w:vAlign w:val="bottom"/>
          </w:tcPr>
          <w:p>
            <w:pPr>
              <w:spacing w:after="0"/>
              <w:rPr>
                <w:sz w:val="18"/>
                <w:szCs w:val="18"/>
                <w:color w:val="auto"/>
              </w:rPr>
            </w:pPr>
          </w:p>
        </w:tc>
        <w:tc>
          <w:tcPr>
            <w:tcW w:w="80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7,091,428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6,477,987</w:t>
            </w:r>
          </w:p>
        </w:tc>
      </w:tr>
      <w:tr>
        <w:trPr>
          <w:trHeight w:val="21"/>
        </w:trPr>
        <w:tc>
          <w:tcPr>
            <w:tcW w:w="5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PATENTS AND TRADEMARKS, NET</w:t>
            </w:r>
          </w:p>
        </w:tc>
        <w:tc>
          <w:tcPr>
            <w:tcW w:w="2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Patents and trademarks, net consisted of the following:</w:t>
            </w:r>
          </w:p>
        </w:tc>
        <w:tc>
          <w:tcPr>
            <w:tcW w:w="2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73"/>
        </w:trPr>
        <w:tc>
          <w:tcPr>
            <w:tcW w:w="4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 28, 2015</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August 31, 2014</w:t>
            </w:r>
          </w:p>
        </w:tc>
      </w:tr>
      <w:tr>
        <w:trPr>
          <w:trHeight w:val="210"/>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24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2,394,546</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2,287,840</w:t>
            </w:r>
          </w:p>
        </w:tc>
      </w:tr>
      <w:tr>
        <w:trPr>
          <w:trHeight w:val="230"/>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(1,133,972)</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(1,090,140)</w:t>
            </w:r>
          </w:p>
        </w:tc>
      </w:tr>
      <w:tr>
        <w:trPr>
          <w:trHeight w:val="230"/>
        </w:trPr>
        <w:tc>
          <w:tcPr>
            <w:tcW w:w="400" w:type="dxa"/>
            <w:vAlign w:val="bottom"/>
            <w:shd w:val="clear" w:color="auto" w:fill="CCEEFF"/>
          </w:tcPr>
          <w:p>
            <w:pPr>
              <w:spacing w:after="0"/>
              <w:rPr>
                <w:sz w:val="20"/>
                <w:szCs w:val="20"/>
                <w:color w:val="auto"/>
              </w:rPr>
            </w:pPr>
          </w:p>
        </w:tc>
        <w:tc>
          <w:tcPr>
            <w:tcW w:w="56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1,260,574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1,197,700</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$85,000 in each of the next five fiscal years.</w:t>
      </w:r>
    </w:p>
    <w:p>
      <w:pPr>
        <w:spacing w:after="0" w:line="199"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JOINT VENTURES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Financial information from the financial statements of the Company’s joint venture in Germany, Excor Korrosionsschutz – Technologien und Produkte GmbH (EXCOR), joint venture in China, Tianjin-Zerust Anticorrosion Co., Ltd. (Tianjin Zerust), for the periods for which it was accounted for under the equity method (See Note 7) and all of the Company’s other joint ventures, are summarized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At February 28, 2015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6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46,802,727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19,669,250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27,133,477</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50,375,058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21,662,648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28,712,410</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12,347,251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2,837,566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9,509,685</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3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1,080,425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1,080,425</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36,947,382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18,825,082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18,122,300</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3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18,377,038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9,412,543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8,964,499</w:t>
            </w:r>
          </w:p>
        </w:tc>
      </w:tr>
      <w:tr>
        <w:trPr>
          <w:trHeight w:val="198"/>
        </w:trPr>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16,252,890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9,381,638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6,871,252</w:t>
            </w:r>
          </w:p>
        </w:tc>
      </w:tr>
      <w:tr>
        <w:trPr>
          <w:trHeight w:val="608"/>
        </w:trPr>
        <w:tc>
          <w:tcPr>
            <w:tcW w:w="6400" w:type="dxa"/>
            <w:vAlign w:val="bottom"/>
          </w:tcPr>
          <w:p>
            <w:pPr>
              <w:ind w:left="566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05"/>
        </w:trPr>
        <w:tc>
          <w:tcPr>
            <w:tcW w:w="6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61"/>
        </w:trPr>
        <w:tc>
          <w:tcPr>
            <w:tcW w:w="64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66"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At August 31, 2014</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20" w:type="dxa"/>
            <w:vAlign w:val="bottom"/>
          </w:tcPr>
          <w:p>
            <w:pPr>
              <w:spacing w:after="0"/>
              <w:rPr>
                <w:sz w:val="19"/>
                <w:szCs w:val="19"/>
                <w:color w:val="auto"/>
              </w:rPr>
            </w:pPr>
          </w:p>
        </w:tc>
        <w:tc>
          <w:tcPr>
            <w:tcW w:w="13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Tianjin Zerust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61,491,957</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24,361,157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9,774,680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27,356,120</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65,466,964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26,652,165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9,793,803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29,020,996</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17,542,634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3,512,143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4,438,380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9,592,111</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1,929,488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868,377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1,061,111</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45,994,842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23,140,022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4,487,046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18,367,775</w:t>
            </w: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22,961,989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11,570,013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2,243,524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9,148,452</w:t>
            </w:r>
          </w:p>
        </w:tc>
      </w:tr>
      <w:tr>
        <w:trPr>
          <w:trHeight w:val="198"/>
        </w:trPr>
        <w:tc>
          <w:tcPr>
            <w:tcW w:w="5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20,540,523</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11,539,108</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2,193,524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6,807,891</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February 28, 2015</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20" w:type="dxa"/>
            <w:vAlign w:val="bottom"/>
          </w:tcPr>
          <w:p>
            <w:pPr>
              <w:spacing w:after="0"/>
              <w:rPr>
                <w:sz w:val="19"/>
                <w:szCs w:val="19"/>
                <w:color w:val="auto"/>
              </w:rPr>
            </w:pPr>
          </w:p>
        </w:tc>
        <w:tc>
          <w:tcPr>
            <w:tcW w:w="13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Tianjin Zerust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52,178,238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18,383,653</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3,735,457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30,059,128</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25,540,546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9,766,973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1,783,673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13,989,900</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6,152,182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3,924,547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265,648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1,961,987</w:t>
            </w: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income of joint ventures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3,081,331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1,962,047</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132,824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986,460</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February 28, 2014</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20" w:type="dxa"/>
            <w:vAlign w:val="bottom"/>
          </w:tcPr>
          <w:p>
            <w:pPr>
              <w:spacing w:after="0"/>
              <w:rPr>
                <w:sz w:val="19"/>
                <w:szCs w:val="19"/>
                <w:color w:val="auto"/>
              </w:rPr>
            </w:pPr>
          </w:p>
        </w:tc>
        <w:tc>
          <w:tcPr>
            <w:tcW w:w="13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Tianjin Zerust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58,050,376</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18,963,579</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8,257,630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30,829,167</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27,600,668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10,072,948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3,834,419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13,693,301</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5,479,724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3,763,017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553,963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1,162,744</w:t>
            </w:r>
          </w:p>
        </w:tc>
      </w:tr>
      <w:tr>
        <w:trPr>
          <w:trHeight w:val="198"/>
        </w:trPr>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income of joint ventures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2,823,199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1,881,705</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276,948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664,546</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material profits recorded on sales from the Company to its joint ventures have been eliminated for financial reporting purposes.</w:t>
      </w:r>
    </w:p>
    <w:p>
      <w:pPr>
        <w:spacing w:after="0" w:line="2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January 2, 2015, the Company announced that, effective as of December 31, 2014, the Company terminated its joint venture agreements with its previous joint venture in China, Tianjin Zerust, and began the process of liquidating the joint venture entity. The Company intends to conduct future business in China through a newly formed wholly owned subsidiary, NTIC (Shanghai) Co. Ltd. (NTIC China). As of December 31, 2014, the Company started recognizing Tianjin Zerust based on its carrying value instead of the equity method since the Company no longer expects to significantly affect the joint venture’s operations or decision making during its anticipated liquidation.</w:t>
      </w:r>
    </w:p>
    <w:p>
      <w:pPr>
        <w:spacing w:after="0" w:line="21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Company records expenses that are directly attributable to the joint ventures on its consolidated statements of operations in the line item “Expenses incurred in support of joint ventures.” The expenses include items such as employee compensation and benefit expenses, travel expense and consulting expense.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make any joint venture investments during the six months ended February 28, 2015 and 2014.</w:t>
      </w:r>
    </w:p>
    <w:p>
      <w:pPr>
        <w:spacing w:after="0" w:line="25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November 30, 2013, the Company agreed to sell its indirect ownership interest in Mütec GmbH (Mütec), the Company’s former joint venture in Germany which manufactures proprietary electronic sensing instruments. Since the purchase price paid to the Company was less than the book value of the Company’s investment in Mütec, the Company recognized a $50,000 impairment charge during the three months ended November 30, 2013, which is included in the consolidated statements of operations in the line item “Equity income of joint ventures.” In connection with the transaction, the owner of Mütec borrowed $168,000 from the Company to be repaid over four years with no interest. As of February 28, 2015 and August 31, 2014, $142,277 and $156,854 was due to the Company related to this transaction.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9" w:right="239" w:bottom="1440" w:gutter="0" w:footer="0" w:header="0"/>
        </w:sectPr>
      </w:pPr>
    </w:p>
    <w:bookmarkStart w:id="10" w:name="page11"/>
    <w:bookmarkEnd w:id="10"/>
    <w:p>
      <w:pPr>
        <w:ind w:left="540" w:hanging="532"/>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CHINA OPERATIONS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January 2, 2015, the Company announced that, effective as of December 31, 2014, the Company terminated its joint venture agreements with its previous joint venture in China, Tianjin Zerust, began the process of liquidating the joint venture entity, and has commenced conducting business in China through a newly formed wholly owned subsidiary, NTIC (Shanghai) Co. Ltd. on January 1, 2015. Effective December 31, 2014, the Company’s investment in Tianjin Zerust is reported at carrying value based on the Company’s decreased level of influence over the entity, and the Company has reclassified previously unrecognized gains on foreign currency translation from other comprehensive income. Any declines in the fair value are reflected as adjustments to the carrying value. No such adjustments were recorded during the six months ended February 28, 2015.</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investment in Tianjin Zerust is as follows:</w:t>
            </w:r>
          </w:p>
        </w:tc>
        <w:tc>
          <w:tcPr>
            <w:tcW w:w="2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73"/>
        </w:trPr>
        <w:tc>
          <w:tcPr>
            <w:tcW w:w="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Investment</w:t>
            </w: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 – August 31, 2014</w:t>
            </w:r>
          </w:p>
        </w:tc>
        <w:tc>
          <w:tcPr>
            <w:tcW w:w="2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2,243,524</w:t>
            </w: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 six months ended February 28, 2015</w:t>
            </w:r>
          </w:p>
        </w:tc>
        <w:tc>
          <w:tcPr>
            <w:tcW w:w="2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132,824</w:t>
            </w:r>
          </w:p>
        </w:tc>
      </w:tr>
      <w:tr>
        <w:trPr>
          <w:trHeight w:val="230"/>
        </w:trPr>
        <w:tc>
          <w:tcPr>
            <w:tcW w:w="20" w:type="dxa"/>
            <w:vAlign w:val="bottom"/>
          </w:tcPr>
          <w:p>
            <w:pPr>
              <w:spacing w:after="0"/>
              <w:rPr>
                <w:sz w:val="19"/>
                <w:szCs w:val="19"/>
                <w:color w:val="auto"/>
              </w:rPr>
            </w:pPr>
          </w:p>
        </w:tc>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translation gains on foreign currency translation</w:t>
            </w:r>
          </w:p>
        </w:tc>
        <w:tc>
          <w:tcPr>
            <w:tcW w:w="26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(492,660)</w:t>
            </w:r>
          </w:p>
        </w:tc>
      </w:tr>
      <w:tr>
        <w:trPr>
          <w:trHeight w:val="228"/>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Investment at carrying value – February 28, 2015</w:t>
            </w:r>
          </w:p>
        </w:tc>
        <w:tc>
          <w:tcPr>
            <w:tcW w:w="2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1,883,688</w:t>
            </w:r>
          </w:p>
        </w:tc>
      </w:tr>
    </w:tbl>
    <w:p>
      <w:pPr>
        <w:spacing w:after="0" w:line="20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Company incurred expenses of $883,000 during the six months ended February 28, 2015 related to the termination of the joint venture agreements with Tianjin Zerust, the initiation of the liquidation of Tianjin Zerust and the formation of NTIC China. Such expenses consisted primarily of legal expenses and personnel expenses associated with the establishment of the subsidiary and the hiring of new personnel. These expenses are recorded as selling, general and administrative expenses and expenses incurred in support of joint ventures on the consolidated statements of operations.</w:t>
      </w:r>
    </w:p>
    <w:p>
      <w:pPr>
        <w:spacing w:after="0" w:line="203"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has a revolving line of credit with PNC Bank of $3,000,000. No amounts were outstanding under the line of credit as of both February 28, 2015 and August 31, 2014.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the Company is subject to a minimum fixed charge coverage ratio of 1.10:1.00. As of February 28, 2015, the Company was in compliance with all debt covenants.</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January 5, 2015, PNC Bank extended the maturity date of the line of credit from January 7, 2015 to January 7, 2016 under substantially similar terms, and waived a technical covenant default by the Company to deliver quarterly compliance certificates.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1" w:name="page12"/>
    <w:bookmarkEnd w:id="11"/>
    <w:p>
      <w:pPr>
        <w:ind w:left="640" w:hanging="632"/>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5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28, 2015, the Company did not purchase or retire any shares of its common stock. The following stock options to purchase shares of common stock were exercised during the six months ended February 28,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56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1"/>
        </w:trPr>
        <w:tc>
          <w:tcPr>
            <w:tcW w:w="358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16"/>
        </w:trPr>
        <w:tc>
          <w:tcPr>
            <w:tcW w:w="49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18,000</w:t>
            </w:r>
          </w:p>
        </w:tc>
        <w:tc>
          <w:tcPr>
            <w:tcW w:w="8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$7.65</w:t>
            </w:r>
          </w:p>
        </w:tc>
        <w:tc>
          <w:tcPr>
            <w:tcW w:w="3800" w:type="dxa"/>
            <w:vAlign w:val="bottom"/>
            <w:shd w:val="clear" w:color="auto" w:fill="CCEEFF"/>
          </w:tcPr>
          <w:p>
            <w:pPr>
              <w:spacing w:after="0"/>
              <w:rPr>
                <w:sz w:val="18"/>
                <w:szCs w:val="18"/>
                <w:color w:val="auto"/>
              </w:rPr>
            </w:pPr>
          </w:p>
        </w:tc>
      </w:tr>
      <w:tr>
        <w:trPr>
          <w:trHeight w:val="234"/>
        </w:trPr>
        <w:tc>
          <w:tcPr>
            <w:tcW w:w="49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2,333</w:t>
            </w:r>
          </w:p>
        </w:tc>
        <w:tc>
          <w:tcPr>
            <w:tcW w:w="840" w:type="dxa"/>
            <w:vAlign w:val="bottom"/>
          </w:tcPr>
          <w:p>
            <w:pPr>
              <w:spacing w:after="0"/>
              <w:rPr>
                <w:sz w:val="20"/>
                <w:szCs w:val="20"/>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w:t>
            </w:r>
          </w:p>
        </w:tc>
        <w:tc>
          <w:tcPr>
            <w:tcW w:w="3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217805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78050" cy="27432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-285115</wp:posOffset>
            </wp:positionV>
            <wp:extent cx="216979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9795" cy="137160"/>
                    </a:xfrm>
                    <a:prstGeom prst="rect">
                      <a:avLst/>
                    </a:prstGeom>
                    <a:noFill/>
                  </pic:spPr>
                </pic:pic>
              </a:graphicData>
            </a:graphic>
          </wp:anchor>
        </w:drawing>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granted stock options under the Northern Technologies International Corporation Amended and Restated 2007 Stock Incentive Plan (the 2007 Plan) to purchase an aggregate of 45,067 shares of its common stock to various employees and directors during the six months ended February 28, 2015. The weighted average per share exercise price of the stock options is $20.10, which was equal to the fair market value of the Company’s common stock on the date of grant.</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28, 2014, the Company did not purchase or retire any shares of its common stock. The following stock options to purchase shares of common stock were exercised during the six months ended February 28, 2014: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568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1"/>
        </w:trPr>
        <w:tc>
          <w:tcPr>
            <w:tcW w:w="358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16"/>
        </w:trPr>
        <w:tc>
          <w:tcPr>
            <w:tcW w:w="490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$7.65</w:t>
            </w:r>
          </w:p>
        </w:tc>
        <w:tc>
          <w:tcPr>
            <w:tcW w:w="38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217805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78050" cy="137160"/>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-136525</wp:posOffset>
            </wp:positionV>
            <wp:extent cx="216979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9795" cy="137160"/>
                    </a:xfrm>
                    <a:prstGeom prst="rect">
                      <a:avLst/>
                    </a:prstGeom>
                    <a:noFill/>
                  </pic:spPr>
                </pic:pic>
              </a:graphicData>
            </a:graphic>
          </wp:anchor>
        </w:drawing>
      </w:r>
    </w:p>
    <w:p>
      <w:pPr>
        <w:spacing w:after="0" w:line="20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granted stock options under the 2007 Plan to purchase an aggregate of 56,373 shares of its common stock to various employees and directors during the six months ended February 28, 2014. The weighted average per share exercise price of the stock options is $14.83, which was equal to the fair market value of the Company’s common stock on the date of grant.</w:t>
      </w:r>
    </w:p>
    <w:p>
      <w:pPr>
        <w:spacing w:after="0" w:line="199" w:lineRule="exact"/>
        <w:rPr>
          <w:sz w:val="20"/>
          <w:szCs w:val="20"/>
          <w:color w:val="auto"/>
        </w:rPr>
      </w:pPr>
    </w:p>
    <w:p>
      <w:pPr>
        <w:ind w:left="720" w:hanging="712"/>
        <w:spacing w:after="0"/>
        <w:tabs>
          <w:tab w:leader="none" w:pos="7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INCOME PER COMMON SHARE</w:t>
      </w:r>
    </w:p>
    <w:p>
      <w:pPr>
        <w:spacing w:after="0" w:line="256" w:lineRule="exact"/>
        <w:rPr>
          <w:sz w:val="20"/>
          <w:szCs w:val="20"/>
          <w:color w:val="auto"/>
        </w:rPr>
      </w:pPr>
    </w:p>
    <w:p>
      <w:pPr>
        <w:ind w:right="1520"/>
        <w:spacing w:after="0" w:line="282" w:lineRule="auto"/>
        <w:rPr>
          <w:sz w:val="20"/>
          <w:szCs w:val="20"/>
          <w:color w:val="auto"/>
        </w:rPr>
      </w:pPr>
      <w:r>
        <w:rPr>
          <w:rFonts w:ascii="Times New Roman" w:cs="Times New Roman" w:eastAsia="Times New Roman" w:hAnsi="Times New Roman"/>
          <w:sz w:val="18"/>
          <w:szCs w:val="18"/>
          <w:color w:val="auto"/>
        </w:rPr>
        <w:t>Basic net (loss) income per common share is computed by dividing net (loss) income by the weighted average number of common shares outstanding. Diluted net (loss) income per share assumes the exercise of stock options using the treasury stock method, if dilutive.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earnings (loss) per share computation: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Numerators:</w:t>
            </w:r>
          </w:p>
        </w:tc>
        <w:tc>
          <w:tcPr>
            <w:tcW w:w="1380" w:type="dxa"/>
            <w:vAlign w:val="bottom"/>
            <w:gridSpan w:val="2"/>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0" w:type="dxa"/>
            <w:vAlign w:val="bottom"/>
          </w:tcPr>
          <w:p>
            <w:pPr>
              <w:spacing w:after="0"/>
              <w:rPr>
                <w:sz w:val="1"/>
                <w:szCs w:val="1"/>
                <w:color w:val="auto"/>
              </w:rPr>
            </w:pPr>
          </w:p>
        </w:tc>
      </w:tr>
      <w:tr>
        <w:trPr>
          <w:trHeight w:val="238"/>
        </w:trPr>
        <w:tc>
          <w:tcPr>
            <w:tcW w:w="5620" w:type="dxa"/>
            <w:vAlign w:val="bottom"/>
            <w:gridSpan w:val="2"/>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NTIC</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(128,644)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1,025,044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876,621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1,883,630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Basic – weighted shares outstanding</w:t>
            </w: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4,522,514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4,434,837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4,516,311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4,434,770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144,766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139,481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131,333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3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4,522,514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4,579,603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4,655,792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4,566,103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60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2" w:name="page13"/>
    <w:bookmarkEnd w:id="12"/>
    <w:p>
      <w:pPr>
        <w:ind w:right="20"/>
        <w:spacing w:after="0" w:line="258"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Earnings (loss) per common share were based on the weighted average number of common shares outstanding during the periods when computing the basic earnings (loss) per share. When dilutive, stock options are included as equivalents using the treasury stock market method when computing the diluted earnings (loss) per share. Excluded from the computation of diluted earnings per share for the three months ended February 28, 2015 were all options outstanding to purchase 263,734 shares of common stock, due to the Company’s net loss in the period.</w:t>
      </w:r>
    </w:p>
    <w:p>
      <w:pPr>
        <w:spacing w:after="0" w:line="207" w:lineRule="exact"/>
        <w:rPr>
          <w:sz w:val="20"/>
          <w:szCs w:val="20"/>
          <w:color w:val="auto"/>
        </w:rPr>
      </w:pPr>
    </w:p>
    <w:p>
      <w:pPr>
        <w:ind w:left="720" w:hanging="712"/>
        <w:spacing w:after="0"/>
        <w:tabs>
          <w:tab w:leader="none" w:pos="7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two stock-based compensation plans under which stock options and other stock-based awards have been granted, the Northern Technologies International Corporation Amended and Restated 2007 Stock Incentive Plan and the Northern Technologies International Corporation Employee Stock Purchase Plan (the ESPP). The Compensation Committee of the Board of Directors and the Board of Directors administer these plans.</w:t>
      </w:r>
    </w:p>
    <w:p>
      <w:pPr>
        <w:spacing w:after="0" w:line="20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ten years and become exercisable over a three- or four-year period beginning on the one-year anniversary of the date of grant. Options are granted at per share exercise prices equal to the market value of the Company’s common stock on the date of grant. The Company issues new shares upon the exercise of options. As of February 28, 2015, only stock options and stock bonuses had been granted under the 2007 Plan.</w:t>
      </w:r>
    </w:p>
    <w:p>
      <w:pPr>
        <w:spacing w:after="0" w:line="2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1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granted options to purchase an aggregate of 45,067 and 56,373 shares of its common stock during the six months ended February 28, 2015 and 2014, respectively. The fair value of option grants is determined at date of grant, using the Black-Scholes option pricing model with the assumptions listed below. The Company recognized compensation expense of $261,159 and $236,623 during the six months ended February 28, 2015 and 2014, respectively, related to the options that vested during such time period. As of February 28, 2015, the total compensation cost for nonvested options not yet recognized in the Company’s consolidated statements of operations was $494,109, net of estimated forfeitures. Stock-based compensation expense of $234,524 is expected through the remainder of fiscal year 2015, and $179,785 and $79,800 is expected to be recognized during fiscal 2016 and fiscal 2017, respectively, based on outstanding options as of February 28, 2015. Future option grants will impact the compensation expense recognized. Stock-based compensation expense is included in general and administrative expense on the consolidated statements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estimates a ten percent forfeiture rate for stock options and continually reviews this estimate for future periods.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 w:name="page14"/>
    <w:bookmarkEnd w:id="13"/>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grant date using the Black-Scholes option-pricing model with the following assumptions and results for the grants: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0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8500" w:type="dxa"/>
            <w:vAlign w:val="bottom"/>
          </w:tcPr>
          <w:p>
            <w:pPr>
              <w:spacing w:after="0"/>
              <w:rPr>
                <w:sz w:val="16"/>
                <w:szCs w:val="16"/>
                <w:color w:val="auto"/>
              </w:rPr>
            </w:pPr>
          </w:p>
        </w:tc>
        <w:tc>
          <w:tcPr>
            <w:tcW w:w="140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40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8500" w:type="dxa"/>
            <w:vAlign w:val="bottom"/>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10"/>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of option (in years)</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5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r>
    </w:tbl>
    <w:p>
      <w:pPr>
        <w:spacing w:after="0" w:line="2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six months ended February 28, 2015 and 2014 was $11.58 and $8.60, respectively. The weighted average remaining contractual life of the options outstanding as of February 28, 2015 and 2014 was 6.56 years and 5.02 years, respectively.</w:t>
      </w:r>
    </w:p>
    <w:p>
      <w:pPr>
        <w:spacing w:after="0" w:line="185" w:lineRule="exact"/>
        <w:rPr>
          <w:sz w:val="20"/>
          <w:szCs w:val="20"/>
          <w:color w:val="auto"/>
        </w:rPr>
      </w:pPr>
    </w:p>
    <w:p>
      <w:pPr>
        <w:ind w:left="720" w:hanging="712"/>
        <w:spacing w:after="0"/>
        <w:tabs>
          <w:tab w:leader="none" w:pos="7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GEOGRAPHIC AND SEGMENT INFORMATION</w:t>
      </w:r>
    </w:p>
    <w:p>
      <w:pPr>
        <w:spacing w:after="0" w:line="25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Net sales by geographic location as a percentage of total consolidated net sales for the three and six months ended February 28, 2015 and 2014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5480" w:type="dxa"/>
            <w:vAlign w:val="bottom"/>
          </w:tcPr>
          <w:p>
            <w:pPr>
              <w:spacing w:after="0"/>
              <w:rPr>
                <w:sz w:val="16"/>
                <w:szCs w:val="16"/>
                <w:color w:val="auto"/>
              </w:rPr>
            </w:pPr>
          </w:p>
        </w:tc>
        <w:tc>
          <w:tcPr>
            <w:tcW w:w="140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40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140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40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r>
      <w:tr>
        <w:trPr>
          <w:trHeight w:val="238"/>
        </w:trPr>
        <w:tc>
          <w:tcPr>
            <w:tcW w:w="5480" w:type="dxa"/>
            <w:vAlign w:val="bottom"/>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the U.S.A. to unaffiliated customers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U.S.A to:</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8"/>
        </w:trPr>
        <w:tc>
          <w:tcPr>
            <w:tcW w:w="54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Joint ventures in which the Company is a shareholder directly and</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34"/>
        </w:trPr>
        <w:tc>
          <w:tcPr>
            <w:tcW w:w="5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indirectly</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Unaffiliated customers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10"/>
        </w:trPr>
        <w:tc>
          <w:tcPr>
            <w:tcW w:w="54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w:t>
      </w:r>
    </w:p>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accounted for under the equity method by geographic location as a percentage of total fees for services provided to joint ventures during the three months ended February 28, 2015 and 2014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187"/>
        </w:trPr>
        <w:tc>
          <w:tcPr>
            <w:tcW w:w="3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r>
      <w:tr>
        <w:trPr>
          <w:trHeight w:val="216"/>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r>
      <w:tr>
        <w:trPr>
          <w:trHeight w:val="216"/>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Provided to</w:t>
            </w:r>
          </w:p>
        </w:tc>
      </w:tr>
      <w:tr>
        <w:trPr>
          <w:trHeight w:val="238"/>
        </w:trPr>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Joint Ventures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Joint Ventures</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5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202,633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263,556</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156,519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130,441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124,202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167,410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116,612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152,518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115,000</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79,935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76,518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122,972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73,971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166,858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72,297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92,223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Finland</w:t>
            </w:r>
          </w:p>
        </w:tc>
        <w:tc>
          <w:tcPr>
            <w:tcW w:w="2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52,693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76,537</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523,451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4,415</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281,770</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8"/>
        </w:trPr>
        <w:tc>
          <w:tcPr>
            <w:tcW w:w="3400" w:type="dxa"/>
            <w:vAlign w:val="bottom"/>
          </w:tcPr>
          <w:p>
            <w:pPr>
              <w:spacing w:after="0"/>
              <w:rPr>
                <w:sz w:val="19"/>
                <w:szCs w:val="19"/>
                <w:color w:val="auto"/>
              </w:rPr>
            </w:pPr>
          </w:p>
        </w:tc>
        <w:tc>
          <w:tcPr>
            <w:tcW w:w="2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994,860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2,057,671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589"/>
        </w:trPr>
        <w:tc>
          <w:tcPr>
            <w:tcW w:w="3400" w:type="dxa"/>
            <w:vAlign w:val="bottom"/>
          </w:tcPr>
          <w:p>
            <w:pPr>
              <w:spacing w:after="0"/>
              <w:rPr>
                <w:sz w:val="24"/>
                <w:szCs w:val="24"/>
                <w:color w:val="auto"/>
              </w:rPr>
            </w:pPr>
          </w:p>
        </w:tc>
        <w:tc>
          <w:tcPr>
            <w:tcW w:w="2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5"/>
        </w:trPr>
        <w:tc>
          <w:tcPr>
            <w:tcW w:w="340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61"/>
        </w:trPr>
        <w:tc>
          <w:tcPr>
            <w:tcW w:w="3400" w:type="dxa"/>
            <w:vAlign w:val="bottom"/>
            <w:shd w:val="clear" w:color="auto" w:fill="808080"/>
          </w:tcPr>
          <w:p>
            <w:pPr>
              <w:spacing w:after="0"/>
              <w:rPr>
                <w:sz w:val="5"/>
                <w:szCs w:val="5"/>
                <w:color w:val="auto"/>
              </w:rPr>
            </w:pPr>
          </w:p>
        </w:tc>
        <w:tc>
          <w:tcPr>
            <w:tcW w:w="2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r>
      <w:tr>
        <w:trPr>
          <w:trHeight w:val="187"/>
        </w:trPr>
        <w:tc>
          <w:tcPr>
            <w:tcW w:w="34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 Fees</w:t>
            </w:r>
          </w:p>
        </w:tc>
      </w:tr>
      <w:tr>
        <w:trPr>
          <w:trHeight w:val="216"/>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r>
      <w:tr>
        <w:trPr>
          <w:trHeight w:val="216"/>
        </w:trPr>
        <w:tc>
          <w:tcPr>
            <w:tcW w:w="3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February 28,</w:t>
            </w:r>
          </w:p>
        </w:tc>
        <w:tc>
          <w:tcPr>
            <w:tcW w:w="10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Provided to</w:t>
            </w:r>
          </w:p>
        </w:tc>
      </w:tr>
      <w:tr>
        <w:trPr>
          <w:trHeight w:val="238"/>
        </w:trPr>
        <w:tc>
          <w:tcPr>
            <w:tcW w:w="34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Joint Ventures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Joint Ventures</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440,954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527,111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297,152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282,999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284,544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340,691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287,836</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317,085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211,371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154,632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209,898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251,075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143,262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166,858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159,217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202,193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Finland</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146,215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181,740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516,139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1,111,633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431,942</w:t>
            </w:r>
          </w:p>
        </w:tc>
        <w:tc>
          <w:tcPr>
            <w:tcW w:w="1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631,302</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8"/>
        </w:trPr>
        <w:tc>
          <w:tcPr>
            <w:tcW w:w="3400" w:type="dxa"/>
            <w:vAlign w:val="bottom"/>
          </w:tcPr>
          <w:p>
            <w:pPr>
              <w:spacing w:after="0"/>
              <w:rPr>
                <w:sz w:val="19"/>
                <w:szCs w:val="19"/>
                <w:color w:val="auto"/>
              </w:rPr>
            </w:pPr>
          </w:p>
        </w:tc>
        <w:tc>
          <w:tcPr>
            <w:tcW w:w="2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3,128,530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4,167,319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net sales for the three and six months ended February 28, 2015 and 2014 by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5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5,783,985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5,555,051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12,022,056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11,304,064</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Natur-Tec™ sales</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944,724</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663,957</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1,920,748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1,224,044</w:t>
            </w: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6,728,709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6,219,008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13,942,804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12,528,108</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for the three and six months ended February 28, 2015 and 2014 by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187"/>
        </w:trPr>
        <w:tc>
          <w:tcPr>
            <w:tcW w:w="3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r>
      <w:tr>
        <w:trPr>
          <w:trHeight w:val="216"/>
        </w:trPr>
        <w:tc>
          <w:tcPr>
            <w:tcW w:w="310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2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Product</w:t>
            </w:r>
          </w:p>
        </w:tc>
        <w:tc>
          <w:tcPr>
            <w:tcW w:w="10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Product</w:t>
            </w:r>
          </w:p>
        </w:tc>
      </w:tr>
      <w:tr>
        <w:trPr>
          <w:trHeight w:val="238"/>
        </w:trPr>
        <w:tc>
          <w:tcPr>
            <w:tcW w:w="310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28, 2015</w:t>
            </w:r>
          </w:p>
        </w:tc>
        <w:tc>
          <w:tcPr>
            <w:tcW w:w="12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28, 2014</w:t>
            </w:r>
          </w:p>
        </w:tc>
        <w:tc>
          <w:tcPr>
            <w:tcW w:w="10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28, 2015</w:t>
            </w:r>
          </w:p>
        </w:tc>
        <w:tc>
          <w:tcPr>
            <w:tcW w:w="10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0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28, 2014</w:t>
            </w:r>
          </w:p>
        </w:tc>
        <w:tc>
          <w:tcPr>
            <w:tcW w:w="12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Sales*</w:t>
            </w: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 of goods sold</w:t>
            </w: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ZERUST®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$ 3,171,103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$ 2,965,790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$ 6,509,691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$ 6,047,554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Natur-Tec®</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719,048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490,573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1,501,623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940,037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767,589</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595,470</w:t>
            </w: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1,453,037</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1,222,273</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cost of goods sold</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$ 4,657,740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$ 4,051,833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$ 9,464,351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$ 8,209,864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7"/>
        </w:trPr>
        <w:tc>
          <w:tcPr>
            <w:tcW w:w="3100" w:type="dxa"/>
            <w:vAlign w:val="bottom"/>
          </w:tcPr>
          <w:p>
            <w:pPr>
              <w:spacing w:after="0" w:line="247" w:lineRule="exact"/>
              <w:rPr>
                <w:sz w:val="20"/>
                <w:szCs w:val="20"/>
                <w:color w:val="auto"/>
              </w:rPr>
            </w:pPr>
            <w:r>
              <w:rPr>
                <w:rFonts w:ascii="Times New Roman" w:cs="Times New Roman" w:eastAsia="Times New Roman" w:hAnsi="Times New Roman"/>
                <w:sz w:val="22"/>
                <w:szCs w:val="22"/>
                <w:color w:val="auto"/>
              </w:rPr>
              <w:t>________________________</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ind w:left="500" w:hanging="492"/>
        <w:spacing w:after="0"/>
        <w:tabs>
          <w:tab w:leader="none" w:pos="5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 of segment sales is calculated by dividing the direct cost of goods sold for each individual segment category by the net sales for each segment category.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w:t>
      </w:r>
    </w:p>
    <w:p>
      <w:pPr>
        <w:spacing w:after="0" w:line="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type. Further allocation of Company expenses or assets, aside from amounts presented in the tables above, is not utilized in evaluating product performance, nor does such allocation occur for internal financial reporting.</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The geographical distribution of key financial statement data is as follows:</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7"/>
        </w:trPr>
        <w:tc>
          <w:tcPr>
            <w:tcW w:w="6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69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38"/>
        </w:trPr>
        <w:tc>
          <w:tcPr>
            <w:tcW w:w="6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August 31, 2014</w:t>
            </w:r>
          </w:p>
        </w:tc>
      </w:tr>
      <w:tr>
        <w:trPr>
          <w:trHeight w:val="21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1,065,105</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1,429,054</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1,268,072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India</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359,992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363,894</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47,411,333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52,264,827</w:t>
            </w:r>
          </w:p>
        </w:tc>
      </w:tr>
      <w:tr>
        <w:trPr>
          <w:trHeight w:val="25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50,104,502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54,057,775</w:t>
            </w:r>
          </w:p>
        </w:tc>
      </w:tr>
      <w:tr>
        <w:trPr>
          <w:trHeight w:val="466"/>
        </w:trPr>
        <w:tc>
          <w:tcPr>
            <w:tcW w:w="6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6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6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2014</w:t>
            </w:r>
          </w:p>
        </w:tc>
      </w:tr>
      <w:tr>
        <w:trPr>
          <w:trHeight w:val="21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1,418,236</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1,153,012</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India</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416,772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168,779</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12,087,064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11,206,317</w:t>
            </w:r>
          </w:p>
        </w:tc>
      </w:tr>
      <w:tr>
        <w:trPr>
          <w:trHeight w:val="25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13,942,804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12,528,108</w:t>
            </w:r>
          </w:p>
        </w:tc>
      </w:tr>
      <w:tr>
        <w:trPr>
          <w:trHeight w:val="466"/>
        </w:trPr>
        <w:tc>
          <w:tcPr>
            <w:tcW w:w="6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6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February 28,</w:t>
            </w:r>
          </w:p>
        </w:tc>
      </w:tr>
      <w:tr>
        <w:trPr>
          <w:trHeight w:val="238"/>
        </w:trPr>
        <w:tc>
          <w:tcPr>
            <w:tcW w:w="69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2014</w:t>
            </w:r>
          </w:p>
        </w:tc>
      </w:tr>
      <w:tr>
        <w:trPr>
          <w:trHeight w:val="21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(41,559)</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(145,955)</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India</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5,800</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2,184,424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3,307,688</w:t>
            </w:r>
          </w:p>
        </w:tc>
      </w:tr>
      <w:tr>
        <w:trPr>
          <w:trHeight w:val="25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1,775,451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3,167,533</w:t>
            </w:r>
          </w:p>
        </w:tc>
      </w:tr>
    </w:tbl>
    <w:p>
      <w:pPr>
        <w:spacing w:after="0" w:line="22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Total assets located in Brazil, China and India primarily consist of cash and cash equivalents, customer receivables and inventory. These assets are periodically reviewed to assure the net realizable value from the estimated future production based on forecasted sales exceeds the carrying value of the assets.</w:t>
      </w:r>
    </w:p>
    <w:p>
      <w:pPr>
        <w:spacing w:after="0" w:line="199" w:lineRule="exact"/>
        <w:rPr>
          <w:sz w:val="20"/>
          <w:szCs w:val="20"/>
          <w:color w:val="auto"/>
        </w:rPr>
      </w:pPr>
    </w:p>
    <w:p>
      <w:pPr>
        <w:ind w:left="720" w:hanging="712"/>
        <w:spacing w:after="0"/>
        <w:tabs>
          <w:tab w:leader="none" w:pos="7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expenses all costs related to product research and development as incurred. The Company incurred $1,904,169 and $2,237,865 of expense during the six months ended February 28, 2015 and 2014, respectively, in connection with its research and development activities. These amounts are net of reimbursements related to certain research and development contracts. Such reimbursements totaled $0 and $45,788 for the six months ended February 28, 2015 and 2014, respectively. The net fees are accounted for in the “Research and Development Expenses” section of the consolidated statements of operations.</w:t>
      </w:r>
    </w:p>
    <w:p>
      <w:pPr>
        <w:spacing w:after="0" w:line="207" w:lineRule="exact"/>
        <w:rPr>
          <w:sz w:val="20"/>
          <w:szCs w:val="20"/>
          <w:color w:val="auto"/>
        </w:rPr>
      </w:pPr>
    </w:p>
    <w:p>
      <w:pPr>
        <w:ind w:left="720" w:hanging="712"/>
        <w:spacing w:after="0"/>
        <w:tabs>
          <w:tab w:leader="none" w:pos="7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August 19, 2014, the Compensation Committee of the Board of Directors of the Company approved the material terms of an annual bonus plan for the Company’s executive officers as well as certain officers and employees for the fiscal year ending August 31, 2015. For fiscal 2015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Adjusted EBITOI for fiscal 2015 compared to a pre-established target Adjusted EBITOI for fiscal 2015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the Company’s common stock, the exact amount and percentages will be determined by the Company’s Board of Directors, upon recommendation of the Compensation Committee, after the completion of the Company’s consolidated financial statements for fiscal 2015. There was an accrual of $100,000 for management bonuses for the six months ended February 28, 2015 compared to an accrual of $620,000 for management bonuses for the six months ended February 28, 2014.</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6" w:name="page17"/>
    <w:bookmarkEnd w:id="16"/>
    <w:p>
      <w:pPr>
        <w:ind w:right="120"/>
        <w:spacing w:after="0" w:line="266" w:lineRule="auto"/>
        <w:rPr>
          <w:sz w:val="20"/>
          <w:szCs w:val="20"/>
          <w:color w:val="auto"/>
        </w:rPr>
      </w:pPr>
      <w:r>
        <w:rPr>
          <w:rFonts w:ascii="Times New Roman" w:cs="Times New Roman" w:eastAsia="Times New Roman" w:hAnsi="Times New Roman"/>
          <w:sz w:val="18"/>
          <w:szCs w:val="18"/>
          <w:color w:val="auto"/>
        </w:rPr>
        <w:t>Two joint ventures (consisting of the Company’s joint venture in Korea and remaining payables balance to the Company at Tianjin Zerust) accounted for 37.8% of the Company’s trade joint venture receivables at February 28, 2015. Three joint ventures (consisting of the Company’s joint ventures in Korea and Thailand and Tianjin Zerust accounted for 62.9% of the Company’s trade joint venture receivables at August 31, 2014.</w:t>
      </w:r>
    </w:p>
    <w:p>
      <w:pPr>
        <w:spacing w:after="0" w:line="2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March 23, 2015, the Company and NTI Asean LLC, a wholly owned subsidiary of the Company, filed a lawsuit in Tianjin No 1 Intermediate People’s Court against two individuals, Meng Tao and Xu Hui, related to breaches of duties and contractual commitments owed to NTI Asean under certain agreements related to the Company’s former joint venture in China, Tianjin Zerust Anti-Corrosion Technologies Ltd. The lawsuit alleges, among other things, that Mr. Meng Tao and Xu Hui have engaged in self-dealing, usurped business opportunities, and received economic benefits that were required to go to Tianjin Zerust. At this point it is too early in the lawsuit to reasonably estimate the amount of any recovery to NTI Asean.</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other various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be have been incurred. In the opinion of management, as of February 28, 2015, the amount of liability, if any, with respect to these matters, individually or in the aggregate, will not materially affect the Company’s consolidated results of operations, financial position or cash flows.</w:t>
      </w:r>
    </w:p>
    <w:p>
      <w:pPr>
        <w:spacing w:after="0" w:line="212" w:lineRule="exact"/>
        <w:rPr>
          <w:sz w:val="20"/>
          <w:szCs w:val="20"/>
          <w:color w:val="auto"/>
        </w:rPr>
      </w:pPr>
    </w:p>
    <w:p>
      <w:pPr>
        <w:ind w:left="720" w:hanging="712"/>
        <w:spacing w:after="0"/>
        <w:tabs>
          <w:tab w:leader="none" w:pos="7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Assets and liabilities that are measured at fair value on a recurring basis primarily relate to marketable equity securities. These items are marked-to-market at each reporting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138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 as of</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Using Inputs Considered as</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3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2015</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3,524,985</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3,524,985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0"/>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138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 as of</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Using Inputs Considered as</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138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August 31, 2014</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5,519,766</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5,519,766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08"/>
        </w:trPr>
        <w:tc>
          <w:tcPr>
            <w:tcW w:w="562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7" w:name="page18"/>
    <w:bookmarkEnd w:id="17"/>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2. Management’s Discussion and Analysis of Financial Condition and Results of Operations—Forward-Looking Statements” in this report and under “Part 1. Item 1A. Risk Factors” in our annual report on Form 10-K for the fiscal year ended August 31, 2014 and “Part II. Item 1A. Risk Factors” in this report. The following discussion of the results of the operations and financial condition of NTIC should be read in conjunction with NTIC’s consolidated financial statements and the related notes thereto included under the heading “Part I. Item 1.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NTIC develops and markets proprietary environmentally beneficial products and services in over 60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40 years, and in recent years, has targeted and expanded into the oil and gas industry. NTIC also markets and sells a portfolio of biobased and compostable (fully biodegradable) polymer resins and finished products under the Natur-Tec® brand. These products are intended to reduce NTIC’s customers’ carbon footprint and provide environmentally sound waste disposal options.</w:t>
      </w:r>
    </w:p>
    <w:p>
      <w:pPr>
        <w:spacing w:after="0" w:line="2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and coatings, rust removers and cleaners, diffusers and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technical requirements. In North America, NTIC sells its ZERUST® corrosion prevention solutions through a direct sales force as well as a network of independent distributors and agents. Internationally, NTIC sells its ZERUST® corrosion prevention solutions through its majority owned subsidiary in Brazil, Zerust Prevenção de Corrosão S.A. (Zerust Brazil), its newly formed wholly owned subsidiary in China, NTIC (Shanghai) Co., Ltd. (NTIC China), its majority owned joint venture holding company for NTIC’s joint venture investments in the Association of Southeast Asian Nations (ASEAN) region, and joint venture arrangements in North America, Europe and Asia.</w:t>
      </w:r>
    </w:p>
    <w:p>
      <w:pPr>
        <w:spacing w:after="0" w:line="2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solutions. Consequently, for the past several years, NTIC has focused its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corrosion leaks.</w:t>
      </w:r>
    </w:p>
    <w:p>
      <w:pPr>
        <w:spacing w:after="0" w:line="21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 markets and sells its ZERUST® rust and corrosion prevention solutions to customers in the oil and gas industry across several countries either directly, through Zerust Brazil or through NTIC’s joint venture partners and other strategic partners. The sale of ZERUST® corrosion prevention solutions to customers in the oil and gas industry typically involves a long sales cycle, often including a one- to multi-year trial period with each customer and a slow integration process thereafter.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Natur-Tec® biobased and compostable plastics are manufactured using NTIC’s patented and/or proprietary technologies and are intended to replace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conventional petroleum-based plastics. The Natur-Tec® biopolymer resin compound portfolio include formulations that have been optimized for a variety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including blown-film extrusion, extrusion coating, injection molding, and engineered plastics. These resins are fully biodegradable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composting environment and are currently being used to produce finished products including shopping and grocery bags, lawn and leaf bags, can liners, pet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collection bags, cutlery, packaging foam and coated paper products. In North America, NTIC markets its Natur-Tec® resins and finished products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through a network of regional and national distributors as well as independent agents. NTIC continues to see significant opportunities for finished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bioplastic products and, therefore, continues to strengthen and expand its North American distribution network for finished Natur-Tec® bioplastic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Internationally, NTIC sells its Natur-Tec® resins and finished products both directly and through its recently formed majority owned subsidiary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 Natur-Tec India Private Limited (Natur-Tec India), and certain joint ventures. In November 2014, NTIC entered into an agreement with NatureWorks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LLC for joint marketing and sales of Ingeo® based packaging solutions to customers in India. With recent Indian government mandates banning use of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biodegradable plastics in certain types of food and consumer packaging, NTIC expects the market in India for bioplastic packaging solutions to grow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w:t>
      </w:r>
    </w:p>
    <w:p>
      <w:pPr>
        <w:spacing w:after="0" w:line="3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66"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Recent Development</w:t>
      </w:r>
    </w:p>
    <w:p>
      <w:pPr>
        <w:spacing w:after="0" w:line="25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January 2, 2015, NTIC announced that, effective as of December 31, 2014, it is selling its ZERUST® products and services in China through a newly formed wholly owned subsidiary, NTIC (Shanghai) Co., Ltd. (NTIC China), and has terminated its joint venture agreements with Tianjin-Zerust Anticorrosion Co., Ltd. (Tianjin Zerust). NTIC and NTI Asean have filed a lawsuit against Mr. Tao Meng, a Chinese national and the former joint venture entity’s other shareholder, and his spouse in the Chinese court of Tianjin, seeking, among other things, an orderly liquidation of Tianjin Zerust.</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NTIC indirectly had a 30% ownership interest in Tianjin Zerust through its 60% owned holding company subsidiary, NTI Asean LLC. Commencing during the second quarter of fiscal 2015, NTIC’s consolidated financial statements include the financial results of NTIC China. NTIC anticipates that NTIC’s net sales, costs of goods sold and operating expenses will increase and its equity in income from joint ventures and fee income for services provided to its joint ventures will decrease in future periods compared to the prior fiscal year periods as NTIC started recognizing Tianjin Zerust based on its carrying value instead of the equity method and will continue to do so until Tianjin Zerust is fully liquidated. As of February 28, 2015, Tianjin Zerust has been evaluated for impairment and no losses have been recorded.</w:t>
      </w:r>
    </w:p>
    <w:p>
      <w:pPr>
        <w:spacing w:after="0" w:line="2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 anticipates that it may take several quarters to transition the previous customers of Tianjin Zerust to NTIC China and no assurance can be provided that NTIC China will be able to achieve the net sales and income levels previously achieved by Tianjin Zerust. For the fiscal year ended August 31, 2014, Tianjin Zerust had net sales of $15.9 million and net income of $1.3 million. The operating income of the joint venture before paying royalties in an aggregate amount of $4.2 million to all shareholders was over $5.5 million; NTIC’s 30% portion of that operating income was $1.6 million.</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six months ended February 28, 2015, NTIC incurred approximately $883,000 in start-up expenses related either directly or indirectly to the establishment of NTIC China, the termination of the joint venture agreements with Tianjin Zerust, the pending litigation against Mr. Tao Meng and his spouse, and the anticipated liquidation of Tianjin Zerust. These expenses are recorded as selling, general and administrative expenses and expenses incurred in support of joint ventures on the consolidated statements of operations.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NTIC expects that its operating results may be volatile over the next few quarters, including the remaining quarters of fiscal 2015. In addition, NTIC does not anticipate incurring any impairment on its investment in the Tianjin Zerust, collectability of receivables from sales of product or fees for services from the joint venture or any material issue in recoverability of inventory.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NTIC’s Joint Venture Network</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NTIC participates in 19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9" w:name="page20"/>
    <w:bookmarkEnd w:id="19"/>
    <w:p>
      <w:pPr>
        <w:ind w:right="40"/>
        <w:spacing w:after="0" w:line="254" w:lineRule="auto"/>
        <w:rPr>
          <w:sz w:val="20"/>
          <w:szCs w:val="20"/>
          <w:color w:val="auto"/>
        </w:rPr>
      </w:pPr>
      <w:r>
        <w:rPr>
          <w:rFonts w:ascii="Times New Roman" w:cs="Times New Roman" w:eastAsia="Times New Roman" w:hAnsi="Times New Roman"/>
          <w:sz w:val="18"/>
          <w:szCs w:val="18"/>
          <w:color w:val="auto"/>
        </w:rPr>
        <w:t>NTIC’s receipt of funds from its joint ventures is dependent upon fees for services that NTIC provides to its joint ventures, based primarily on the net sales of the individual joint ventures, and NTIC’s receipt of dividend distributions from the joint ventures. The fees for services provided to joint ventures are determined based on either a flat fee or a percentage of sales depending on local laws and tax regulations. With respect to NTIC’s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directly or indirectly owns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accounts for the investments and financial results of its joint ventures in its financial statements utilizing the equity method of accounting.</w:t>
      </w:r>
    </w:p>
    <w:p>
      <w:pPr>
        <w:spacing w:after="0" w:line="25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results of Zerust Brazil, NTI Asean and Natur-Tec India, and as of December 31, 2014, NTI China, are fully consolidated in NTIC’s consolidated financial statements. NTIC holds 85% of the equity and 85% of the voting rights of Zerust Brazil. NTIC holds 60% of the equity and 60% of the voting rights of NTI Asean. NTI Asean holds investments in eight entities that operate in the following eight territories located in the ASEAN region: China (although liquidation was initiated December 31, 2014), Indonesia, Korea, Malaysia, Philippines, Singapore, Taiwan and Thailand. NTIC holds 90% of the equity and 90% of the voting rights of Natur-Tec India. NTI China is a wholly owned subsidiary of NTIC.</w:t>
      </w:r>
    </w:p>
    <w:p>
      <w:pPr>
        <w:spacing w:after="0" w:line="21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NTIC considers EXCOR and its former joint venture in China to be individually significant to NTIC’s consolidated assets and income; and therefore, provides certain additional information regarding EXCOR and its former joint venture in China in the notes to NTIC’s consolidated financial statements and in this section of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8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NTIC’s consolidated net sales increased 8.2% and 11.3% during the three and six months ended February 28, 2015, respectively, compared to the three and six months ended February 28, 2014. These increases were primarily a result of increased demand for ZERUST® rust and corrosion inhibiting packaging products and services and Natur-Tec® products. During the three and six months ended February 28, 2015, 86.0% and 86.2% of NTIC’s consolidated net sales, respectively, were derived from sales of ZERUST® products and services, which increased 4.1% and 6.4% to $5,783,985 and $12,022,056 during the three and six months ended February 28, 2015, respectively, compared to $5,555,051 and $11,304,064 during the three and six months ended February 28, 2014, respectively, due to increased demand from both new and existing customers for new and existing products.</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has focused its sales efforts of ZERUST® products and services by strategically targeting customers with specific corrosion issues in new market areas, including the oil and gas industry and other industrial sectors that offer sizable growth opportunities. NTIC’s consolidated net sales for the six months ended February 28, 2015 included $878,582 of sales made to customers in the oil and gas industry compared to $792,720 for the six months ended February 28, 2014. Overall demand for ZERUST® products and services depends heavily on the overall health of the markets in which NTIC sells its products, including the automotive market in particular.</w:t>
      </w:r>
    </w:p>
    <w:p>
      <w:pPr>
        <w:spacing w:after="0" w:line="211"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During the three and six months ended February 28, 2015, 14.0% and 13.8%, of NTIC’s consolidated net sales were derived from sales of Natur-Tec® products compared to 10.7% and 9.8% during the three and six months ended February 28, 2014, respectively. Net sales of Natur-Tec® products increased 42.3% and 56.9% during the three and six months ended February 28, 2015 compared to the three and six months ended February 28, 2014,</w:t>
      </w:r>
    </w:p>
    <w:p>
      <w:pPr>
        <w:spacing w:after="0" w:line="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respectively. These increases were primarily due to finished product sales in North America and finished product sales at NTIC’s majority owned subsidiary, NTI India, which subsidiary did not exist during the same periods in fiscal 2014.</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20" w:name="page21"/>
    <w:bookmarkEnd w:id="20"/>
    <w:p>
      <w:pPr>
        <w:ind w:right="40"/>
        <w:spacing w:after="0" w:line="261" w:lineRule="auto"/>
        <w:rPr>
          <w:sz w:val="20"/>
          <w:szCs w:val="20"/>
          <w:color w:val="auto"/>
        </w:rPr>
      </w:pPr>
      <w:r>
        <w:rPr>
          <w:rFonts w:ascii="Times New Roman" w:cs="Times New Roman" w:eastAsia="Times New Roman" w:hAnsi="Times New Roman"/>
          <w:sz w:val="18"/>
          <w:szCs w:val="18"/>
          <w:color w:val="auto"/>
        </w:rPr>
        <w:t>Cost of goods sold as a percentage of net sales increased to 69.2% during the three months ended February 28, 2015 compared to 65.2% during the three months ended February 28, 2014 and increased to 67.9% during the six months ended February 28, 2015 compared to 65.5% during the prior fiscal year period. These increases were primarily as a result of increased sales during the current fiscal year periods of Natur-Tec® products which carry lower margins than ZERUST® products.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NTIC’s equity in income of joint ventures increased 5.7% and 9.1% to $1,474,649 and $3,081,332, respectively, during the three and six months ended February 28, 2015 compared to $1,395,451 and $2,823,199 during the three and six months ended February 28, 2014, which increases were primarily a result of increases in profitability at the joint ventures, partially offset by decreases associated with the anticipated liquidation of Tianjin Zerust and adverse effects of foreign currency exchange rate fluctuations, including in particular the Euro compared to the U.S. dollar.</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NTIC recognized a 51.7% and 24.9% decrease in fees for services provided to joint ventures during the three and six months ended February 28, 2015 compared to the three and six months ended February 28, 2014, respectively. These decreases were primarily a result of the anticipated liquidation of Tianjin Zerust. Fees for services provided to Tianjin Zerust decreased $596,000 to $516,000 for the six months ended February 28, 2015 compared to $1,112,000 for the six months ended February 28, 2014. Additionally, there was a decrease in sales at the joint ventures, which were $23,057,386 and $52,178,238 during the three and six months ended February 28, 2015, respectively, compared to $28,389,158 and $58,050,376 for the three and six months ended February 28, 2014, respectively. These decreases resulted in corresponding decreases in fees for services provided to joint ventures as such fees are a function of net sales of NTIC’s joint ventures. Net sales of NTIC’s joint ventures decreased also as a result of a significant weakening of the Euro compared to the U.S. dollar and, to a lesser extent, the sale of NTIC’s ownership interest in Mütec GmbH.</w:t>
      </w:r>
    </w:p>
    <w:p>
      <w:pPr>
        <w:spacing w:after="0" w:line="18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NTIC’s total operating expenses increased 9.5%, or $771,635, to $8,912,864 during the six months ended February 28, 2015 compared to the six months ended February 28, 2014. This increase was primarily the result of $883,000 in expenses related to the formation and establishment of NTIC China and the anticipated liquidation of Tianjin Zerust. Such expenses consisted primarily of legal and personnel expenses associated with the establishment of the subsidiary, the hiring of new personnel and initial operations.</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NTIC expenses all costs related to product research and development as incurred. NTIC incurred $1,904,169 and $2,237,865 of expense during the six months ended February 28, 2015 and 2014, respectively, in connection with its research and development activities. These represent net amounts after being reduced by reimbursements related to certain research and development contracts. Such reimbursements totaled $0 and $45,788 for the six months ended February 28, 2015 and 2014, respectively. NTIC anticipates that it will spend between $4,000,000 and $4,200,000 in total during fiscal 2015 on research and development activities related to its new technologies. This estimate is a net range after being reduced by anticipated reimbursements related to certain research and development contracts.</w:t>
      </w: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Net loss attributable to NTIC was $(128,644), or $(0.03) per diluted common share, for the three months ended February 28, 2015 compared to net income attributable to NTIC of $1,025,044, or $0.22 per diluted common share, for the three months ended February 28, 2014. Net income attributable to NTIC decreased 53.3%, to $879,621, or $0.19 per diluted common share, for the six months ended February 28, 2015 compared to $1,883,630, or $0.41 per diluted common share, for the six months ended February 28, 2014. These decreases were primarily the result of decreases in income from NTIC’s joint venture operations as a result of the anticipated liquidation of Tianjin Zerust and the establishment of NTIC China.</w:t>
      </w:r>
    </w:p>
    <w:p>
      <w:pPr>
        <w:spacing w:after="0" w:line="21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NTIC anticipates that its quarterly net income will continue to remain subject to significant volatility primarily due to the financial performance of its subsidiaries and joint ventures and sales of its ZERUST® products and services into the oil and gas industry and Natur-Tec® bioplastics products, which sales fluctuate more on a quarterly basis than the traditional ZERUST® business. NTIC also anticipates that its operating results for future quarters in fiscal 2015 will be particularly volatile as a result of the changes in the Chinese operations.</w:t>
      </w: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21" w:name="page22"/>
    <w:bookmarkEnd w:id="21"/>
    <w:p>
      <w:pPr>
        <w:ind w:right="300"/>
        <w:spacing w:after="0" w:line="313" w:lineRule="auto"/>
        <w:rPr>
          <w:sz w:val="20"/>
          <w:szCs w:val="20"/>
          <w:color w:val="auto"/>
        </w:rPr>
      </w:pPr>
      <w:r>
        <w:rPr>
          <w:rFonts w:ascii="Times New Roman" w:cs="Times New Roman" w:eastAsia="Times New Roman" w:hAnsi="Times New Roman"/>
          <w:sz w:val="17"/>
          <w:szCs w:val="17"/>
          <w:color w:val="auto"/>
        </w:rPr>
        <w:t>NTIC’s working capital was $17,839,603 at February 28, 2015, including $3,365,389 in cash and cash equivalents and $3,524,985 in available for sale securities, compared to $17,853,311 at August 31, 2014, including $2,477,017 in cash and cash equivalents and $5,519,766 in available for sale securities.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NTIC’s results of operations for the three and six months ended February 28, 2015 and 2014.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87"/>
        </w:trPr>
        <w:tc>
          <w:tcPr>
            <w:tcW w:w="4580" w:type="dxa"/>
            <w:vAlign w:val="bottom"/>
          </w:tcPr>
          <w:p>
            <w:pPr>
              <w:spacing w:after="0"/>
              <w:rPr>
                <w:sz w:val="16"/>
                <w:szCs w:val="16"/>
                <w:color w:val="auto"/>
              </w:rPr>
            </w:pPr>
          </w:p>
        </w:tc>
        <w:tc>
          <w:tcPr>
            <w:tcW w:w="10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w:t>
            </w:r>
          </w:p>
        </w:tc>
        <w:tc>
          <w:tcPr>
            <w:tcW w:w="100" w:type="dxa"/>
            <w:vAlign w:val="bottom"/>
          </w:tcPr>
          <w:p>
            <w:pPr>
              <w:spacing w:after="0"/>
              <w:rPr>
                <w:sz w:val="16"/>
                <w:szCs w:val="16"/>
                <w:color w:val="auto"/>
              </w:rPr>
            </w:pPr>
          </w:p>
        </w:tc>
        <w:tc>
          <w:tcPr>
            <w:tcW w:w="108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w:t>
            </w:r>
          </w:p>
        </w:tc>
        <w:tc>
          <w:tcPr>
            <w:tcW w:w="100" w:type="dxa"/>
            <w:vAlign w:val="bottom"/>
          </w:tcPr>
          <w:p>
            <w:pPr>
              <w:spacing w:after="0"/>
              <w:rPr>
                <w:sz w:val="16"/>
                <w:szCs w:val="16"/>
                <w:color w:val="auto"/>
              </w:rPr>
            </w:pPr>
          </w:p>
        </w:tc>
        <w:tc>
          <w:tcPr>
            <w:tcW w:w="108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4580" w:type="dxa"/>
            <w:vAlign w:val="bottom"/>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28, 2015</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28, 2014</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$ 5,995,543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$ 5,527,366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468,177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733,166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691,642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41,524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4,657,740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4,051,833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605,907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of joint ventures</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1,474,649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1,395,451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79,198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994,860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2,057,671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(1,062,811)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1,339,441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1,291,316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48,125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1,552,861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1,209,933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342,928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Expenses incurred in support of joint ventures</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656,127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366,469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289,658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854,256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1,099,345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(245,089)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87"/>
        </w:trPr>
        <w:tc>
          <w:tcPr>
            <w:tcW w:w="4560" w:type="dxa"/>
            <w:vAlign w:val="bottom"/>
          </w:tcPr>
          <w:p>
            <w:pPr>
              <w:spacing w:after="0"/>
              <w:rPr>
                <w:sz w:val="16"/>
                <w:szCs w:val="16"/>
                <w:color w:val="auto"/>
              </w:rPr>
            </w:pPr>
          </w:p>
        </w:tc>
        <w:tc>
          <w:tcPr>
            <w:tcW w:w="102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w:t>
            </w:r>
          </w:p>
        </w:tc>
        <w:tc>
          <w:tcPr>
            <w:tcW w:w="120" w:type="dxa"/>
            <w:vAlign w:val="bottom"/>
          </w:tcPr>
          <w:p>
            <w:pPr>
              <w:spacing w:after="0"/>
              <w:rPr>
                <w:sz w:val="16"/>
                <w:szCs w:val="16"/>
                <w:color w:val="auto"/>
              </w:rPr>
            </w:pPr>
          </w:p>
        </w:tc>
        <w:tc>
          <w:tcPr>
            <w:tcW w:w="106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4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February</w:t>
            </w:r>
          </w:p>
        </w:tc>
        <w:tc>
          <w:tcPr>
            <w:tcW w:w="100" w:type="dxa"/>
            <w:vAlign w:val="bottom"/>
          </w:tcPr>
          <w:p>
            <w:pPr>
              <w:spacing w:after="0"/>
              <w:rPr>
                <w:sz w:val="16"/>
                <w:szCs w:val="16"/>
                <w:color w:val="auto"/>
              </w:rPr>
            </w:pPr>
          </w:p>
        </w:tc>
        <w:tc>
          <w:tcPr>
            <w:tcW w:w="108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120" w:type="dxa"/>
            <w:vAlign w:val="bottom"/>
            <w:gridSpan w:val="2"/>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4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4560" w:type="dxa"/>
            <w:vAlign w:val="bottom"/>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28, 2015</w:t>
            </w:r>
          </w:p>
        </w:tc>
        <w:tc>
          <w:tcPr>
            <w:tcW w:w="120" w:type="dxa"/>
            <w:vAlign w:val="bottom"/>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28, 2014</w:t>
            </w:r>
          </w:p>
        </w:tc>
        <w:tc>
          <w:tcPr>
            <w:tcW w:w="100" w:type="dxa"/>
            <w:vAlign w:val="bottom"/>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$12,476,534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$ 11,132,384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$ 1,344,150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1,466,270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1,395,724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70,546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9,464,351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8,209,864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1,254,487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of joint ventures</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3,081,332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2,823,199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258,133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3,128,530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4,167,319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(1,038,789)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2,734,328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2,610,202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124,126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3,091,123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2,597,429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1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493,694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Expenses incurred in support of joint ventures</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1,183,244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695,733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487,511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1,904,169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2,237,865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(333,696)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spacing w:after="0" w:line="223"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NTIC’s consolidated net sales increased 8.2% and 11.3% to $6,728,709 and $13,942,804, respectively, during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28, 2015 compared to the three and six months ended February 28, 2014. NTIC’s consolidated net sales excluding NTIC’s joint ventures increased 8.5% and 12.1% to $5,995,543 and $12,476,534, respectively, during the three and six months ended February 28, 2015 compared to the same respective prior fiscal year periods. These increases were primarily a result of increased demand and sales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rust and corrosion inhibiting packaging products and services and Natur-Tec® products. Net sales to joint ventures increased 6.0% and 5.1% to $733,166 and $1,466,270 during the three and six months ended February 28, 2015, respectively, compared to the same respective prior fiscal year periods.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category for the three and six months ended February 28, 2015 and 2014 by segment: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40" w:type="dxa"/>
            <w:vAlign w:val="bottom"/>
            <w:tcBorders>
              <w:bottom w:val="single" w:sz="8" w:color="auto"/>
            </w:tcBorders>
          </w:tcPr>
          <w:p>
            <w:pPr>
              <w:spacing w:after="0"/>
              <w:rPr>
                <w:sz w:val="20"/>
                <w:szCs w:val="20"/>
                <w:color w:val="auto"/>
              </w:rPr>
            </w:pPr>
          </w:p>
        </w:tc>
      </w:tr>
      <w:tr>
        <w:trPr>
          <w:trHeight w:val="223"/>
        </w:trPr>
        <w:tc>
          <w:tcPr>
            <w:tcW w:w="2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 28, 2015</w:t>
            </w:r>
          </w:p>
        </w:tc>
        <w:tc>
          <w:tcPr>
            <w:tcW w:w="140" w:type="dxa"/>
            <w:vAlign w:val="bottom"/>
          </w:tcPr>
          <w:p>
            <w:pPr>
              <w:spacing w:after="0"/>
              <w:rPr>
                <w:sz w:val="19"/>
                <w:szCs w:val="19"/>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28, 2014</w:t>
            </w:r>
          </w:p>
        </w:tc>
        <w:tc>
          <w:tcPr>
            <w:tcW w:w="120" w:type="dxa"/>
            <w:vAlign w:val="bottom"/>
          </w:tcPr>
          <w:p>
            <w:pPr>
              <w:spacing w:after="0"/>
              <w:rPr>
                <w:sz w:val="19"/>
                <w:szCs w:val="19"/>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28, 2015</w:t>
            </w:r>
          </w:p>
        </w:tc>
        <w:tc>
          <w:tcPr>
            <w:tcW w:w="100" w:type="dxa"/>
            <w:vAlign w:val="bottom"/>
          </w:tcPr>
          <w:p>
            <w:pPr>
              <w:spacing w:after="0"/>
              <w:rPr>
                <w:sz w:val="19"/>
                <w:szCs w:val="19"/>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28, 2014</w:t>
            </w:r>
          </w:p>
        </w:tc>
      </w:tr>
      <w:tr>
        <w:trPr>
          <w:trHeight w:val="21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sales</w:t>
            </w:r>
          </w:p>
        </w:tc>
        <w:tc>
          <w:tcPr>
            <w:tcW w:w="21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5,783,985</w:t>
            </w:r>
          </w:p>
        </w:tc>
        <w:tc>
          <w:tcPr>
            <w:tcW w:w="86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5,555,051</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12,022,056</w:t>
            </w:r>
          </w:p>
        </w:tc>
        <w:tc>
          <w:tcPr>
            <w:tcW w:w="74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11,304,064</w:t>
            </w:r>
          </w:p>
        </w:tc>
      </w:tr>
      <w:tr>
        <w:trPr>
          <w:trHeight w:val="23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Natur-Tec® sales</w:t>
            </w:r>
          </w:p>
        </w:tc>
        <w:tc>
          <w:tcPr>
            <w:tcW w:w="17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944,724</w:t>
            </w: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663,957</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1,920,748</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1,224,044</w:t>
            </w:r>
          </w:p>
        </w:tc>
      </w:tr>
      <w:tr>
        <w:trPr>
          <w:trHeight w:val="21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1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6,728,709</w:t>
            </w:r>
          </w:p>
        </w:tc>
        <w:tc>
          <w:tcPr>
            <w:tcW w:w="86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6,219,008</w:t>
            </w: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13,942,804</w:t>
            </w:r>
          </w:p>
        </w:tc>
        <w:tc>
          <w:tcPr>
            <w:tcW w:w="74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12,528,108</w:t>
            </w:r>
          </w:p>
        </w:tc>
      </w:tr>
      <w:tr>
        <w:trPr>
          <w:trHeight w:val="608"/>
        </w:trPr>
        <w:tc>
          <w:tcPr>
            <w:tcW w:w="2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5"/>
        </w:trPr>
        <w:tc>
          <w:tcPr>
            <w:tcW w:w="29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61"/>
        </w:trPr>
        <w:tc>
          <w:tcPr>
            <w:tcW w:w="298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22" w:name="page23"/>
    <w:bookmarkEnd w:id="22"/>
    <w:p>
      <w:pPr>
        <w:ind w:right="80"/>
        <w:spacing w:after="0" w:line="236" w:lineRule="auto"/>
        <w:rPr>
          <w:sz w:val="20"/>
          <w:szCs w:val="20"/>
          <w:color w:val="auto"/>
        </w:rPr>
      </w:pPr>
      <w:r>
        <w:rPr>
          <w:rFonts w:ascii="Times New Roman" w:cs="Times New Roman" w:eastAsia="Times New Roman" w:hAnsi="Times New Roman"/>
          <w:sz w:val="18"/>
          <w:szCs w:val="18"/>
          <w:color w:val="auto"/>
        </w:rPr>
        <w:t>During the three and six months ended February 28, 2015, 86.0% and 86.2% of NTIC’s consolidated net sales, respectively, were derived from sales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and services, which increased 4.1% and 6.4% to $5,783,985 and $12,022,056 during the three and six months ended February 28, 2015, respectively, compared to $5,555,051 and $11,304,064 during the three and six months ended February 28, 2014, respectively, due to increased demand from existing customers and the addition of new customers. NTIC has strategically focused its sales efforts for ZERUST® products and services on customers with sizeable corrosion problems in industry sectors that offer sizable growth opportunities, including the oil and gas sector.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for the three and six months ended February 28, 2015 and 2014: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71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gridSpan w:val="2"/>
          </w:tcPr>
          <w:p>
            <w:pPr>
              <w:jc w:val="right"/>
              <w:ind w:right="77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4,674,429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4,463,169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211,260</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ZERUST® joint venture net sales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733,166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689,772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43,394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20" w:type="dxa"/>
            <w:vAlign w:val="bottom"/>
          </w:tcPr>
          <w:p>
            <w:pPr>
              <w:spacing w:after="0"/>
              <w:rPr>
                <w:sz w:val="19"/>
                <w:szCs w:val="19"/>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376,390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402,110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(25,720)</w:t>
            </w:r>
          </w:p>
        </w:tc>
        <w:tc>
          <w:tcPr>
            <w:tcW w:w="1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8"/>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ZERUST® 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5,783,985</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5,555,051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228,934</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February 28,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71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71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9,677,204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9,120,008</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557,196</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ZERUST® joint venture net sales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1,466,270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1,391,336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74,934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1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878,582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792,720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85,862</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8"/>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Total ZERUST® net sales</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12,022,056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11,304,064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717,992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0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NTIC anticipates that its sales of ZERUST® products and services into the oil and gas industry will continue to remain subject to significant volatility from quarter to quarter as sales are recognized.</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February 28, 2015, 14.0% and 13.8% of NTIC’s consolidated net sales, respectively, were derived from sales of Natur-Tec® products, which increased 42.3% and 56.9% to $944,724 and $1,920,748 during the three and six months ended February 28, 2015, respectively, compared to the three and six months ended February 28, 2014. This increase was split between an increase in finished product sales in North America and finished product sales through Natur-Tec India, which subsidiary did not exist during the same periods in fiscal 2014. Demand for Natur-Tec® products around the world depends primarily on market acceptance and the reach of NTIC’s distribution network. Because of the typical size of individual orders and overall size of NTIC’s net sales derived from sales of Natur-Tec® products, the timing of one or more orders can materially affect NTIC’s quarterly sales of Natur-Tec® products and the comparisons to prior fiscal year quarters.</w:t>
      </w:r>
    </w:p>
    <w:p>
      <w:pPr>
        <w:spacing w:after="0" w:line="21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Assuming NTIC is able to transition the previous customers of Tianjin Zerust to NTIC China, of which there can be no assurance, NTIC expects its net sales to increase in future periods compared to prior fiscal year periods as a result of the consolidation of NTIC China beginning in the second quarter of fiscal 2015.</w:t>
      </w:r>
    </w:p>
    <w:p>
      <w:pPr>
        <w:spacing w:after="0" w:line="20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increased 15.0% and 15.3% for the three and six months ended February 28, 2015, respectively,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six months ended February 28, 2014 primarily as a result of increased net sales as described above. Cost of goods sold as a percentage of net sales increased to 69.2% during the three months ended February 28, 2015 compared to 65.2% the three months ended February 28, 2014 and increased to 67.9% during the six months ended February 28, 2015 compared to 65.5% during the six months ended February 28, 2014. These increases were primarily the result of increased sales during the current fiscal year periods of Natur-Tec® products which carry lower margins than other traditional ZERUST® products. NTIC anticipates that due to the change in China operations, NTIC’s costs of goods sold will increase in future periods compared to the prior fiscal year periods.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 w:name="page24"/>
    <w:bookmarkEnd w:id="23"/>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Equity in Income of Joint Ventures. </w:t>
      </w:r>
      <w:r>
        <w:rPr>
          <w:rFonts w:ascii="Times New Roman" w:cs="Times New Roman" w:eastAsia="Times New Roman" w:hAnsi="Times New Roman"/>
          <w:sz w:val="18"/>
          <w:szCs w:val="18"/>
          <w:color w:val="auto"/>
        </w:rPr>
        <w:t>NTIC’s equity in income of joint ventures increased 5.7% and 9.1% to $1,474,649 and $3,081,332 during the three and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February 28, 2015, respectively, compared to equity in income of joint ventures of $1,395,451 and $2,823,199 during the three and six months ended February 28, 2014, respectively, primarily a result of increases in profitability at the joint ventures, partially offset by the decrease in profitability associated with the anticipated liquidation of Tianjin Zerust and adverse effects of foreign currency exchange rate fluctuations, including in particular the Euro compared to the U.S. dollar. Of the total equity in income of joint ventures, NTIC had equity in income of joint ventures of $1,962,047 attributable to EXCOR during the six months ended February 28, 2015 compared to $1,881,705 attributable to EXCOR during the six months ended February 28, 2014. Of the total equity in income of joint ventures, NTIC had equity in income of $132,824 attributable to Tianjin Zerust during the six months ended February 28, 2015 compared to $276,948 attributable to Tianjin Zerust during the six months ended February 28, 2014. NTIC had equity in income of all other joint ventures of $986,460 during the six months ended February 28, 2015 compared to $664,546 during the six months ended February 28, 2014. NTIC expects its equity in income of joint ventures to be lower in future periods compared to prior fiscal year periods as a result of the anticipated liquidation of Tianjin Zerust.</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Fees for Services Provided to Joint Ventures. </w:t>
      </w:r>
      <w:r>
        <w:rPr>
          <w:rFonts w:ascii="Times New Roman" w:cs="Times New Roman" w:eastAsia="Times New Roman" w:hAnsi="Times New Roman"/>
          <w:sz w:val="18"/>
          <w:szCs w:val="18"/>
          <w:color w:val="auto"/>
        </w:rPr>
        <w:t>NTIC recognized fee income for services provided to joint ventures of $994,860 and $3,128,530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six months ended February 28, 2015, respectively, compared to $2,057,671 and $4,167,319 during the three and six months ended February 28, 2014, respectively, representing a decrease of 51.7% and 24.9%, respectively. These decreases were primarily a result of the anticipated liquidation Tianjin Zerust as fees for services provided to joint ventures from Tianjin Zerust decreased $596,000 to $516,000 for the six months ended February 28, 2015 compared to $1,112,000 for the six months ended February 28, 2014. Additionally, in total, there was a decrease in total sales at all joint ventures as fees for services provided to joint ventures are a function of the net sales of NTIC’s joint ventures, which were $23,057,386 and $52,178,238 during the three and six months ended February 28, 2015 compared to $28,389,158 and $58,050,376 for the three and six months ended February 28, 2014. Net sales of NTIC’s joint ventures also decreased due to a significant weakening of the Euro compared to the U.S. dollar and, to a lesser extent, the sale of NTIC’s ownership interest in Mütec GmbH. Sales of NTIC’s joint ventures are not included in NTIC’s product sales and are not combined with NTIC’s sales in NTIC’s consolidated financial statements or in any description of NTIC’s sales.</w:t>
      </w:r>
    </w:p>
    <w:p>
      <w:pPr>
        <w:spacing w:after="0" w:line="21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Of the total fee income for services provided to joint ventures, fees of $440,954 were attributable to EXCOR during the six months ended February 28, 2015 compared to $527,111 attributable to EXCOR during the six months ended February 28, 2014. Fees of $516,139 were attributable to Tianjin Zerust during the six months ended February 28, 2015 compared to $1,111,633 during the six months ended February 28, 2014. The decrease in fee income for services provided to joint ventures attributable to Tianjin Zerust was primarily the result of decreased sales during the most recent period. The decrease in fee income for services provided to joint ventures attributable to EXCOR was primarily the result of foreign currency exchange rate fluctuations. NTIC anticipates that due to the consolidation of NTIC China, NTIC’s fee income for services provided to its joint ventures will decrease in future periods compared to the prior fiscal year periods.</w:t>
      </w:r>
    </w:p>
    <w:p>
      <w:pPr>
        <w:spacing w:after="0" w:line="21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increased 3.7% and 4.8% for the three and six months ended February 28, 2015 compared to the same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in fiscal 2014 due to increases in compensation and employee benefits, lab testing related expenses, commission expenses, travel and related expenses, and consulting expenses. Selling expenses as a percentage of net sales decreased slightly to 19.9% and 19.6% for the three and six months ended February 28, 2015, respectively, from 20.8% and 20.8% and during the three and six months ended February 28, 2014, respectively, due primarily to the increase in net sales as well as certain personnel expenses, partially offset by the increase in selling expenses as previously described.</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increased 28.3% and 19.0% for the three and six months ended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2015 compared to the same respective periods in fiscal 2014 due primarily to expenses incurred to establish NTIC China. As a percentage of net sales, general and administrative expenses increased to 23.1% and 22.2% for the three and six months ended February 28, 2015, respectively, from 19.5% and</w:t>
      </w:r>
    </w:p>
    <w:p>
      <w:pPr>
        <w:spacing w:after="0" w:line="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20.7% for the three and six months ended February 28, 2014, respectively, due primarily to the increase in net sales as well as certain fixed costs, partially offset by the increase in general and administrative expenses as noted above.</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68" w:right="259" w:bottom="1440" w:gutter="0" w:footer="0" w:header="0"/>
        </w:sectPr>
      </w:pPr>
    </w:p>
    <w:bookmarkStart w:id="24" w:name="page25"/>
    <w:bookmarkEnd w:id="24"/>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Expenses Incurred in Support of Joint Ventures. </w:t>
      </w:r>
      <w:r>
        <w:rPr>
          <w:rFonts w:ascii="Times New Roman" w:cs="Times New Roman" w:eastAsia="Times New Roman" w:hAnsi="Times New Roman"/>
          <w:sz w:val="18"/>
          <w:szCs w:val="18"/>
          <w:color w:val="auto"/>
        </w:rPr>
        <w:t>Expenses incurred in support of NTIC’s joint ventures were $656,127 and $1,183,244 during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February 28, 2015, respectively, compared to $366,469 and $695,733 during the three and six months ended February 28, 2014, respectively, representing an increase of 79.0% and 70.1%, respectively. These increases were due primarily to expenses related to the change in Chinese operations. NTIC incurred direct expenses during the six months ended February 28, 2015 related to the anticipated liquidation of Tianjin Zerust and the formation of NTIC China. Such expenses consisted primarily of legal expenses and personnel expenses associated with the establishment of the subsidiary, the hiring of new personnel and initial operations.</w:t>
      </w:r>
    </w:p>
    <w:p>
      <w:pPr>
        <w:spacing w:after="0" w:line="21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decreased 22.3% for the three months ended February 28, 2015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same period in fiscal 2014 and decreased 14.9% for the six months ended February 28, 2015 compared to the same period in fiscal 2014. These decreases were due primarily to decreases in personnel and consulting expenses.</w:t>
      </w:r>
    </w:p>
    <w:p>
      <w:pPr>
        <w:spacing w:after="0" w:line="201"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decreased to $2,434 during the three months ended February 28, 2015, and increased to $17,561 during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February 28, 2015, compared to $2,570 and $4,359 during the three and six months ended February 28, 2014, respectively.</w:t>
      </w:r>
    </w:p>
    <w:p>
      <w:pPr>
        <w:spacing w:after="0" w:line="185"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decreased to $3,223 during the three months ended February 28, 2015 compared to $11,976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February 28, 2014 and decreased to $8,228 during the six months ended February 28, 2015 compared to $25,646 during the six months ended February 28, 2014. These decreases were primarily due to higher average outstanding debt levels during the prior fiscal year periods.</w:t>
      </w:r>
    </w:p>
    <w:p>
      <w:pPr>
        <w:spacing w:after="0" w:line="20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Income before income tax expense decreased to $139,149 and $1,786,929 for the three and six months ended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2015, respectively, compared to $1,643,828 and $3,146,246 for the three and six months ended February 28, 2014,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$197,614 and $381,298 during the three and six months ended February 28, 2015, respectively, compared</w:t>
      </w:r>
    </w:p>
    <w:p>
      <w:pPr>
        <w:spacing w:after="0" w:line="2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$259,759 and $457,759 during the three and six months ended February 28, 2014, respectively. Income tax expense was calculated based on management’s estimate of NTIC’s annual effective income tax rate. NTIC’s annual effective income tax rate during the three and six months ended February 28, 2015 and 2014 was lower than the statutory rate primarily due to NTIC’s equity in income of joint ventures being recognized based on after-tax earnings of these entities. To the extent undistributed earnings of NTIC’s joint ventures are distributed to NTIC, any material additional income tax liability after the application of foreign tax credits is not expected.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In addition, NTIC determined based upon all available evidence, including new IRS guidance, historical results, projected future taxable income and foreign tax credit utilization, that it was not more likely than not that the federal research and development credits would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future domestic cash generation will be sufficient to meet NTIC’s future domestic cash needs. As a result, U.S. income and foreign withholding taxes have not been recognized on the cumulative undistributed earnings of $16,252,890 and $20,540,523 at February 28, 2015 and August 31, 2014, respectively. To the extent undistributed earnings of NTIC’s joint ventures are distributed in the future, they are not expected to result in any material additional income tax liability after the application of foreign tax credits</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68" w:right="279" w:bottom="1440" w:gutter="0" w:footer="0" w:header="0"/>
        </w:sectPr>
      </w:pPr>
    </w:p>
    <w:bookmarkStart w:id="25" w:name="page26"/>
    <w:bookmarkEnd w:id="25"/>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 Foreign Currency Translations Adjustment. </w:t>
      </w:r>
      <w:r>
        <w:rPr>
          <w:rFonts w:ascii="Times New Roman" w:cs="Times New Roman" w:eastAsia="Times New Roman" w:hAnsi="Times New Roman"/>
          <w:sz w:val="18"/>
          <w:szCs w:val="18"/>
          <w:color w:val="auto"/>
        </w:rPr>
        <w:t>The significant change in the foreign currency translations adjustment was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strengthening of the U.S. dollar compared to the Euro and other foreign currencies during the three and six months ended February 28, 2015 compared to the same respective periods in fiscal 2014.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As of February 28, 2015, NTIC’s working capital was $17,839,603, including $3,365,389 in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$3,524,985 in available for sale securities, compared to $17,853,311 at August 31, 2014, including $2,477,017 in cash and cash equivalents and $5,519,766 in available for sale securities.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February 28, 2015, NTIC had a revolving line of credit with PNC Bank of $3,000,000, with no amounts outstanding.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line of credit is subject to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February 28, 2015, NTIC was in compliance with all debt covenants.</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January 5, 2015, PNC Bank extended the maturity date of the line of credit from January 7, 2015 to January 7, 2016 under substantially similar terms, and waived a technical covenant default by NTIC to deliver quarterly compliance certificates. It is anticipated that, as historically has been the practice, the line of credit will be renewed each year for one additional year for the immediate foreseeable future.</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and any stock repurchases for at least the next 12 months. During the remainder of fiscal 2015, NTIC expects to continue to invest in NTIC China, research and development and in marketing efforts and resources into the application of its corrosion prevention technology into the oil and gas industry and its Natur-Tec®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1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20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i w:val="1"/>
          <w:iCs w:val="1"/>
          <w:color w:val="auto"/>
        </w:rPr>
        <w:t>Uses of Cash and Cash Flows</w:t>
      </w:r>
      <w:r>
        <w:rPr>
          <w:rFonts w:ascii="Times New Roman" w:cs="Times New Roman" w:eastAsia="Times New Roman" w:hAnsi="Times New Roman"/>
          <w:sz w:val="18"/>
          <w:szCs w:val="18"/>
          <w:color w:val="auto"/>
        </w:rPr>
        <w:t>. Net cash provided by operating activities during the six months ended February 28, 2015 was $392,041, which resulted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from NTIC’s joint ventures and increases in receivables, inventories and prepaid expenses and decreases in accrued liabilities, partially offset by NTIC’s net income, income taxes payable, expensing of fair value of stock options vested, depreciation and amortization. Net cash provided by operating activities during the six months ended February 28, 2014 was $3,753,836, which resulted principally from NTIC’s equity in income from joint ventures and increases in receivables, inventories and prepaid expenses and a decrease in accrued liabilities and income taxes payable, partially offset by NTIC’s net income, expensing of fair value of stock options vested, depreciation and amortization, accrued liabilities and income taxes payable, partially offset by NTIC’s net income, depreciation and amortization.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8" w:right="239" w:bottom="1440" w:gutter="0" w:footer="0" w:header="0"/>
        </w:sectPr>
      </w:pPr>
    </w:p>
    <w:bookmarkStart w:id="26" w:name="page27"/>
    <w:bookmarkEnd w:id="26"/>
    <w:p>
      <w:pPr>
        <w:ind w:right="40"/>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1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NTIC experienced an increase in receivables and inventory as of February 28, 2015 compared to August 31, 2014 due to the increase in net sales and a desire to stock more products to shorten lead times and anticipate customer demand. Trade receivables excluding joint ventures as of February 28, 2015 increased $27,171 compared to August 31, 2014, primarily related to the increase in NTIC’s net sales.</w:t>
      </w:r>
    </w:p>
    <w:p>
      <w:pPr>
        <w:spacing w:after="0" w:line="20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Outstanding trade receivables excluding joint ventures balances as of February 28, 2015 decreased three days to an average of 54 days from balances outstanding from these customers as of August 31, 2014.</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Outstanding trade receivables from joint ventures as of February 28, 2015 decreased $166,554 compared to August 31, 2014 primarily due to the timing of payments. There was an increase of outstanding balances from trade receivables from joint ventures as of February 28, 2015 of 133 days from an average of 91 days from balances outstanding from these customers compared to August 31, 2014. The significant average days outstanding of trade receivables from joint ventures as of February 28, 2015 were primarily due to the receivable balance at NTIC’s joint venture in Korea and Tianjin Zerust.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February 28, 2015 decreased $1,128,841 compared to August 31, 2014, which resulted in an increase of 12 days of fees receivable outstanding as of February 28, 2015 to an average of 134 days compared to August 31, 2014.</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February 28, 2015 was $990,492, which was primarily the result of cash proceeds from the sale of available for sale securities, partially offset by additions to property and equipment and additions to patents. Net cash used in investing activities for the six months ended February 28, 2014 was $200,808 which was comprised primarily of additions to property and equipment and additions to patents partially offset by the proceeds from the sale of investments.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February 28, 2015 was $437,930, which resulted from a dividend paid to a non-controlling interest, partially offset by proceeds from stock option exercises and NTIC’s employee stock purchase plan. Net cash used in financing activities for the six months ended February 28, 2014 was $873,643, which resulted from principal payments on the bank loan for NTIC’s corporate headquarters buildings, partially offset by proceeds from NTIC’s employee stock purchase plan and, to a lesser extent, stock option exercises.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27" w:name="page28"/>
    <w:bookmarkEnd w:id="27"/>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$897,582 on capital expenditures during the six months ended February 28, 2015 and expects to spend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aggregate of approximately $500,000 to $600,000 on capital expenditures during the remainder of fiscal 2015. Anticipated capital expenditures for fiscal 2015 relate primarily to the purchase of new equipment and to expand lab capabilities.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in the United States and abroad historically has had little effect on NTIC. NTIC’s business has not historically been seasonal.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21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89"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February 28, 2015, NTIC had no borrowings under the line of credit.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NTIC’s critical accounting policies and estimates from the information provided in “Part II. Item 7, Management’s Discussion and Analysis of Financial Condition and Results of Operations—Critical Accounting Policies”, included in NTIC’s annual report on Form 10-K for the fiscal year ended August 31, 2014.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 owned subsidiary, Northern Technologies Holding Company, LLC, its wholly owned subsidiary, NTIC (Shanghai) Co., Ltd. (NTIC China), and NTIC’s majority owned subsidiary in Brazil, Zerust Prevenção de Corrosão S.A., NTIC’s majority owned holding company, NTI Asean LLC, and NTIC’s majority owned subsidiary in India, Northern Technologies India Private Limited. NTIC’s consolidated financial statements do not include the accounts of any of its joint ventures.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68" w:right="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revised guidance on revenue recognition. The standard provides a single revenue recognition model which is intended to improve comparability over a range of industries, companies and geographical boundaries and will also result in enhanced disclosures. The changes are effective for our fiscal year ended August 31, 2018, and interim periods within that year. We are currently reviewing the revised guidance and assessing the potential impact on our consolidated financial statements.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Although there are several other new accounting pronouncements issued or proposed by the FASB, which NTIC has adopted or will adopt, as applicable, NTIC does not believe any of these accounting pronouncements has had or will have a material impact on NTIC’s consolidated financial position or operating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outcome of contingencies such as legal proceedings and the effect of the liquidation of Tianjin Zerust and the establishment of NTIC China. NTIC has identified some of these forward-looking statements in this report with words like “believe,”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“Management’s Discussion and Analysis of Financial Condition and Results of Operations.”</w:t>
      </w:r>
    </w:p>
    <w:p>
      <w:pPr>
        <w:spacing w:after="0" w:line="21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207" w:lineRule="exact"/>
        <w:rPr>
          <w:sz w:val="20"/>
          <w:szCs w:val="20"/>
          <w:color w:val="auto"/>
        </w:rPr>
      </w:pPr>
    </w:p>
    <w:p>
      <w:pPr>
        <w:ind w:left="980" w:right="20" w:hanging="508"/>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NTIC China, the termination of the joint venture agreements with Tianjin Zerust, the pending litigation against Mr. Tao Meng and the anticipated liquidation of Tianjin Zerust and the effect on NTIC’s business and future operating results;</w:t>
      </w:r>
    </w:p>
    <w:p>
      <w:pPr>
        <w:spacing w:after="0" w:line="188" w:lineRule="exact"/>
        <w:rPr>
          <w:rFonts w:ascii="Times New Roman" w:cs="Times New Roman" w:eastAsia="Times New Roman" w:hAnsi="Times New Roman"/>
          <w:sz w:val="18"/>
          <w:szCs w:val="18"/>
          <w:color w:val="auto"/>
        </w:rPr>
      </w:pPr>
    </w:p>
    <w:p>
      <w:pPr>
        <w:ind w:left="980" w:hanging="508"/>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worldwide economic conditions, the European sovereign debt crisis and turmoil and disruption in the global credit and financial markets on NTIC’s business;</w:t>
      </w:r>
    </w:p>
    <w:p>
      <w:pPr>
        <w:spacing w:after="0" w:line="188" w:lineRule="exact"/>
        <w:rPr>
          <w:rFonts w:ascii="Times New Roman" w:cs="Times New Roman" w:eastAsia="Times New Roman" w:hAnsi="Times New Roman"/>
          <w:sz w:val="18"/>
          <w:szCs w:val="18"/>
          <w:color w:val="auto"/>
        </w:rPr>
      </w:pPr>
    </w:p>
    <w:p>
      <w:pPr>
        <w:ind w:left="980" w:hanging="50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of the U.S. automotive industry on NTIC’s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29" w:name="page30"/>
    <w:bookmarkEnd w:id="29"/>
    <w:p>
      <w:pPr>
        <w:ind w:left="508" w:hanging="508"/>
        <w:spacing w:after="0"/>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52" w:lineRule="exact"/>
        <w:rPr>
          <w:rFonts w:ascii="Times New Roman" w:cs="Times New Roman" w:eastAsia="Times New Roman" w:hAnsi="Times New Roman"/>
          <w:sz w:val="18"/>
          <w:szCs w:val="18"/>
          <w:color w:val="auto"/>
        </w:rPr>
      </w:pPr>
    </w:p>
    <w:p>
      <w:pPr>
        <w:ind w:left="508" w:right="20" w:hanging="508"/>
        <w:spacing w:after="0" w:line="282" w:lineRule="auto"/>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relationships with its joint ventures and its ability to maintain those relationships, especially in light of anticipated succession planning issues;</w:t>
      </w:r>
    </w:p>
    <w:p>
      <w:pPr>
        <w:spacing w:after="0" w:line="188" w:lineRule="exact"/>
        <w:rPr>
          <w:rFonts w:ascii="Times New Roman" w:cs="Times New Roman" w:eastAsia="Times New Roman" w:hAnsi="Times New Roman"/>
          <w:sz w:val="18"/>
          <w:szCs w:val="18"/>
          <w:color w:val="auto"/>
        </w:rPr>
      </w:pPr>
    </w:p>
    <w:p>
      <w:pPr>
        <w:ind w:left="508" w:hanging="508"/>
        <w:spacing w:after="0" w:line="282" w:lineRule="auto"/>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upon sales by Zerust Brazil to Petroleo Brasileiro S.A. (Petrobras), an oil company located in Brazil, and the effect of such sales on NTIC’s quarterly operating results, including in particular its net sales and margins;</w:t>
      </w:r>
    </w:p>
    <w:p>
      <w:pPr>
        <w:spacing w:after="0" w:line="188" w:lineRule="exact"/>
        <w:rPr>
          <w:rFonts w:ascii="Times New Roman" w:cs="Times New Roman" w:eastAsia="Times New Roman" w:hAnsi="Times New Roman"/>
          <w:sz w:val="18"/>
          <w:szCs w:val="18"/>
          <w:color w:val="auto"/>
        </w:rPr>
      </w:pPr>
    </w:p>
    <w:p>
      <w:pPr>
        <w:jc w:val="both"/>
        <w:ind w:left="508" w:hanging="508"/>
        <w:spacing w:after="0" w:line="228" w:lineRule="auto"/>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variability in NTIC’s sales of ZERUST® products and services into oil and gas industry and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and NTIC’s equity income of joint ventures, which variability in sales and equity in income of joint venture in turn, subject NTIC’s earnings to quarterly fluctuations;</w:t>
      </w:r>
    </w:p>
    <w:p>
      <w:pPr>
        <w:spacing w:after="0" w:line="224" w:lineRule="exact"/>
        <w:rPr>
          <w:rFonts w:ascii="Times New Roman" w:cs="Times New Roman" w:eastAsia="Times New Roman" w:hAnsi="Times New Roman"/>
          <w:sz w:val="18"/>
          <w:szCs w:val="18"/>
          <w:color w:val="auto"/>
        </w:rPr>
      </w:pPr>
    </w:p>
    <w:p>
      <w:pPr>
        <w:ind w:left="508" w:hanging="508"/>
        <w:spacing w:after="0" w:line="282" w:lineRule="auto"/>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and import duties and taxes;</w:t>
      </w:r>
    </w:p>
    <w:p>
      <w:pPr>
        <w:spacing w:after="0" w:line="188" w:lineRule="exact"/>
        <w:rPr>
          <w:rFonts w:ascii="Times New Roman" w:cs="Times New Roman" w:eastAsia="Times New Roman" w:hAnsi="Times New Roman"/>
          <w:sz w:val="18"/>
          <w:szCs w:val="18"/>
          <w:color w:val="auto"/>
        </w:rPr>
      </w:pPr>
    </w:p>
    <w:p>
      <w:pPr>
        <w:ind w:left="508" w:hanging="508"/>
        <w:spacing w:after="0"/>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w:t>
      </w:r>
    </w:p>
    <w:p>
      <w:pPr>
        <w:spacing w:after="0" w:line="252" w:lineRule="exact"/>
        <w:rPr>
          <w:rFonts w:ascii="Times New Roman" w:cs="Times New Roman" w:eastAsia="Times New Roman" w:hAnsi="Times New Roman"/>
          <w:sz w:val="18"/>
          <w:szCs w:val="18"/>
          <w:color w:val="auto"/>
        </w:rPr>
      </w:pPr>
    </w:p>
    <w:p>
      <w:pPr>
        <w:jc w:val="both"/>
        <w:ind w:left="508" w:hanging="508"/>
        <w:spacing w:after="0" w:line="228" w:lineRule="auto"/>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 products and services into oil and gas industry and Natur-Tec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and the often lengthy and extensive sales process involved in selling such products and services;</w:t>
      </w:r>
    </w:p>
    <w:p>
      <w:pPr>
        <w:spacing w:after="0" w:line="224" w:lineRule="exact"/>
        <w:rPr>
          <w:rFonts w:ascii="Times New Roman" w:cs="Times New Roman" w:eastAsia="Times New Roman" w:hAnsi="Times New Roman"/>
          <w:sz w:val="18"/>
          <w:szCs w:val="18"/>
          <w:color w:val="auto"/>
        </w:rPr>
      </w:pPr>
    </w:p>
    <w:p>
      <w:pPr>
        <w:ind w:left="508" w:hanging="508"/>
        <w:spacing w:after="0"/>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52" w:lineRule="exact"/>
        <w:rPr>
          <w:rFonts w:ascii="Times New Roman" w:cs="Times New Roman" w:eastAsia="Times New Roman" w:hAnsi="Times New Roman"/>
          <w:sz w:val="18"/>
          <w:szCs w:val="18"/>
          <w:color w:val="auto"/>
        </w:rPr>
      </w:pPr>
    </w:p>
    <w:p>
      <w:pPr>
        <w:ind w:left="508" w:hanging="508"/>
        <w:spacing w:after="0"/>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52" w:lineRule="exact"/>
        <w:rPr>
          <w:rFonts w:ascii="Times New Roman" w:cs="Times New Roman" w:eastAsia="Times New Roman" w:hAnsi="Times New Roman"/>
          <w:sz w:val="18"/>
          <w:szCs w:val="18"/>
          <w:color w:val="auto"/>
        </w:rPr>
      </w:pPr>
    </w:p>
    <w:p>
      <w:pPr>
        <w:ind w:left="508" w:hanging="508"/>
        <w:spacing w:after="0" w:line="218" w:lineRule="auto"/>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Maturation of certain existing markets for 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and services and NTIC’s ability to grow market share and succeed in penetrating other existing and new markets;</w:t>
      </w:r>
    </w:p>
    <w:p>
      <w:pPr>
        <w:spacing w:after="0" w:line="226" w:lineRule="exact"/>
        <w:rPr>
          <w:rFonts w:ascii="Times New Roman" w:cs="Times New Roman" w:eastAsia="Times New Roman" w:hAnsi="Times New Roman"/>
          <w:sz w:val="18"/>
          <w:szCs w:val="18"/>
          <w:color w:val="auto"/>
        </w:rPr>
      </w:pPr>
    </w:p>
    <w:p>
      <w:pPr>
        <w:ind w:left="508" w:hanging="508"/>
        <w:spacing w:after="0" w:line="218" w:lineRule="auto"/>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especially with respect to NTIC’s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products and services, and the effect of such competition on NTIC’s and its joint ventures’ pricing, net sales and margins;</w:t>
      </w:r>
    </w:p>
    <w:p>
      <w:pPr>
        <w:spacing w:after="0" w:line="226" w:lineRule="exact"/>
        <w:rPr>
          <w:rFonts w:ascii="Times New Roman" w:cs="Times New Roman" w:eastAsia="Times New Roman" w:hAnsi="Times New Roman"/>
          <w:sz w:val="18"/>
          <w:szCs w:val="18"/>
          <w:color w:val="auto"/>
        </w:rPr>
      </w:pPr>
    </w:p>
    <w:p>
      <w:pPr>
        <w:ind w:left="508" w:hanging="508"/>
        <w:spacing w:after="0"/>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52" w:lineRule="exact"/>
        <w:rPr>
          <w:rFonts w:ascii="Times New Roman" w:cs="Times New Roman" w:eastAsia="Times New Roman" w:hAnsi="Times New Roman"/>
          <w:sz w:val="18"/>
          <w:szCs w:val="18"/>
          <w:color w:val="auto"/>
        </w:rPr>
      </w:pPr>
    </w:p>
    <w:p>
      <w:pPr>
        <w:ind w:left="508" w:hanging="508"/>
        <w:spacing w:after="0"/>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 including in particular its single supply source for its base bioplastics resins;</w:t>
      </w:r>
    </w:p>
    <w:p>
      <w:pPr>
        <w:spacing w:after="0" w:line="252" w:lineRule="exact"/>
        <w:rPr>
          <w:rFonts w:ascii="Times New Roman" w:cs="Times New Roman" w:eastAsia="Times New Roman" w:hAnsi="Times New Roman"/>
          <w:sz w:val="18"/>
          <w:szCs w:val="18"/>
          <w:color w:val="auto"/>
        </w:rPr>
      </w:pPr>
    </w:p>
    <w:p>
      <w:pPr>
        <w:ind w:left="508" w:hanging="508"/>
        <w:spacing w:after="0" w:line="282" w:lineRule="auto"/>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88" w:lineRule="exact"/>
        <w:rPr>
          <w:rFonts w:ascii="Times New Roman" w:cs="Times New Roman" w:eastAsia="Times New Roman" w:hAnsi="Times New Roman"/>
          <w:sz w:val="18"/>
          <w:szCs w:val="18"/>
          <w:color w:val="auto"/>
        </w:rPr>
      </w:pPr>
    </w:p>
    <w:p>
      <w:pPr>
        <w:ind w:left="508" w:hanging="508"/>
        <w:spacing w:after="0" w:line="218" w:lineRule="auto"/>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of the manufacturing of certain select ZERUST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rust and corrosion inhibiting products in house at NTIC’s corporate headquarters location in Circle Pines, Minnesota;</w:t>
      </w:r>
    </w:p>
    <w:p>
      <w:pPr>
        <w:spacing w:after="0" w:line="226" w:lineRule="exact"/>
        <w:rPr>
          <w:rFonts w:ascii="Times New Roman" w:cs="Times New Roman" w:eastAsia="Times New Roman" w:hAnsi="Times New Roman"/>
          <w:sz w:val="18"/>
          <w:szCs w:val="18"/>
          <w:color w:val="auto"/>
        </w:rPr>
      </w:pPr>
    </w:p>
    <w:p>
      <w:pPr>
        <w:ind w:left="508" w:hanging="508"/>
        <w:spacing w:after="0"/>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and usage of new and existing products;</w:t>
      </w:r>
    </w:p>
    <w:p>
      <w:pPr>
        <w:spacing w:after="0" w:line="252" w:lineRule="exact"/>
        <w:rPr>
          <w:rFonts w:ascii="Times New Roman" w:cs="Times New Roman" w:eastAsia="Times New Roman" w:hAnsi="Times New Roman"/>
          <w:sz w:val="18"/>
          <w:szCs w:val="18"/>
          <w:color w:val="auto"/>
        </w:rPr>
      </w:pPr>
    </w:p>
    <w:p>
      <w:pPr>
        <w:ind w:left="508" w:hanging="508"/>
        <w:spacing w:after="0"/>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52" w:lineRule="exact"/>
        <w:rPr>
          <w:rFonts w:ascii="Times New Roman" w:cs="Times New Roman" w:eastAsia="Times New Roman" w:hAnsi="Times New Roman"/>
          <w:sz w:val="18"/>
          <w:szCs w:val="18"/>
          <w:color w:val="auto"/>
        </w:rPr>
      </w:pPr>
    </w:p>
    <w:p>
      <w:pPr>
        <w:ind w:left="508" w:hanging="508"/>
        <w:spacing w:after="0"/>
        <w:tabs>
          <w:tab w:leader="none" w:pos="5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w:t>
      </w:r>
    </w:p>
    <w:p>
      <w:pPr>
        <w:spacing w:after="0" w:line="200" w:lineRule="exact"/>
        <w:rPr>
          <w:sz w:val="20"/>
          <w:szCs w:val="20"/>
          <w:color w:val="auto"/>
        </w:rPr>
      </w:pPr>
    </w:p>
    <w:p>
      <w:pPr>
        <w:spacing w:after="0" w:line="201" w:lineRule="exact"/>
        <w:rPr>
          <w:sz w:val="20"/>
          <w:szCs w:val="20"/>
          <w:color w:val="auto"/>
        </w:rPr>
      </w:pPr>
    </w:p>
    <w:p>
      <w:pPr>
        <w:jc w:val="center"/>
        <w:ind w:right="452"/>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83820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948"/>
          </w:cols>
          <w:pgMar w:left="712" w:top="270" w:right="239" w:bottom="1440" w:gutter="0" w:footer="0" w:header="0"/>
        </w:sectPr>
      </w:pPr>
    </w:p>
    <w:bookmarkStart w:id="30" w:name="page31"/>
    <w:bookmarkEnd w:id="30"/>
    <w:p>
      <w:pPr>
        <w:ind w:left="980" w:hanging="508"/>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52" w:lineRule="exact"/>
        <w:rPr>
          <w:rFonts w:ascii="Times New Roman" w:cs="Times New Roman" w:eastAsia="Times New Roman" w:hAnsi="Times New Roman"/>
          <w:sz w:val="18"/>
          <w:szCs w:val="18"/>
          <w:color w:val="auto"/>
        </w:rPr>
      </w:pPr>
    </w:p>
    <w:p>
      <w:pPr>
        <w:ind w:left="980" w:hanging="508"/>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w:t>
      </w:r>
    </w:p>
    <w:p>
      <w:pPr>
        <w:spacing w:after="0" w:line="252" w:lineRule="exact"/>
        <w:rPr>
          <w:rFonts w:ascii="Times New Roman" w:cs="Times New Roman" w:eastAsia="Times New Roman" w:hAnsi="Times New Roman"/>
          <w:sz w:val="18"/>
          <w:szCs w:val="18"/>
          <w:color w:val="auto"/>
        </w:rPr>
      </w:pPr>
    </w:p>
    <w:p>
      <w:pPr>
        <w:ind w:left="980" w:hanging="508"/>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52" w:lineRule="exact"/>
        <w:rPr>
          <w:rFonts w:ascii="Times New Roman" w:cs="Times New Roman" w:eastAsia="Times New Roman" w:hAnsi="Times New Roman"/>
          <w:sz w:val="18"/>
          <w:szCs w:val="18"/>
          <w:color w:val="auto"/>
        </w:rPr>
      </w:pPr>
    </w:p>
    <w:p>
      <w:pPr>
        <w:ind w:left="980" w:hanging="508"/>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 and</w:t>
      </w:r>
    </w:p>
    <w:p>
      <w:pPr>
        <w:spacing w:after="0" w:line="252" w:lineRule="exact"/>
        <w:rPr>
          <w:rFonts w:ascii="Times New Roman" w:cs="Times New Roman" w:eastAsia="Times New Roman" w:hAnsi="Times New Roman"/>
          <w:sz w:val="18"/>
          <w:szCs w:val="18"/>
          <w:color w:val="auto"/>
        </w:rPr>
      </w:pPr>
    </w:p>
    <w:p>
      <w:pPr>
        <w:ind w:left="980" w:hanging="508"/>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w:t>
      </w:r>
    </w:p>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2014 under the heading “Part I. Item 1A. Risk Factors.”</w:t>
      </w:r>
    </w:p>
    <w:p>
      <w:pPr>
        <w:spacing w:after="0" w:line="20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NTIC files with or furnishes to the Securities and Exchange Commission.</w:t>
      </w:r>
    </w:p>
    <w:p>
      <w:pPr>
        <w:spacing w:after="0" w:line="21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2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89" w:lineRule="exact"/>
        <w:rPr>
          <w:sz w:val="20"/>
          <w:szCs w:val="20"/>
          <w:color w:val="auto"/>
        </w:rPr>
      </w:pPr>
    </w:p>
    <w:p>
      <w:pPr>
        <w:jc w:val="both"/>
        <w:ind w:right="80"/>
        <w:spacing w:after="0" w:line="289" w:lineRule="auto"/>
        <w:rPr>
          <w:sz w:val="20"/>
          <w:szCs w:val="20"/>
          <w:color w:val="auto"/>
        </w:rPr>
      </w:pPr>
      <w:r>
        <w:rPr>
          <w:rFonts w:ascii="Times New Roman" w:cs="Times New Roman" w:eastAsia="Times New Roman" w:hAnsi="Times New Roman"/>
          <w:sz w:val="17"/>
          <w:szCs w:val="17"/>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November 30, 2014, NTIC had no borrowings under the line of credit.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1" w:name="page32"/>
    <w:bookmarkEnd w:id="31"/>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was no change in NTIC’s internal control over financial reporting that occurred during the quarter ended February 28, 2015 that has materially affected, or is reasonably likely to materially affect NTIC’s internal control over financial reporting.</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32" w:name="page33"/>
    <w:bookmarkEnd w:id="32"/>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23, 2015, NTIC and NTI Asean LLC, a wholly owned subsidiary of NTIC, filed a lawsuit in Tianjin No 1 Intermediate People’s Court against two individuals, Meng Tao and Xu Hui, related to breaches of duties and contractual commitments owed to NTI Asean under certain agreements related to NTIC’s former joint venture in China, Tianjin Zerust Anti-Corrosion Technologies Ltd. The lawsuit alleges, among other things, that Mr. Meng Tao and Xu Hui have engaged in self-dealing, usurped business opportunities, and received economic benefits that were required to go to Tianjin Zerust. At this point it is too early in the lawsuit to reasonably estimate the amount of any recovery to NTI Asean.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NTIC is affected by risks specific to NTIC as well as factors that affect all businesses operating in a global market. For a discussion of the specific risks that could materially adversely affect NTIC’s business, financial condition or operating results, please see NTIC’s annual report on Form 10-K for the fiscal year ended August 31, 2014 under the heading “Part I — Item 1A. Risk Factors.” There has been no material change to the risk factors as disclosed in that report, other than the addition of the following risk factor relating to the anticipated liquidation of Tianjin Zerust and the formation and establishment of NTIC China:</w:t>
      </w:r>
    </w:p>
    <w:p>
      <w:pPr>
        <w:spacing w:after="0" w:line="20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termination of NTIC’s joint venture agreements with and the anticipated liquidation of Tianjin Zerust and the formation and establishment of NTIC China have had and could continue to have a material adverse effect on NTIC’s operating results.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Effective as of December 31, 2014, NTIC terminated its joint venture agreements with Tianjin Zerust, initiated the process to liquidate the joint venture entity and established a newly formed wholly owned subsidiary to conduct business in China. Tianjin Zerust was individually significant to NTIC’s consolidated assets and income. The termination of NTIC’s joint venture agreements with and the anticipated liquidation of Tianjin Zerust adversely affected NTIC’s operating results during the first six months ended February 28, 2015 and likely will continue to adversely affect NTIC’s operating results during the remainder of fiscal 2015. Of the total equity in income from joint ventures of $3,081,331 during the six months ended February 28, 2015 and of the total equity in income from joint ventures of $5,920,603 during fiscal 2014, NTIC had equity in income from joint ventures of $132,824 and $626,763 attributable to Tianjin Zerust, respectively. Of the total fee income for services provided to joint ventures of $3,128,530 during the six months ended February 28, 2015 and of the total fee income for services provided to joint ventures of $8,142,863 during fiscal 2014, $516,139 and $2,118,018 were attributable to Tianjin Zerust.</w:t>
      </w:r>
    </w:p>
    <w:p>
      <w:pPr>
        <w:spacing w:after="0" w:line="21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Commencing during the second quarter of fiscal 2015, NTIC’s consolidated financial statements include the financial results of NTIC China. NTIC anticipates that due to the consolidation of NTIC China, NTIC’s net sales, costs of goods sold and operating expenses will increase and its equity in income from joint ventures and fee income for services provided to its joint ventures will decrease in future periods compared to the prior fiscal year periods, since NTIC accounted for its investment in its former Chinese joint venture in NTIC’s consolidated financial statements utilizing the equity method of accounting. NTIC anticipates that it may take some time to transition the previous customers of NTIC’s former Chinese joint venture to NTIC China and no assurance can be provided that NTIC China will be able to achieve the net sales and income levels previously achieved by NTIC’s former Chinese joint venture. NTIC has incurred and expects to continue to incur significant operating expenses associated with NTIC China and the anticipated liquidation of Tianjin Zerust and expects that NTIC’s operating results may be volatile over the next few quarters, including in particular the remaining quarters of fiscal 2015. This is true especially since NTIC has recently commenced litigation against Mr. Tao Meng, Tianjin Zerust’s other shareholder, and his spouse in order to force the liquidation of Tianjin Zerust. During the six months ended February 28, 2015, NTIC incurred approximately $883,000 in start-up expenses related either directly or indirectly to the establishment of NTIC China, the termination of the joint venture agreements with Tianjin Zerust, the pending litigation against Mr. Tao Meng and his spouse, and the anticipated liquidation of Tianjin Zerust. Additionally, the subsidiary itself incurred losses of $358,000 during the same period. Net income attributable to NTIC decreased 53.3%, to $879,621, or $0.19 per diluted common share, for the six months ended February 28, 2015 compared to $1,883,630, or $0.41 per diluted common share, for the six months ended February 28, 2014. These decreases were primarily the result of decreases in income from NTIC’s joint venture operations as a result of the anticipated liquidation of Tianjin Zerust and the formation and establishment of NTIC China and an increase in operating expenses.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3" w:name="page34"/>
    <w:bookmarkEnd w:id="33"/>
    <w:p>
      <w:pPr>
        <w:spacing w:after="0" w:line="258" w:lineRule="auto"/>
        <w:rPr>
          <w:sz w:val="20"/>
          <w:szCs w:val="20"/>
          <w:color w:val="auto"/>
        </w:rPr>
      </w:pPr>
      <w:r>
        <w:rPr>
          <w:rFonts w:ascii="Times New Roman" w:cs="Times New Roman" w:eastAsia="Times New Roman" w:hAnsi="Times New Roman"/>
          <w:sz w:val="18"/>
          <w:szCs w:val="18"/>
          <w:color w:val="auto"/>
        </w:rPr>
        <w:t>NTIC does not anticipate at this time that it will have any loss on the anticipated liquidation of its ownership interest in Tianjin Zerust and does not anticipate at this time incurring any impairment on its investment in Tianjin Zerust, collectability of receivables from sales of product or fees for services from the former joint venture or any material issue in recoverability of inventory. However, no assurance can be given that NTIC will have no loss on the liquidation of its ownership interest in Tianjin Zerust or will incur no impairment on its investment in Tianjin Zerust, collectability of receivables from sales of product or fees for services from the former joint venture or any material issue in recoverability of inventory.</w:t>
      </w:r>
    </w:p>
    <w:p>
      <w:pPr>
        <w:spacing w:after="0" w:line="20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5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During the three months ended February 28, 2015, NTIC did not issue any shares of its common stock or other equity securities of NTIC that were not registered under the Securities Act of 1933,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February 28, 2015, NTIC did not purchase any shares of its common stock or other equity securities of NTIC.</w:t>
      </w:r>
    </w:p>
    <w:p>
      <w:pPr>
        <w:spacing w:after="0" w:line="2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19, 2015, NTIC announced that the Board of Directors of NTIC has authorized the repurchase of up to $3.0 million of the Company’s outstanding common stock in the open market or in privately negotiated transactions, whatever deemed appropriate by management. The timing and actual number of shares repurchased will depend on a variety of factors including price, legal requirements, contractual obligations and market conditions.</w:t>
      </w:r>
    </w:p>
    <w:p>
      <w:pPr>
        <w:spacing w:after="0" w:line="19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34" w:name="page35"/>
    <w:bookmarkEnd w:id="34"/>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8"/>
        </w:trPr>
        <w:tc>
          <w:tcPr>
            <w:tcW w:w="1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99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Letter dated January 8, 2015 to Northern Technologies International Corporation from PNC Bank, National Association (filed herewith)</w:t>
            </w:r>
          </w:p>
        </w:tc>
      </w:tr>
      <w:tr>
        <w:trPr>
          <w:trHeight w:val="216"/>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13a-14(a)/15d-14(a), as Adopted Pursuant to Section 302 of the</w:t>
            </w:r>
          </w:p>
        </w:tc>
      </w:tr>
      <w:tr>
        <w:trPr>
          <w:trHeight w:val="216"/>
        </w:trPr>
        <w:tc>
          <w:tcPr>
            <w:tcW w:w="126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Sarbanes-Oxley Act of 2002 (filed herewith)</w:t>
            </w:r>
          </w:p>
        </w:tc>
      </w:tr>
      <w:tr>
        <w:trPr>
          <w:trHeight w:val="216"/>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13a-14(a)/15d-14(a), as Adopted Pursuant to Section 302 of the</w:t>
            </w:r>
          </w:p>
        </w:tc>
      </w:tr>
      <w:tr>
        <w:trPr>
          <w:trHeight w:val="216"/>
        </w:trPr>
        <w:tc>
          <w:tcPr>
            <w:tcW w:w="126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Sarbanes-Oxley Act of 2002 (filed herewith)</w:t>
            </w:r>
          </w:p>
        </w:tc>
      </w:tr>
      <w:tr>
        <w:trPr>
          <w:trHeight w:val="216"/>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p>
        </w:tc>
      </w:tr>
      <w:tr>
        <w:trPr>
          <w:trHeight w:val="216"/>
        </w:trPr>
        <w:tc>
          <w:tcPr>
            <w:tcW w:w="1260" w:type="dxa"/>
            <w:vAlign w:val="bottom"/>
          </w:tcPr>
          <w:p>
            <w:pPr>
              <w:spacing w:after="0"/>
              <w:rPr>
                <w:sz w:val="18"/>
                <w:szCs w:val="18"/>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Act of 2002 (furnished herewith)</w:t>
            </w:r>
          </w:p>
        </w:tc>
      </w:tr>
      <w:tr>
        <w:trPr>
          <w:trHeight w:val="216"/>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tc>
      </w:tr>
      <w:tr>
        <w:trPr>
          <w:trHeight w:val="234"/>
        </w:trPr>
        <w:tc>
          <w:tcPr>
            <w:tcW w:w="1260" w:type="dxa"/>
            <w:vAlign w:val="bottom"/>
          </w:tcPr>
          <w:p>
            <w:pPr>
              <w:spacing w:after="0"/>
              <w:rPr>
                <w:sz w:val="20"/>
                <w:szCs w:val="20"/>
                <w:color w:val="auto"/>
              </w:rPr>
            </w:pPr>
          </w:p>
        </w:tc>
        <w:tc>
          <w:tcPr>
            <w:tcW w:w="10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Act of 2002 (furnished herewith)</w:t>
            </w:r>
          </w:p>
        </w:tc>
      </w:tr>
    </w:tbl>
    <w:p>
      <w:pPr>
        <w:jc w:val="both"/>
        <w:ind w:left="1500" w:right="20" w:hanging="999"/>
        <w:spacing w:after="0" w:line="254" w:lineRule="auto"/>
        <w:tabs>
          <w:tab w:leader="none" w:pos="1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NTIC’s Quarterly Report on Form 10-Q for the fiscal quarter ended February 28, 2015, formatted in XBRL (Extensible Business Reporting Language): (i) the unaudited Consolidated Balance Sheets, (ii) the unaudited Consolidated Statements of Operations, (iii) the unaudited Consolidated Statements of Comprehensive Income (Loss), (iv) the unaudited Consolidated Statements of Cash Flows, and (v) Notes to Condensed Financial Statements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5" w:name="page36"/>
    <w:bookmarkEnd w:id="3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174625</wp:posOffset>
            </wp:positionV>
            <wp:extent cx="1123315" cy="3689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33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w:t>
      </w:r>
    </w:p>
    <w:p>
      <w:pPr>
        <w:sectPr>
          <w:pgSz w:w="11900" w:h="16838" w:orient="portrait"/>
          <w:cols w:equalWidth="0" w:num="1">
            <w:col w:w="11280"/>
          </w:cols>
          <w:pgMar w:left="240" w:top="266" w:right="379" w:bottom="144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April 9, 2015</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Duly Authorized to Sign on Behalf of the Registrant)</w:t>
      </w:r>
    </w:p>
    <w:p>
      <w:pPr>
        <w:spacing w:after="0" w:line="200" w:lineRule="exact"/>
        <w:rPr>
          <w:sz w:val="20"/>
          <w:szCs w:val="20"/>
          <w:color w:val="auto"/>
        </w:rPr>
      </w:pPr>
    </w:p>
    <w:p>
      <w:pPr>
        <w:sectPr>
          <w:pgSz w:w="11900" w:h="16838" w:orient="portrait"/>
          <w:cols w:equalWidth="0" w:num="2">
            <w:col w:w="3660" w:space="720"/>
            <w:col w:w="6900"/>
          </w:cols>
          <w:pgMar w:left="240" w:top="266"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80"/>
          </w:cols>
          <w:pgMar w:left="240" w:top="266" w:right="37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520" w:type="dxa"/>
            <w:vAlign w:val="bottom"/>
            <w:tcBorders>
              <w:top w:val="single" w:sz="8" w:color="auto"/>
              <w:left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160" w:type="dxa"/>
            <w:vAlign w:val="bottom"/>
            <w:tcBorders>
              <w:top w:val="single" w:sz="8" w:color="auto"/>
              <w:right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Method of Filing</w:t>
            </w:r>
          </w:p>
        </w:tc>
      </w:tr>
      <w:tr>
        <w:trPr>
          <w:trHeight w:val="51"/>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6160" w:type="dxa"/>
            <w:vAlign w:val="bottom"/>
            <w:tcBorders>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r>
      <w:tr>
        <w:trPr>
          <w:trHeight w:val="235"/>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Letter dated January 8, 2015 to Northern Technologies International Corporation</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34"/>
        </w:trPr>
        <w:tc>
          <w:tcPr>
            <w:tcW w:w="1520" w:type="dxa"/>
            <w:vAlign w:val="bottom"/>
            <w:tcBorders>
              <w:left w:val="single" w:sz="8" w:color="auto"/>
              <w:right w:val="single" w:sz="8" w:color="auto"/>
            </w:tcBorders>
          </w:tcPr>
          <w:p>
            <w:pPr>
              <w:spacing w:after="0"/>
              <w:rPr>
                <w:sz w:val="20"/>
                <w:szCs w:val="20"/>
                <w:color w:val="auto"/>
              </w:rPr>
            </w:pP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from PNC Bank, National Association</w:t>
            </w:r>
          </w:p>
        </w:tc>
        <w:tc>
          <w:tcPr>
            <w:tcW w:w="3760" w:type="dxa"/>
            <w:vAlign w:val="bottom"/>
            <w:tcBorders>
              <w:right w:val="single" w:sz="8" w:color="auto"/>
            </w:tcBorders>
          </w:tcPr>
          <w:p>
            <w:pPr>
              <w:spacing w:after="0"/>
              <w:rPr>
                <w:sz w:val="20"/>
                <w:szCs w:val="20"/>
                <w:color w:val="auto"/>
              </w:rPr>
            </w:pPr>
          </w:p>
        </w:tc>
      </w:tr>
      <w:tr>
        <w:trPr>
          <w:trHeight w:val="41"/>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r>
        <w:trPr>
          <w:trHeight w:val="232"/>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Certification of Chief Executive Officer Pursuant to Exchange Act Rules 13a-</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14(a)/15d-14(a), as Adopted Pursuant to Section 302 of the Sarbanes-Oxley Act of</w:t>
            </w:r>
          </w:p>
        </w:tc>
        <w:tc>
          <w:tcPr>
            <w:tcW w:w="3760" w:type="dxa"/>
            <w:vAlign w:val="bottom"/>
            <w:tcBorders>
              <w:right w:val="single" w:sz="8" w:color="auto"/>
            </w:tcBorders>
          </w:tcPr>
          <w:p>
            <w:pPr>
              <w:spacing w:after="0"/>
              <w:rPr>
                <w:sz w:val="18"/>
                <w:szCs w:val="18"/>
                <w:color w:val="auto"/>
              </w:rPr>
            </w:pPr>
          </w:p>
        </w:tc>
      </w:tr>
      <w:tr>
        <w:trPr>
          <w:trHeight w:val="234"/>
        </w:trPr>
        <w:tc>
          <w:tcPr>
            <w:tcW w:w="1520" w:type="dxa"/>
            <w:vAlign w:val="bottom"/>
            <w:tcBorders>
              <w:left w:val="single" w:sz="8" w:color="auto"/>
              <w:right w:val="single" w:sz="8" w:color="auto"/>
            </w:tcBorders>
          </w:tcPr>
          <w:p>
            <w:pPr>
              <w:spacing w:after="0"/>
              <w:rPr>
                <w:sz w:val="20"/>
                <w:szCs w:val="20"/>
                <w:color w:val="auto"/>
              </w:rPr>
            </w:pP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2002</w:t>
            </w:r>
          </w:p>
        </w:tc>
        <w:tc>
          <w:tcPr>
            <w:tcW w:w="3760" w:type="dxa"/>
            <w:vAlign w:val="bottom"/>
            <w:tcBorders>
              <w:right w:val="single" w:sz="8" w:color="auto"/>
            </w:tcBorders>
          </w:tcPr>
          <w:p>
            <w:pPr>
              <w:spacing w:after="0"/>
              <w:rPr>
                <w:sz w:val="20"/>
                <w:szCs w:val="20"/>
                <w:color w:val="auto"/>
              </w:rPr>
            </w:pPr>
          </w:p>
        </w:tc>
      </w:tr>
      <w:tr>
        <w:trPr>
          <w:trHeight w:val="41"/>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r>
        <w:trPr>
          <w:trHeight w:val="232"/>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Certification of Chief Financial Officer Pursuant to Exchange Act Rules 13a-</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14(a)/15d-14(a), as Adopted Pursuant to Section 302 of the Sarbanes-Oxley Act of</w:t>
            </w:r>
          </w:p>
        </w:tc>
        <w:tc>
          <w:tcPr>
            <w:tcW w:w="3760" w:type="dxa"/>
            <w:vAlign w:val="bottom"/>
            <w:tcBorders>
              <w:right w:val="single" w:sz="8" w:color="auto"/>
            </w:tcBorders>
          </w:tcPr>
          <w:p>
            <w:pPr>
              <w:spacing w:after="0"/>
              <w:rPr>
                <w:sz w:val="18"/>
                <w:szCs w:val="18"/>
                <w:color w:val="auto"/>
              </w:rPr>
            </w:pPr>
          </w:p>
        </w:tc>
      </w:tr>
      <w:tr>
        <w:trPr>
          <w:trHeight w:val="234"/>
        </w:trPr>
        <w:tc>
          <w:tcPr>
            <w:tcW w:w="1520" w:type="dxa"/>
            <w:vAlign w:val="bottom"/>
            <w:tcBorders>
              <w:left w:val="single" w:sz="8" w:color="auto"/>
              <w:right w:val="single" w:sz="8" w:color="auto"/>
            </w:tcBorders>
          </w:tcPr>
          <w:p>
            <w:pPr>
              <w:spacing w:after="0"/>
              <w:rPr>
                <w:sz w:val="20"/>
                <w:szCs w:val="20"/>
                <w:color w:val="auto"/>
              </w:rPr>
            </w:pP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2002</w:t>
            </w:r>
          </w:p>
        </w:tc>
        <w:tc>
          <w:tcPr>
            <w:tcW w:w="3760" w:type="dxa"/>
            <w:vAlign w:val="bottom"/>
            <w:tcBorders>
              <w:right w:val="single" w:sz="8" w:color="auto"/>
            </w:tcBorders>
          </w:tcPr>
          <w:p>
            <w:pPr>
              <w:spacing w:after="0"/>
              <w:rPr>
                <w:sz w:val="20"/>
                <w:szCs w:val="20"/>
                <w:color w:val="auto"/>
              </w:rPr>
            </w:pPr>
          </w:p>
        </w:tc>
      </w:tr>
      <w:tr>
        <w:trPr>
          <w:trHeight w:val="41"/>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r>
        <w:trPr>
          <w:trHeight w:val="232"/>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1520" w:type="dxa"/>
            <w:vAlign w:val="bottom"/>
            <w:tcBorders>
              <w:left w:val="single" w:sz="8" w:color="auto"/>
              <w:right w:val="single" w:sz="8" w:color="auto"/>
            </w:tcBorders>
          </w:tcPr>
          <w:p>
            <w:pPr>
              <w:spacing w:after="0"/>
              <w:rPr>
                <w:sz w:val="20"/>
                <w:szCs w:val="20"/>
                <w:color w:val="auto"/>
              </w:rPr>
            </w:pP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3760" w:type="dxa"/>
            <w:vAlign w:val="bottom"/>
            <w:tcBorders>
              <w:right w:val="single" w:sz="8" w:color="auto"/>
            </w:tcBorders>
          </w:tcPr>
          <w:p>
            <w:pPr>
              <w:spacing w:after="0"/>
              <w:rPr>
                <w:sz w:val="20"/>
                <w:szCs w:val="20"/>
                <w:color w:val="auto"/>
              </w:rPr>
            </w:pPr>
          </w:p>
        </w:tc>
      </w:tr>
      <w:tr>
        <w:trPr>
          <w:trHeight w:val="41"/>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r>
        <w:trPr>
          <w:trHeight w:val="232"/>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34"/>
        </w:trPr>
        <w:tc>
          <w:tcPr>
            <w:tcW w:w="1520" w:type="dxa"/>
            <w:vAlign w:val="bottom"/>
            <w:tcBorders>
              <w:left w:val="single" w:sz="8" w:color="auto"/>
              <w:right w:val="single" w:sz="8" w:color="auto"/>
            </w:tcBorders>
          </w:tcPr>
          <w:p>
            <w:pPr>
              <w:spacing w:after="0"/>
              <w:rPr>
                <w:sz w:val="20"/>
                <w:szCs w:val="20"/>
                <w:color w:val="auto"/>
              </w:rPr>
            </w:pP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3760" w:type="dxa"/>
            <w:vAlign w:val="bottom"/>
            <w:tcBorders>
              <w:right w:val="single" w:sz="8" w:color="auto"/>
            </w:tcBorders>
          </w:tcPr>
          <w:p>
            <w:pPr>
              <w:spacing w:after="0"/>
              <w:rPr>
                <w:sz w:val="20"/>
                <w:szCs w:val="20"/>
                <w:color w:val="auto"/>
              </w:rPr>
            </w:pPr>
          </w:p>
        </w:tc>
      </w:tr>
      <w:tr>
        <w:trPr>
          <w:trHeight w:val="41"/>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r>
        <w:trPr>
          <w:trHeight w:val="232"/>
        </w:trPr>
        <w:tc>
          <w:tcPr>
            <w:tcW w:w="1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following materials from Northern Technologies International Corporation’s</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February 28, 2015,</w:t>
            </w:r>
          </w:p>
        </w:tc>
        <w:tc>
          <w:tcPr>
            <w:tcW w:w="3760" w:type="dxa"/>
            <w:vAlign w:val="bottom"/>
            <w:tcBorders>
              <w:right w:val="single" w:sz="8" w:color="auto"/>
            </w:tcBorders>
          </w:tcPr>
          <w:p>
            <w:pPr>
              <w:spacing w:after="0"/>
              <w:rPr>
                <w:sz w:val="18"/>
                <w:szCs w:val="18"/>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formatted in XBRL (Extensible Business Reporting Language): (i) the unaudited</w:t>
            </w:r>
          </w:p>
        </w:tc>
        <w:tc>
          <w:tcPr>
            <w:tcW w:w="3760" w:type="dxa"/>
            <w:vAlign w:val="bottom"/>
            <w:tcBorders>
              <w:right w:val="single" w:sz="8" w:color="auto"/>
            </w:tcBorders>
          </w:tcPr>
          <w:p>
            <w:pPr>
              <w:spacing w:after="0"/>
              <w:rPr>
                <w:sz w:val="18"/>
                <w:szCs w:val="18"/>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Consolidated Balance Sheets, (ii) the unaudited Consolidated Statements of</w:t>
            </w:r>
          </w:p>
        </w:tc>
        <w:tc>
          <w:tcPr>
            <w:tcW w:w="3760" w:type="dxa"/>
            <w:vAlign w:val="bottom"/>
            <w:tcBorders>
              <w:right w:val="single" w:sz="8" w:color="auto"/>
            </w:tcBorders>
          </w:tcPr>
          <w:p>
            <w:pPr>
              <w:spacing w:after="0"/>
              <w:rPr>
                <w:sz w:val="18"/>
                <w:szCs w:val="18"/>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Operations, (iii) the unaudited Consolidated Statements of Comprehensive Income</w:t>
            </w:r>
          </w:p>
        </w:tc>
        <w:tc>
          <w:tcPr>
            <w:tcW w:w="3760" w:type="dxa"/>
            <w:vAlign w:val="bottom"/>
            <w:tcBorders>
              <w:right w:val="single" w:sz="8" w:color="auto"/>
            </w:tcBorders>
          </w:tcPr>
          <w:p>
            <w:pPr>
              <w:spacing w:after="0"/>
              <w:rPr>
                <w:sz w:val="18"/>
                <w:szCs w:val="18"/>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(Loss), (iv) the unaudited Consolidated Statements of Cash Flows, and (v) Notes to</w:t>
            </w:r>
          </w:p>
        </w:tc>
        <w:tc>
          <w:tcPr>
            <w:tcW w:w="3760" w:type="dxa"/>
            <w:vAlign w:val="bottom"/>
            <w:tcBorders>
              <w:right w:val="single" w:sz="8" w:color="auto"/>
            </w:tcBorders>
          </w:tcPr>
          <w:p>
            <w:pPr>
              <w:spacing w:after="0"/>
              <w:rPr>
                <w:sz w:val="18"/>
                <w:szCs w:val="18"/>
                <w:color w:val="auto"/>
              </w:rPr>
            </w:pPr>
          </w:p>
        </w:tc>
      </w:tr>
      <w:tr>
        <w:trPr>
          <w:trHeight w:val="234"/>
        </w:trPr>
        <w:tc>
          <w:tcPr>
            <w:tcW w:w="1520" w:type="dxa"/>
            <w:vAlign w:val="bottom"/>
            <w:tcBorders>
              <w:left w:val="single" w:sz="8" w:color="auto"/>
              <w:right w:val="single" w:sz="8" w:color="auto"/>
            </w:tcBorders>
          </w:tcPr>
          <w:p>
            <w:pPr>
              <w:spacing w:after="0"/>
              <w:rPr>
                <w:sz w:val="20"/>
                <w:szCs w:val="20"/>
                <w:color w:val="auto"/>
              </w:rPr>
            </w:pPr>
          </w:p>
        </w:tc>
        <w:tc>
          <w:tcPr>
            <w:tcW w:w="61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Condensed Financial Statements</w:t>
            </w:r>
          </w:p>
        </w:tc>
        <w:tc>
          <w:tcPr>
            <w:tcW w:w="3760" w:type="dxa"/>
            <w:vAlign w:val="bottom"/>
            <w:tcBorders>
              <w:right w:val="single" w:sz="8" w:color="auto"/>
            </w:tcBorders>
          </w:tcPr>
          <w:p>
            <w:pPr>
              <w:spacing w:after="0"/>
              <w:rPr>
                <w:sz w:val="20"/>
                <w:szCs w:val="20"/>
                <w:color w:val="auto"/>
              </w:rPr>
            </w:pPr>
          </w:p>
        </w:tc>
      </w:tr>
      <w:tr>
        <w:trPr>
          <w:trHeight w:val="41"/>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616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PNC Letterhead]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8, 2015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Northern Technologies International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4201 Woodland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MN 55014</w:t>
      </w:r>
    </w:p>
    <w:p>
      <w:pPr>
        <w:spacing w:after="0" w:line="234" w:lineRule="exact"/>
        <w:rPr>
          <w:sz w:val="20"/>
          <w:szCs w:val="20"/>
          <w:color w:val="auto"/>
        </w:rPr>
      </w:pPr>
    </w:p>
    <w:p>
      <w:pPr>
        <w:ind w:right="4640"/>
        <w:spacing w:after="0" w:line="266" w:lineRule="auto"/>
        <w:rPr>
          <w:sz w:val="20"/>
          <w:szCs w:val="20"/>
          <w:color w:val="auto"/>
        </w:rPr>
      </w:pPr>
      <w:r>
        <w:rPr>
          <w:rFonts w:ascii="Times New Roman" w:cs="Times New Roman" w:eastAsia="Times New Roman" w:hAnsi="Times New Roman"/>
          <w:sz w:val="18"/>
          <w:szCs w:val="18"/>
          <w:color w:val="auto"/>
        </w:rPr>
        <w:t>Re: Renewal of Expiration Date for that certain $3,000,000.00 Working Cash® Line of Credit ("Line of Credit") extended by PNC Bank, National Association (the "Bank") to Northern Technologies International Corporation (the "Borrower")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Ladies/Gentlemen:</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pleased to inform you that the Line of Credit has been renewed. The Expiration Date of the Line of Credit, as set forth in that certain promissory note executed and delivered by the Borrower to the Bank dated January 10, 2011 (the "Note") and/or that certain loan agreement governing the Line of Credit (the "Loan Agreement"), has been extended from January 7, 2015 to January 7, 2016 or such later date as may, in the Bank's sole discretion, be designated by the Bank by written notice from the Bank to the Borrower, effective on January 8, 2015. All sums due under the Note, the Loan Agreement or any related documents, instruments and agreements (collectively as amended from time to time, the "Loan Documents") shall be due and payable on the Expiration Date, as extended hereby. All other terms and conditions of the Loan Documents governing the Line of Credit remain in full force and effect.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has been a pleasure working with you and I look forward to a continued successful relationship. Thank you again for your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BANK, NATIONAL ASSOCIATION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Yelena Spadafora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Yelena Spadafora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1420"/>
          </w:cols>
          <w:pgMar w:left="240" w:top="117"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52"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52"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140" w:right="300" w:firstLine="2"/>
        <w:spacing w:after="0" w:line="266" w:lineRule="auto"/>
        <w:tabs>
          <w:tab w:leader="none" w:pos="201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140" w:right="320" w:firstLine="2"/>
        <w:spacing w:after="0" w:line="266" w:lineRule="auto"/>
        <w:tabs>
          <w:tab w:leader="none" w:pos="20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140" w:right="140" w:firstLine="2"/>
        <w:spacing w:after="0" w:line="266" w:lineRule="auto"/>
        <w:tabs>
          <w:tab w:leader="none" w:pos="201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ind w:left="1140" w:right="60" w:firstLine="2"/>
        <w:spacing w:after="0" w:line="266" w:lineRule="auto"/>
        <w:tabs>
          <w:tab w:leader="none" w:pos="202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1140" w:right="80" w:firstLine="2"/>
        <w:spacing w:after="0" w:line="282" w:lineRule="auto"/>
        <w:tabs>
          <w:tab w:leader="none" w:pos="20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160" w:firstLine="2"/>
        <w:spacing w:after="0" w:line="282" w:lineRule="auto"/>
        <w:tabs>
          <w:tab w:leader="none" w:pos="20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131445</wp:posOffset>
            </wp:positionV>
            <wp:extent cx="2169795" cy="342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69795" cy="34290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9, 2015</w:t>
      </w:r>
    </w:p>
    <w:p>
      <w:pPr>
        <w:spacing w:after="0" w:line="17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 Patrick Lynch</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52"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52"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right="28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ind w:left="1140" w:right="300" w:firstLine="2"/>
        <w:spacing w:after="0" w:line="266" w:lineRule="auto"/>
        <w:tabs>
          <w:tab w:leader="none" w:pos="201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ind w:left="1140" w:right="320" w:firstLine="2"/>
        <w:spacing w:after="0" w:line="266" w:lineRule="auto"/>
        <w:tabs>
          <w:tab w:leader="none" w:pos="20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140" w:right="140" w:firstLine="2"/>
        <w:spacing w:after="0" w:line="266" w:lineRule="auto"/>
        <w:tabs>
          <w:tab w:leader="none" w:pos="201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Times New Roman" w:cs="Times New Roman" w:eastAsia="Times New Roman" w:hAnsi="Times New Roman"/>
          <w:sz w:val="18"/>
          <w:szCs w:val="18"/>
          <w:color w:val="auto"/>
        </w:rPr>
      </w:pPr>
    </w:p>
    <w:p>
      <w:pPr>
        <w:ind w:left="1140" w:right="60" w:firstLine="2"/>
        <w:spacing w:after="0" w:line="266" w:lineRule="auto"/>
        <w:tabs>
          <w:tab w:leader="none" w:pos="20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w:t>
      </w:r>
    </w:p>
    <w:p>
      <w:pPr>
        <w:spacing w:after="0" w:line="188" w:lineRule="exact"/>
        <w:rPr>
          <w:rFonts w:ascii="Times New Roman" w:cs="Times New Roman" w:eastAsia="Times New Roman" w:hAnsi="Times New Roman"/>
          <w:sz w:val="18"/>
          <w:szCs w:val="18"/>
          <w:color w:val="auto"/>
        </w:rPr>
      </w:pPr>
    </w:p>
    <w:p>
      <w:pPr>
        <w:ind w:left="1140" w:right="80" w:firstLine="2"/>
        <w:spacing w:after="0" w:line="282" w:lineRule="auto"/>
        <w:tabs>
          <w:tab w:leader="none" w:pos="20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160" w:firstLine="2"/>
        <w:spacing w:after="0" w:line="282" w:lineRule="auto"/>
        <w:tabs>
          <w:tab w:leader="none" w:pos="20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114300</wp:posOffset>
            </wp:positionV>
            <wp:extent cx="2169795" cy="377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69795" cy="3771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9, 2015</w:t>
      </w:r>
    </w:p>
    <w:p>
      <w:pPr>
        <w:spacing w:after="0" w:line="19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 and Corporate</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left="2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Northern Technologies International Corporation (the “Company”) on Form 10-Q for the period ended February 28, 2015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07" w:lineRule="exact"/>
        <w:rPr>
          <w:sz w:val="20"/>
          <w:szCs w:val="20"/>
          <w:color w:val="auto"/>
        </w:rPr>
      </w:pPr>
    </w:p>
    <w:p>
      <w:pPr>
        <w:ind w:left="1620" w:hanging="964"/>
        <w:spacing w:after="0"/>
        <w:tabs>
          <w:tab w:leader="none" w:pos="1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620" w:right="120" w:hanging="964"/>
        <w:spacing w:after="0" w:line="282" w:lineRule="auto"/>
        <w:tabs>
          <w:tab w:leader="none" w:pos="1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2178050" cy="342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78050" cy="3429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9, 2015</w:t>
      </w:r>
    </w:p>
    <w:p>
      <w:pPr>
        <w:sectPr>
          <w:pgSz w:w="11900" w:h="16838" w:orient="portrait"/>
          <w:cols w:equalWidth="0" w:num="1">
            <w:col w:w="11420"/>
          </w:cols>
          <w:pgMar w:left="240" w:top="117"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left="2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8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Northern Technologies International Corporation (the “Company”) on Form 10-Q for the period ended February 28, 2015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207" w:lineRule="exact"/>
        <w:rPr>
          <w:sz w:val="20"/>
          <w:szCs w:val="20"/>
          <w:color w:val="auto"/>
        </w:rPr>
      </w:pPr>
    </w:p>
    <w:p>
      <w:pPr>
        <w:ind w:left="1620" w:hanging="964"/>
        <w:spacing w:after="0"/>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620" w:right="120" w:hanging="964"/>
        <w:spacing w:after="0" w:line="282"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123315" cy="3689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233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780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9, 2015</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6"/>
    </w:lvl>
  </w:abstractNum>
  <w:abstractNum w:abstractNumId="5">
    <w:nsid w:val="1BEFD79F"/>
    <w:multiLevelType w:val="hybridMultilevel"/>
    <w:lvl w:ilvl="0">
      <w:lvlJc w:val="left"/>
      <w:lvlText w:val="%1."/>
      <w:numFmt w:val="decimal"/>
      <w:start w:val="7"/>
    </w:lvl>
  </w:abstractNum>
  <w:abstractNum w:abstractNumId="6">
    <w:nsid w:val="41A7C4C9"/>
    <w:multiLevelType w:val="hybridMultilevel"/>
    <w:lvl w:ilvl="0">
      <w:lvlJc w:val="left"/>
      <w:lvlText w:val="%1."/>
      <w:numFmt w:val="decimal"/>
      <w:start w:val="8"/>
    </w:lvl>
  </w:abstractNum>
  <w:abstractNum w:abstractNumId="7">
    <w:nsid w:val="6B68079A"/>
    <w:multiLevelType w:val="hybridMultilevel"/>
    <w:lvl w:ilvl="0">
      <w:lvlJc w:val="left"/>
      <w:lvlText w:val="%1."/>
      <w:numFmt w:val="decimal"/>
      <w:start w:val="9"/>
    </w:lvl>
  </w:abstractNum>
  <w:abstractNum w:abstractNumId="8">
    <w:nsid w:val="4E6AFB66"/>
    <w:multiLevelType w:val="hybridMultilevel"/>
    <w:lvl w:ilvl="0">
      <w:lvlJc w:val="left"/>
      <w:lvlText w:val="%1."/>
      <w:numFmt w:val="decimal"/>
      <w:start w:val="10"/>
    </w:lvl>
  </w:abstractNum>
  <w:abstractNum w:abstractNumId="9">
    <w:nsid w:val="25E45D32"/>
    <w:multiLevelType w:val="hybridMultilevel"/>
    <w:lvl w:ilvl="0">
      <w:lvlJc w:val="left"/>
      <w:lvlText w:val="%1."/>
      <w:numFmt w:val="decimal"/>
      <w:start w:val="11"/>
    </w:lvl>
  </w:abstractNum>
  <w:abstractNum w:abstractNumId="10">
    <w:nsid w:val="519B500D"/>
    <w:multiLevelType w:val="hybridMultilevel"/>
    <w:lvl w:ilvl="0">
      <w:lvlJc w:val="left"/>
      <w:lvlText w:val="%1."/>
      <w:numFmt w:val="decimal"/>
      <w:start w:val="12"/>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3"/>
    </w:lvl>
  </w:abstractNum>
  <w:abstractNum w:abstractNumId="13">
    <w:nsid w:val="7C83E458"/>
    <w:multiLevelType w:val="hybridMultilevel"/>
    <w:lvl w:ilvl="0">
      <w:lvlJc w:val="left"/>
      <w:lvlText w:val="%1."/>
      <w:numFmt w:val="decimal"/>
      <w:start w:val="14"/>
    </w:lvl>
  </w:abstractNum>
  <w:abstractNum w:abstractNumId="14">
    <w:nsid w:val="257130A3"/>
    <w:multiLevelType w:val="hybridMultilevel"/>
    <w:lvl w:ilvl="0">
      <w:lvlJc w:val="left"/>
      <w:lvlText w:val="%1."/>
      <w:numFmt w:val="decimal"/>
      <w:start w:val="15"/>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0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upperLetter"/>
      <w:start w:val="1"/>
    </w:lvl>
    <w:lvl w:ilvl="1">
      <w:lvlJc w:val="left"/>
      <w:lvlText w:val="(%2)"/>
      <w:numFmt w:val="decimal"/>
      <w:start w:val="1"/>
    </w:lvl>
  </w:abstractNum>
  <w:abstractNum w:abstractNumId="22">
    <w:nsid w:val="6763845E"/>
    <w:multiLevelType w:val="hybridMultilevel"/>
    <w:lvl w:ilvl="0">
      <w:lvlJc w:val="left"/>
      <w:lvlText w:val="%1."/>
      <w:numFmt w:val="upperLetter"/>
      <w:start w:val="7"/>
    </w:lvl>
    <w:lvl w:ilvl="1">
      <w:lvlJc w:val="left"/>
      <w:lvlText w:val="%2"/>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2019-12-29T17:25:21Z</dcterms:created>
  <dcterms:modified xsi:type="dcterms:W3CDTF">2019-12-29T17:25:21Z</dcterms:modified>
</cp:coreProperties>
</file>