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______________________________</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10-K</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 w:lineRule="exact"/>
        <w:rPr>
          <w:sz w:val="24"/>
          <w:szCs w:val="24"/>
          <w:color w:val="auto"/>
        </w:rPr>
      </w:pPr>
    </w:p>
    <w:p>
      <w:pPr>
        <w:ind w:right="2300" w:firstLine="6"/>
        <w:spacing w:after="0" w:line="481" w:lineRule="auto"/>
        <w:tabs>
          <w:tab w:leader="none" w:pos="477"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August 31, 2012</w:t>
      </w:r>
    </w:p>
    <w:p>
      <w:pPr>
        <w:spacing w:after="0" w:line="2" w:lineRule="exact"/>
        <w:rPr>
          <w:sz w:val="24"/>
          <w:szCs w:val="24"/>
          <w:color w:val="auto"/>
        </w:rPr>
      </w:pPr>
    </w:p>
    <w:p>
      <w:pPr>
        <w:ind w:left="160" w:hanging="154"/>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p>
    <w:p>
      <w:pPr>
        <w:spacing w:after="0" w:line="250"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For the transition period from ________________ to __________________.</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001-11038</w:t>
      </w:r>
    </w:p>
    <w:p>
      <w:pPr>
        <w:spacing w:after="0" w:line="22" w:lineRule="exact"/>
        <w:rPr>
          <w:sz w:val="24"/>
          <w:szCs w:val="24"/>
          <w:color w:val="auto"/>
        </w:rPr>
      </w:pPr>
    </w:p>
    <w:p>
      <w:pPr>
        <w:ind w:left="484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NORTHERN TECHNOLOGIES INTERNATIONAL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tbl>
      <w:tblPr>
        <w:tblLayout w:type="fixed"/>
        <w:tblInd w:w="760" w:type="dxa"/>
        <w:tblCellMar>
          <w:top w:w="0" w:type="dxa"/>
          <w:left w:w="0" w:type="dxa"/>
          <w:bottom w:w="0" w:type="dxa"/>
          <w:right w:w="0" w:type="dxa"/>
        </w:tblCellMar>
      </w:tblPr>
      <w:tr>
        <w:trPr>
          <w:trHeight w:val="203"/>
        </w:trPr>
        <w:tc>
          <w:tcPr>
            <w:tcW w:w="4300" w:type="dxa"/>
            <w:vAlign w:val="bottom"/>
          </w:tcPr>
          <w:p>
            <w:pPr>
              <w:jc w:val="center"/>
              <w:ind w:right="12"/>
              <w:spacing w:after="0" w:line="203" w:lineRule="exact"/>
              <w:rPr>
                <w:sz w:val="20"/>
                <w:szCs w:val="20"/>
                <w:color w:val="auto"/>
              </w:rPr>
            </w:pPr>
            <w:r>
              <w:rPr>
                <w:rFonts w:ascii="Arial" w:cs="Arial" w:eastAsia="Arial" w:hAnsi="Arial"/>
                <w:sz w:val="18"/>
                <w:szCs w:val="18"/>
                <w:b w:val="1"/>
                <w:bCs w:val="1"/>
                <w:color w:val="auto"/>
                <w:w w:val="91"/>
              </w:rPr>
              <w:t>Delaware</w:t>
            </w:r>
          </w:p>
        </w:tc>
        <w:tc>
          <w:tcPr>
            <w:tcW w:w="5080" w:type="dxa"/>
            <w:vAlign w:val="bottom"/>
          </w:tcPr>
          <w:p>
            <w:pPr>
              <w:jc w:val="right"/>
              <w:ind w:right="1052"/>
              <w:spacing w:after="0" w:line="203" w:lineRule="exact"/>
              <w:rPr>
                <w:sz w:val="20"/>
                <w:szCs w:val="20"/>
                <w:color w:val="auto"/>
              </w:rPr>
            </w:pPr>
            <w:r>
              <w:rPr>
                <w:rFonts w:ascii="Arial" w:cs="Arial" w:eastAsia="Arial" w:hAnsi="Arial"/>
                <w:sz w:val="18"/>
                <w:szCs w:val="18"/>
                <w:b w:val="1"/>
                <w:bCs w:val="1"/>
                <w:color w:val="auto"/>
              </w:rPr>
              <w:t>41-0857886</w:t>
            </w:r>
          </w:p>
        </w:tc>
      </w:tr>
      <w:tr>
        <w:trPr>
          <w:trHeight w:val="206"/>
        </w:trPr>
        <w:tc>
          <w:tcPr>
            <w:tcW w:w="4300" w:type="dxa"/>
            <w:vAlign w:val="bottom"/>
          </w:tcPr>
          <w:p>
            <w:pPr>
              <w:jc w:val="center"/>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5080" w:type="dxa"/>
            <w:vAlign w:val="bottom"/>
          </w:tcPr>
          <w:p>
            <w:pPr>
              <w:jc w:val="center"/>
              <w:ind w:left="1852"/>
              <w:spacing w:after="0"/>
              <w:rPr>
                <w:sz w:val="20"/>
                <w:szCs w:val="20"/>
                <w:color w:val="auto"/>
              </w:rPr>
            </w:pPr>
            <w:r>
              <w:rPr>
                <w:rFonts w:ascii="Arial" w:cs="Arial" w:eastAsia="Arial" w:hAnsi="Arial"/>
                <w:sz w:val="18"/>
                <w:szCs w:val="18"/>
                <w:color w:val="auto"/>
                <w:w w:val="93"/>
              </w:rPr>
              <w:t>(I.R.S. Employer Identification No.)</w:t>
            </w:r>
          </w:p>
        </w:tc>
      </w:tr>
      <w:tr>
        <w:trPr>
          <w:trHeight w:val="212"/>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88"/>
              </w:rPr>
              <w:t>4201 Woodland Road</w:t>
            </w:r>
          </w:p>
        </w:tc>
        <w:tc>
          <w:tcPr>
            <w:tcW w:w="5080" w:type="dxa"/>
            <w:vAlign w:val="bottom"/>
          </w:tcPr>
          <w:p>
            <w:pPr>
              <w:spacing w:after="0"/>
              <w:rPr>
                <w:sz w:val="18"/>
                <w:szCs w:val="18"/>
                <w:color w:val="auto"/>
              </w:rPr>
            </w:pPr>
          </w:p>
        </w:tc>
      </w:tr>
      <w:tr>
        <w:trPr>
          <w:trHeight w:val="212"/>
        </w:trPr>
        <w:tc>
          <w:tcPr>
            <w:tcW w:w="430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P.O. Box 69</w:t>
            </w:r>
          </w:p>
        </w:tc>
        <w:tc>
          <w:tcPr>
            <w:tcW w:w="5080" w:type="dxa"/>
            <w:vAlign w:val="bottom"/>
          </w:tcPr>
          <w:p>
            <w:pPr>
              <w:spacing w:after="0"/>
              <w:rPr>
                <w:sz w:val="18"/>
                <w:szCs w:val="18"/>
                <w:color w:val="auto"/>
              </w:rPr>
            </w:pPr>
          </w:p>
        </w:tc>
      </w:tr>
      <w:tr>
        <w:trPr>
          <w:trHeight w:val="218"/>
        </w:trPr>
        <w:tc>
          <w:tcPr>
            <w:tcW w:w="430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Circle Pines, Minnesota</w:t>
            </w:r>
          </w:p>
        </w:tc>
        <w:tc>
          <w:tcPr>
            <w:tcW w:w="5080" w:type="dxa"/>
            <w:vAlign w:val="bottom"/>
          </w:tcPr>
          <w:p>
            <w:pPr>
              <w:jc w:val="right"/>
              <w:ind w:right="1252"/>
              <w:spacing w:after="0"/>
              <w:rPr>
                <w:sz w:val="20"/>
                <w:szCs w:val="20"/>
                <w:color w:val="auto"/>
              </w:rPr>
            </w:pPr>
            <w:r>
              <w:rPr>
                <w:rFonts w:ascii="Arial" w:cs="Arial" w:eastAsia="Arial" w:hAnsi="Arial"/>
                <w:sz w:val="18"/>
                <w:szCs w:val="18"/>
                <w:b w:val="1"/>
                <w:bCs w:val="1"/>
                <w:color w:val="auto"/>
              </w:rPr>
              <w:t>55014</w:t>
            </w:r>
          </w:p>
        </w:tc>
      </w:tr>
      <w:tr>
        <w:trPr>
          <w:trHeight w:val="223"/>
        </w:trPr>
        <w:tc>
          <w:tcPr>
            <w:tcW w:w="4300" w:type="dxa"/>
            <w:vAlign w:val="bottom"/>
          </w:tcPr>
          <w:p>
            <w:pPr>
              <w:jc w:val="center"/>
              <w:ind w:right="12"/>
              <w:spacing w:after="0"/>
              <w:rPr>
                <w:sz w:val="20"/>
                <w:szCs w:val="20"/>
                <w:color w:val="auto"/>
              </w:rPr>
            </w:pPr>
            <w:r>
              <w:rPr>
                <w:rFonts w:ascii="Arial" w:cs="Arial" w:eastAsia="Arial" w:hAnsi="Arial"/>
                <w:sz w:val="18"/>
                <w:szCs w:val="18"/>
                <w:color w:val="auto"/>
                <w:w w:val="90"/>
              </w:rPr>
              <w:t>(Address of principal executive offices)</w:t>
            </w:r>
          </w:p>
        </w:tc>
        <w:tc>
          <w:tcPr>
            <w:tcW w:w="5080" w:type="dxa"/>
            <w:vAlign w:val="bottom"/>
          </w:tcPr>
          <w:p>
            <w:pPr>
              <w:jc w:val="center"/>
              <w:ind w:left="1852"/>
              <w:spacing w:after="0"/>
              <w:rPr>
                <w:sz w:val="20"/>
                <w:szCs w:val="20"/>
                <w:color w:val="auto"/>
              </w:rPr>
            </w:pPr>
            <w:r>
              <w:rPr>
                <w:rFonts w:ascii="Arial" w:cs="Arial" w:eastAsia="Arial" w:hAnsi="Arial"/>
                <w:sz w:val="18"/>
                <w:szCs w:val="18"/>
                <w:color w:val="auto"/>
                <w:w w:val="91"/>
              </w:rPr>
              <w:t>(Zip Code)</w:t>
            </w:r>
          </w:p>
        </w:tc>
      </w:tr>
      <w:tr>
        <w:trPr>
          <w:trHeight w:val="439"/>
        </w:trPr>
        <w:tc>
          <w:tcPr>
            <w:tcW w:w="4300" w:type="dxa"/>
            <w:vAlign w:val="bottom"/>
          </w:tcPr>
          <w:p>
            <w:pPr>
              <w:spacing w:after="0"/>
              <w:rPr>
                <w:sz w:val="24"/>
                <w:szCs w:val="24"/>
                <w:color w:val="auto"/>
              </w:rPr>
            </w:pPr>
          </w:p>
        </w:tc>
        <w:tc>
          <w:tcPr>
            <w:tcW w:w="5080" w:type="dxa"/>
            <w:vAlign w:val="bottom"/>
          </w:tcPr>
          <w:p>
            <w:pPr>
              <w:jc w:val="center"/>
              <w:ind w:right="3692"/>
              <w:spacing w:after="0"/>
              <w:rPr>
                <w:sz w:val="20"/>
                <w:szCs w:val="20"/>
                <w:color w:val="auto"/>
              </w:rPr>
            </w:pPr>
            <w:r>
              <w:rPr>
                <w:rFonts w:ascii="Arial" w:cs="Arial" w:eastAsia="Arial" w:hAnsi="Arial"/>
                <w:sz w:val="18"/>
                <w:szCs w:val="18"/>
                <w:b w:val="1"/>
                <w:bCs w:val="1"/>
                <w:color w:val="auto"/>
                <w:w w:val="89"/>
              </w:rPr>
              <w:t>(763) 225-6600</w:t>
            </w:r>
          </w:p>
        </w:tc>
      </w:tr>
      <w:tr>
        <w:trPr>
          <w:trHeight w:val="223"/>
        </w:trPr>
        <w:tc>
          <w:tcPr>
            <w:tcW w:w="9380" w:type="dxa"/>
            <w:vAlign w:val="bottom"/>
            <w:gridSpan w:val="2"/>
          </w:tcPr>
          <w:p>
            <w:pPr>
              <w:jc w:val="center"/>
              <w:ind w:left="432"/>
              <w:spacing w:after="0"/>
              <w:rPr>
                <w:sz w:val="20"/>
                <w:szCs w:val="20"/>
                <w:color w:val="auto"/>
              </w:rPr>
            </w:pPr>
            <w:r>
              <w:rPr>
                <w:rFonts w:ascii="Arial" w:cs="Arial" w:eastAsia="Arial" w:hAnsi="Arial"/>
                <w:sz w:val="18"/>
                <w:szCs w:val="18"/>
                <w:color w:val="auto"/>
                <w:w w:val="88"/>
              </w:rPr>
              <w:t>(Registrant’s telephone number, including area code)</w:t>
            </w:r>
          </w:p>
        </w:tc>
      </w:tr>
      <w:tr>
        <w:trPr>
          <w:trHeight w:val="451"/>
        </w:trPr>
        <w:tc>
          <w:tcPr>
            <w:tcW w:w="9380" w:type="dxa"/>
            <w:vAlign w:val="bottom"/>
            <w:gridSpan w:val="2"/>
          </w:tcPr>
          <w:p>
            <w:pPr>
              <w:jc w:val="center"/>
              <w:ind w:left="452"/>
              <w:spacing w:after="0"/>
              <w:rPr>
                <w:sz w:val="20"/>
                <w:szCs w:val="20"/>
                <w:color w:val="auto"/>
              </w:rPr>
            </w:pPr>
            <w:r>
              <w:rPr>
                <w:rFonts w:ascii="Arial" w:cs="Arial" w:eastAsia="Arial" w:hAnsi="Arial"/>
                <w:sz w:val="18"/>
                <w:szCs w:val="18"/>
                <w:color w:val="auto"/>
                <w:w w:val="89"/>
              </w:rPr>
              <w:t>Securities registered under Section 12(b) of the Act:</w:t>
            </w:r>
          </w:p>
        </w:tc>
      </w:tr>
      <w:tr>
        <w:trPr>
          <w:trHeight w:val="433"/>
        </w:trPr>
        <w:tc>
          <w:tcPr>
            <w:tcW w:w="4300" w:type="dxa"/>
            <w:vAlign w:val="bottom"/>
          </w:tcPr>
          <w:p>
            <w:pPr>
              <w:jc w:val="center"/>
              <w:ind w:right="12"/>
              <w:spacing w:after="0"/>
              <w:rPr>
                <w:sz w:val="20"/>
                <w:szCs w:val="20"/>
                <w:color w:val="auto"/>
              </w:rPr>
            </w:pPr>
            <w:r>
              <w:rPr>
                <w:rFonts w:ascii="Arial" w:cs="Arial" w:eastAsia="Arial" w:hAnsi="Arial"/>
                <w:sz w:val="18"/>
                <w:szCs w:val="18"/>
                <w:color w:val="auto"/>
                <w:w w:val="88"/>
              </w:rPr>
              <w:t>Title of each class</w:t>
            </w:r>
          </w:p>
        </w:tc>
        <w:tc>
          <w:tcPr>
            <w:tcW w:w="5080" w:type="dxa"/>
            <w:vAlign w:val="bottom"/>
          </w:tcPr>
          <w:p>
            <w:pPr>
              <w:jc w:val="center"/>
              <w:ind w:left="1852"/>
              <w:spacing w:after="0"/>
              <w:rPr>
                <w:sz w:val="20"/>
                <w:szCs w:val="20"/>
                <w:color w:val="auto"/>
              </w:rPr>
            </w:pPr>
            <w:r>
              <w:rPr>
                <w:rFonts w:ascii="Arial" w:cs="Arial" w:eastAsia="Arial" w:hAnsi="Arial"/>
                <w:sz w:val="18"/>
                <w:szCs w:val="18"/>
                <w:color w:val="auto"/>
                <w:w w:val="88"/>
              </w:rPr>
              <w:t>Name of each exchange on which registered</w:t>
            </w:r>
          </w:p>
        </w:tc>
      </w:tr>
      <w:tr>
        <w:trPr>
          <w:trHeight w:val="212"/>
        </w:trPr>
        <w:tc>
          <w:tcPr>
            <w:tcW w:w="430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Common Stock, par value $0.02 per share</w:t>
            </w:r>
          </w:p>
        </w:tc>
        <w:tc>
          <w:tcPr>
            <w:tcW w:w="5080" w:type="dxa"/>
            <w:vAlign w:val="bottom"/>
          </w:tcPr>
          <w:p>
            <w:pPr>
              <w:jc w:val="center"/>
              <w:ind w:left="1852"/>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29"/>
        </w:trPr>
        <w:tc>
          <w:tcPr>
            <w:tcW w:w="4300" w:type="dxa"/>
            <w:vAlign w:val="bottom"/>
          </w:tcPr>
          <w:p>
            <w:pPr>
              <w:spacing w:after="0"/>
              <w:rPr>
                <w:sz w:val="19"/>
                <w:szCs w:val="19"/>
                <w:color w:val="auto"/>
              </w:rPr>
            </w:pPr>
          </w:p>
        </w:tc>
        <w:tc>
          <w:tcPr>
            <w:tcW w:w="5080" w:type="dxa"/>
            <w:vAlign w:val="bottom"/>
          </w:tcPr>
          <w:p>
            <w:pPr>
              <w:jc w:val="center"/>
              <w:ind w:left="1852"/>
              <w:spacing w:after="0"/>
              <w:rPr>
                <w:sz w:val="20"/>
                <w:szCs w:val="20"/>
                <w:color w:val="auto"/>
              </w:rPr>
            </w:pPr>
            <w:r>
              <w:rPr>
                <w:rFonts w:ascii="Arial" w:cs="Arial" w:eastAsia="Arial" w:hAnsi="Arial"/>
                <w:sz w:val="18"/>
                <w:szCs w:val="18"/>
                <w:b w:val="1"/>
                <w:bCs w:val="1"/>
                <w:color w:val="auto"/>
                <w:w w:val="94"/>
              </w:rPr>
              <w:t>(NASDAQ Global Market)</w:t>
            </w:r>
          </w:p>
        </w:tc>
      </w:tr>
    </w:tbl>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under Section 12(g) of the Act:</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32" w:lineRule="exact"/>
        <w:rPr>
          <w:sz w:val="24"/>
          <w:szCs w:val="24"/>
          <w:color w:val="auto"/>
        </w:rPr>
      </w:pPr>
    </w:p>
    <w:p>
      <w:pPr>
        <w:ind w:left="32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 NO S</w:t>
      </w:r>
    </w:p>
    <w:p>
      <w:pPr>
        <w:spacing w:after="0" w:line="217" w:lineRule="exact"/>
        <w:rPr>
          <w:sz w:val="24"/>
          <w:szCs w:val="24"/>
          <w:color w:val="auto"/>
        </w:rPr>
      </w:pPr>
    </w:p>
    <w:p>
      <w:pPr>
        <w:ind w:left="32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 NO S</w:t>
      </w:r>
    </w:p>
    <w:p>
      <w:pPr>
        <w:spacing w:after="0" w:line="217" w:lineRule="exact"/>
        <w:rPr>
          <w:sz w:val="24"/>
          <w:szCs w:val="24"/>
          <w:color w:val="auto"/>
        </w:rPr>
      </w:pPr>
    </w:p>
    <w:p>
      <w:pPr>
        <w:jc w:val="both"/>
        <w:ind w:firstLine="318"/>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w:t>
      </w:r>
    </w:p>
    <w:p>
      <w:pPr>
        <w:spacing w:after="0" w:line="189" w:lineRule="exact"/>
        <w:rPr>
          <w:sz w:val="24"/>
          <w:szCs w:val="24"/>
          <w:color w:val="auto"/>
        </w:rPr>
      </w:pPr>
    </w:p>
    <w:p>
      <w:pPr>
        <w:jc w:val="both"/>
        <w:ind w:firstLine="318"/>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S NO £</w:t>
      </w:r>
    </w:p>
    <w:p>
      <w:pPr>
        <w:spacing w:after="0" w:line="189" w:lineRule="exact"/>
        <w:rPr>
          <w:sz w:val="24"/>
          <w:szCs w:val="24"/>
          <w:color w:val="auto"/>
        </w:rPr>
      </w:pPr>
    </w:p>
    <w:p>
      <w:pPr>
        <w:jc w:val="both"/>
        <w:ind w:right="720" w:firstLine="318"/>
        <w:spacing w:after="0" w:line="255"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p>
    <w:p>
      <w:pPr>
        <w:spacing w:after="0" w:line="189" w:lineRule="exact"/>
        <w:rPr>
          <w:sz w:val="24"/>
          <w:szCs w:val="24"/>
          <w:color w:val="auto"/>
        </w:rPr>
      </w:pPr>
    </w:p>
    <w:p>
      <w:pPr>
        <w:ind w:firstLine="318"/>
        <w:spacing w:after="0" w:line="366"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18" w:right="239" w:bottom="362" w:gutter="0" w:footer="0" w:header="0"/>
        </w:sectPr>
      </w:pPr>
    </w:p>
    <w:p>
      <w:pPr>
        <w:spacing w:after="0" w:line="110" w:lineRule="exact"/>
        <w:rPr>
          <w:sz w:val="24"/>
          <w:szCs w:val="24"/>
          <w:color w:val="auto"/>
        </w:rPr>
      </w:pPr>
    </w:p>
    <w:p>
      <w:pPr>
        <w:ind w:left="540"/>
        <w:spacing w:after="0"/>
        <w:rPr>
          <w:sz w:val="20"/>
          <w:szCs w:val="20"/>
          <w:color w:val="auto"/>
        </w:rPr>
      </w:pPr>
      <w:r>
        <w:rPr>
          <w:rFonts w:ascii="Arial" w:cs="Arial" w:eastAsia="Arial" w:hAnsi="Arial"/>
          <w:sz w:val="15"/>
          <w:szCs w:val="15"/>
          <w:color w:val="auto"/>
        </w:rPr>
        <w:t>Large accelerated filer £</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Non-accelerated filer £</w:t>
      </w:r>
    </w:p>
    <w:p>
      <w:pPr>
        <w:spacing w:after="0" w:line="16" w:lineRule="exact"/>
        <w:rPr>
          <w:sz w:val="24"/>
          <w:szCs w:val="24"/>
          <w:color w:val="auto"/>
        </w:rPr>
      </w:pPr>
    </w:p>
    <w:p>
      <w:pPr>
        <w:jc w:val="center"/>
        <w:ind w:right="60"/>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 S</w:t>
      </w:r>
    </w:p>
    <w:p>
      <w:pPr>
        <w:spacing w:after="0" w:line="423" w:lineRule="exact"/>
        <w:rPr>
          <w:sz w:val="24"/>
          <w:szCs w:val="24"/>
          <w:color w:val="auto"/>
        </w:rPr>
      </w:pPr>
    </w:p>
    <w:p>
      <w:pPr>
        <w:sectPr>
          <w:pgSz w:w="11900" w:h="16838" w:orient="portrait"/>
          <w:cols w:equalWidth="0" w:num="4">
            <w:col w:w="2260" w:space="720"/>
            <w:col w:w="1320" w:space="560"/>
            <w:col w:w="3340" w:space="720"/>
            <w:col w:w="2500"/>
          </w:cols>
          <w:pgMar w:left="240" w:top="218" w:right="239" w:bottom="362" w:gutter="0" w:footer="0" w:header="0"/>
          <w:type w:val="continuous"/>
        </w:sectPr>
      </w:pPr>
    </w:p>
    <w:p>
      <w:pPr>
        <w:spacing w:after="0" w:line="67" w:lineRule="exact"/>
        <w:rPr>
          <w:sz w:val="24"/>
          <w:szCs w:val="24"/>
          <w:color w:val="auto"/>
        </w:rPr>
      </w:pPr>
    </w:p>
    <w:p>
      <w:pPr>
        <w:ind w:left="320"/>
        <w:spacing w:after="0"/>
        <w:rPr>
          <w:sz w:val="20"/>
          <w:szCs w:val="20"/>
          <w:color w:val="auto"/>
        </w:rPr>
      </w:pPr>
      <w:r>
        <w:rPr>
          <w:rFonts w:ascii="Arial" w:cs="Arial" w:eastAsia="Arial" w:hAnsi="Arial"/>
          <w:sz w:val="18"/>
          <w:szCs w:val="18"/>
          <w:color w:val="auto"/>
        </w:rPr>
        <w:t>Indicate by check mark whether registrant is a shell company (as defined in Rule 12b-2 of the Act). YES £ NO S</w:t>
      </w:r>
    </w:p>
    <w:p>
      <w:pPr>
        <w:spacing w:after="0" w:line="217" w:lineRule="exact"/>
        <w:rPr>
          <w:sz w:val="24"/>
          <w:szCs w:val="24"/>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aggregate market value of the registrant’s common stock, excluding shares beneficially owned by affiliates, computed by reference to the closing sales price at which the common stock was last sold as of February 29, 2012 (the last business day of the registrant’s second fiscal quarter) as reported by the NASDAQ Global Market on that date was $57.0 million.</w:t>
      </w:r>
    </w:p>
    <w:p>
      <w:pPr>
        <w:spacing w:after="0" w:line="189"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As of November 19, 2012, 4,418,487 shares of common stock of the registrant were outstanding.</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0" w:lineRule="exact"/>
        <w:rPr>
          <w:sz w:val="24"/>
          <w:szCs w:val="24"/>
          <w:color w:val="auto"/>
        </w:rPr>
      </w:pPr>
    </w:p>
    <w:p>
      <w:pPr>
        <w:jc w:val="both"/>
        <w:ind w:firstLine="318"/>
        <w:spacing w:after="0" w:line="265" w:lineRule="auto"/>
        <w:rPr>
          <w:sz w:val="20"/>
          <w:szCs w:val="20"/>
          <w:color w:val="auto"/>
        </w:rPr>
      </w:pPr>
      <w:r>
        <w:rPr>
          <w:rFonts w:ascii="Arial" w:cs="Arial" w:eastAsia="Arial" w:hAnsi="Arial"/>
          <w:sz w:val="18"/>
          <w:szCs w:val="18"/>
          <w:color w:val="auto"/>
        </w:rPr>
        <w:t>Part III of this Annual Report on Form 10-K incorporates by reference information (to the extent specific sections are referred to herein) from the registrant’s Proxy Statement for its 2013 Annual Meeting of Stockholders to be held January 17,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237490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18" w:right="239" w:bottom="36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100" w:type="dxa"/>
            <w:vAlign w:val="bottom"/>
            <w:gridSpan w:val="15"/>
          </w:tcPr>
          <w:p>
            <w:pPr>
              <w:jc w:val="center"/>
              <w:ind w:right="2600"/>
              <w:spacing w:after="0"/>
              <w:rPr>
                <w:sz w:val="20"/>
                <w:szCs w:val="20"/>
                <w:color w:val="auto"/>
              </w:rPr>
            </w:pPr>
            <w:r>
              <w:rPr>
                <w:rFonts w:ascii="Arial" w:cs="Arial" w:eastAsia="Arial" w:hAnsi="Arial"/>
                <w:sz w:val="18"/>
                <w:szCs w:val="18"/>
                <w:b w:val="1"/>
                <w:bCs w:val="1"/>
                <w:color w:val="auto"/>
                <w:w w:val="99"/>
              </w:rPr>
              <w:t>NORTHERN TECHNOLOGIES INTERNATIONAL CORPORATION</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80" w:type="dxa"/>
            <w:vAlign w:val="bottom"/>
            <w:gridSpan w:val="11"/>
          </w:tcPr>
          <w:p>
            <w:pPr>
              <w:jc w:val="center"/>
              <w:ind w:right="3900"/>
              <w:spacing w:after="0"/>
              <w:rPr>
                <w:sz w:val="20"/>
                <w:szCs w:val="20"/>
                <w:color w:val="auto"/>
              </w:rPr>
            </w:pPr>
            <w:r>
              <w:rPr>
                <w:rFonts w:ascii="Arial" w:cs="Arial" w:eastAsia="Arial" w:hAnsi="Arial"/>
                <w:sz w:val="18"/>
                <w:szCs w:val="18"/>
                <w:b w:val="1"/>
                <w:bCs w:val="1"/>
                <w:color w:val="auto"/>
                <w:w w:val="97"/>
              </w:rPr>
              <w:t>ANNUAL REPORT ON FORM 10-K</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180" w:type="dxa"/>
            <w:vAlign w:val="bottom"/>
            <w:gridSpan w:val="13"/>
          </w:tcPr>
          <w:p>
            <w:pPr>
              <w:jc w:val="center"/>
              <w:ind w:right="3520"/>
              <w:spacing w:after="0"/>
              <w:rPr>
                <w:sz w:val="20"/>
                <w:szCs w:val="20"/>
                <w:color w:val="auto"/>
              </w:rPr>
            </w:pPr>
            <w:r>
              <w:rPr>
                <w:rFonts w:ascii="Arial" w:cs="Arial" w:eastAsia="Arial" w:hAnsi="Arial"/>
                <w:sz w:val="18"/>
                <w:szCs w:val="18"/>
                <w:b w:val="1"/>
                <w:bCs w:val="1"/>
                <w:color w:val="auto"/>
                <w:w w:val="95"/>
              </w:rPr>
              <w:t>FISCAL YEAR ENDED AUGUST 31, 2012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51"/>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60" w:type="dxa"/>
            <w:vAlign w:val="bottom"/>
            <w:gridSpan w:val="10"/>
          </w:tcPr>
          <w:p>
            <w:pPr>
              <w:jc w:val="center"/>
              <w:ind w:right="4140"/>
              <w:spacing w:after="0"/>
              <w:rPr>
                <w:sz w:val="20"/>
                <w:szCs w:val="20"/>
                <w:color w:val="auto"/>
              </w:rPr>
            </w:pPr>
            <w:r>
              <w:rPr>
                <w:rFonts w:ascii="Arial" w:cs="Arial" w:eastAsia="Arial" w:hAnsi="Arial"/>
                <w:sz w:val="18"/>
                <w:szCs w:val="18"/>
                <w:b w:val="1"/>
                <w:bCs w:val="1"/>
                <w:color w:val="auto"/>
                <w:w w:val="97"/>
              </w:rPr>
              <w:t>TABLE OF CONTENTS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404"/>
        </w:trPr>
        <w:tc>
          <w:tcPr>
            <w:tcW w:w="540" w:type="dxa"/>
            <w:vAlign w:val="bottom"/>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PART I</w:t>
              </w:r>
            </w:hyperlink>
          </w:p>
        </w:tc>
        <w:tc>
          <w:tcPr>
            <w:tcW w:w="1180" w:type="dxa"/>
            <w:vAlign w:val="bottom"/>
            <w:gridSpan w:val="6"/>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line="192" w:lineRule="exact"/>
              <w:rPr>
                <w:rFonts w:ascii="Arial" w:cs="Arial" w:eastAsia="Arial" w:hAnsi="Arial"/>
                <w:sz w:val="18"/>
                <w:szCs w:val="18"/>
                <w:color w:val="0000EE"/>
                <w:w w:val="72"/>
              </w:rPr>
            </w:pPr>
            <w:hyperlink w:anchor="page4">
              <w:r>
                <w:rPr>
                  <w:rFonts w:ascii="Arial" w:cs="Arial" w:eastAsia="Arial" w:hAnsi="Arial"/>
                  <w:sz w:val="18"/>
                  <w:szCs w:val="18"/>
                  <w:color w:val="0000EE"/>
                  <w:w w:val="72"/>
                </w:rPr>
                <w:t>Item 1.</w:t>
              </w:r>
            </w:hyperlink>
          </w:p>
        </w:tc>
        <w:tc>
          <w:tcPr>
            <w:tcW w:w="620" w:type="dxa"/>
            <w:vAlign w:val="bottom"/>
            <w:gridSpan w:val="4"/>
          </w:tcPr>
          <w:p>
            <w:pPr>
              <w:spacing w:after="0"/>
              <w:rPr>
                <w:sz w:val="16"/>
                <w:szCs w:val="16"/>
                <w:color w:val="auto"/>
              </w:rPr>
            </w:pPr>
          </w:p>
        </w:tc>
        <w:tc>
          <w:tcPr>
            <w:tcW w:w="9340" w:type="dxa"/>
            <w:vAlign w:val="bottom"/>
            <w:gridSpan w:val="20"/>
          </w:tcPr>
          <w:p>
            <w:pPr>
              <w:spacing w:after="0" w:line="192"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60" w:type="dxa"/>
            <w:vAlign w:val="bottom"/>
            <w:gridSpan w:val="3"/>
          </w:tcPr>
          <w:p>
            <w:pPr>
              <w:jc w:val="right"/>
              <w:spacing w:after="0" w:line="192"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0000EE"/>
            </w:tcBorders>
            <w:gridSpan w:val="4"/>
          </w:tcPr>
          <w:p>
            <w:pPr>
              <w:spacing w:after="0" w:line="192" w:lineRule="exact"/>
              <w:rPr>
                <w:rFonts w:ascii="Arial" w:cs="Arial" w:eastAsia="Arial" w:hAnsi="Arial"/>
                <w:sz w:val="18"/>
                <w:szCs w:val="18"/>
                <w:color w:val="0000EE"/>
                <w:w w:val="83"/>
              </w:rPr>
            </w:pPr>
            <w:hyperlink w:anchor="page16">
              <w:r>
                <w:rPr>
                  <w:rFonts w:ascii="Arial" w:cs="Arial" w:eastAsia="Arial" w:hAnsi="Arial"/>
                  <w:sz w:val="18"/>
                  <w:szCs w:val="18"/>
                  <w:color w:val="0000EE"/>
                  <w:w w:val="83"/>
                </w:rPr>
                <w:t>Item 1A.</w:t>
              </w:r>
            </w:hyperlink>
          </w:p>
        </w:tc>
        <w:tc>
          <w:tcPr>
            <w:tcW w:w="480" w:type="dxa"/>
            <w:vAlign w:val="bottom"/>
          </w:tcPr>
          <w:p>
            <w:pPr>
              <w:spacing w:after="0"/>
              <w:rPr>
                <w:sz w:val="16"/>
                <w:szCs w:val="16"/>
                <w:color w:val="auto"/>
              </w:rPr>
            </w:pPr>
          </w:p>
        </w:tc>
        <w:tc>
          <w:tcPr>
            <w:tcW w:w="1240" w:type="dxa"/>
            <w:vAlign w:val="bottom"/>
            <w:tcBorders>
              <w:bottom w:val="single" w:sz="8" w:color="0000EE"/>
            </w:tcBorders>
            <w:gridSpan w:val="5"/>
          </w:tcPr>
          <w:p>
            <w:pPr>
              <w:spacing w:after="0" w:line="192"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RISK FACTORS</w:t>
              </w:r>
            </w:hyperlink>
          </w:p>
        </w:tc>
        <w:tc>
          <w:tcPr>
            <w:tcW w:w="8100" w:type="dxa"/>
            <w:vAlign w:val="bottom"/>
            <w:gridSpan w:val="15"/>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13</w:t>
              </w:r>
            </w:hyperlink>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0000EE"/>
            </w:tcBorders>
            <w:gridSpan w:val="3"/>
          </w:tcPr>
          <w:p>
            <w:pPr>
              <w:spacing w:after="0" w:line="192" w:lineRule="exact"/>
              <w:rPr>
                <w:rFonts w:ascii="Arial" w:cs="Arial" w:eastAsia="Arial" w:hAnsi="Arial"/>
                <w:sz w:val="18"/>
                <w:szCs w:val="18"/>
                <w:color w:val="0000EE"/>
                <w:w w:val="77"/>
              </w:rPr>
            </w:pPr>
            <w:hyperlink w:anchor="page31">
              <w:r>
                <w:rPr>
                  <w:rFonts w:ascii="Arial" w:cs="Arial" w:eastAsia="Arial" w:hAnsi="Arial"/>
                  <w:sz w:val="18"/>
                  <w:szCs w:val="18"/>
                  <w:color w:val="0000EE"/>
                  <w:w w:val="77"/>
                </w:rPr>
                <w:t>Item 1B.</w:t>
              </w:r>
            </w:hyperlink>
          </w:p>
        </w:tc>
        <w:tc>
          <w:tcPr>
            <w:tcW w:w="500" w:type="dxa"/>
            <w:vAlign w:val="bottom"/>
            <w:gridSpan w:val="2"/>
          </w:tcPr>
          <w:p>
            <w:pPr>
              <w:spacing w:after="0"/>
              <w:rPr>
                <w:sz w:val="16"/>
                <w:szCs w:val="16"/>
                <w:color w:val="auto"/>
              </w:rPr>
            </w:pPr>
          </w:p>
        </w:tc>
        <w:tc>
          <w:tcPr>
            <w:tcW w:w="2780" w:type="dxa"/>
            <w:vAlign w:val="bottom"/>
            <w:tcBorders>
              <w:bottom w:val="single" w:sz="8" w:color="0000EE"/>
            </w:tcBorders>
            <w:gridSpan w:val="10"/>
          </w:tcPr>
          <w:p>
            <w:pPr>
              <w:spacing w:after="0" w:line="192"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UNRESOLVED STAFF COMMENTS</w:t>
              </w:r>
            </w:hyperlink>
          </w:p>
        </w:tc>
        <w:tc>
          <w:tcPr>
            <w:tcW w:w="6560" w:type="dxa"/>
            <w:vAlign w:val="bottom"/>
            <w:gridSpan w:val="10"/>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28</w:t>
              </w:r>
            </w:hyperlink>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0000EE"/>
            </w:tcBorders>
          </w:tcPr>
          <w:p>
            <w:pPr>
              <w:spacing w:after="0" w:line="192" w:lineRule="exact"/>
              <w:rPr>
                <w:rFonts w:ascii="Arial" w:cs="Arial" w:eastAsia="Arial" w:hAnsi="Arial"/>
                <w:sz w:val="18"/>
                <w:szCs w:val="18"/>
                <w:color w:val="0000EE"/>
                <w:w w:val="72"/>
              </w:rPr>
            </w:pPr>
            <w:hyperlink w:anchor="page31">
              <w:r>
                <w:rPr>
                  <w:rFonts w:ascii="Arial" w:cs="Arial" w:eastAsia="Arial" w:hAnsi="Arial"/>
                  <w:sz w:val="18"/>
                  <w:szCs w:val="18"/>
                  <w:color w:val="0000EE"/>
                  <w:w w:val="72"/>
                </w:rPr>
                <w:t>Item 2.</w:t>
              </w:r>
            </w:hyperlink>
          </w:p>
        </w:tc>
        <w:tc>
          <w:tcPr>
            <w:tcW w:w="620" w:type="dxa"/>
            <w:vAlign w:val="bottom"/>
            <w:gridSpan w:val="4"/>
          </w:tcPr>
          <w:p>
            <w:pPr>
              <w:spacing w:after="0"/>
              <w:rPr>
                <w:sz w:val="16"/>
                <w:szCs w:val="16"/>
                <w:color w:val="auto"/>
              </w:rPr>
            </w:pPr>
          </w:p>
        </w:tc>
        <w:tc>
          <w:tcPr>
            <w:tcW w:w="1040" w:type="dxa"/>
            <w:vAlign w:val="bottom"/>
            <w:tcBorders>
              <w:bottom w:val="single" w:sz="8" w:color="0000EE"/>
            </w:tcBorders>
            <w:gridSpan w:val="2"/>
          </w:tcPr>
          <w:p>
            <w:pPr>
              <w:spacing w:after="0" w:line="192"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PROPERTIES</w:t>
              </w:r>
            </w:hyperlink>
          </w:p>
        </w:tc>
        <w:tc>
          <w:tcPr>
            <w:tcW w:w="8300" w:type="dxa"/>
            <w:vAlign w:val="bottom"/>
            <w:gridSpan w:val="18"/>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28</w:t>
              </w:r>
            </w:hyperlink>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0000EE"/>
            </w:tcBorders>
          </w:tcPr>
          <w:p>
            <w:pPr>
              <w:spacing w:after="0" w:line="192" w:lineRule="exact"/>
              <w:rPr>
                <w:rFonts w:ascii="Arial" w:cs="Arial" w:eastAsia="Arial" w:hAnsi="Arial"/>
                <w:sz w:val="18"/>
                <w:szCs w:val="18"/>
                <w:color w:val="0000EE"/>
                <w:w w:val="72"/>
              </w:rPr>
            </w:pPr>
            <w:hyperlink w:anchor="page31">
              <w:r>
                <w:rPr>
                  <w:rFonts w:ascii="Arial" w:cs="Arial" w:eastAsia="Arial" w:hAnsi="Arial"/>
                  <w:sz w:val="18"/>
                  <w:szCs w:val="18"/>
                  <w:color w:val="0000EE"/>
                  <w:w w:val="72"/>
                </w:rPr>
                <w:t>Item 3.</w:t>
              </w:r>
            </w:hyperlink>
          </w:p>
        </w:tc>
        <w:tc>
          <w:tcPr>
            <w:tcW w:w="620" w:type="dxa"/>
            <w:vAlign w:val="bottom"/>
            <w:gridSpan w:val="4"/>
          </w:tcPr>
          <w:p>
            <w:pPr>
              <w:spacing w:after="0"/>
              <w:rPr>
                <w:sz w:val="16"/>
                <w:szCs w:val="16"/>
                <w:color w:val="auto"/>
              </w:rPr>
            </w:pPr>
          </w:p>
        </w:tc>
        <w:tc>
          <w:tcPr>
            <w:tcW w:w="1860" w:type="dxa"/>
            <w:vAlign w:val="bottom"/>
            <w:tcBorders>
              <w:bottom w:val="single" w:sz="8" w:color="0000EE"/>
            </w:tcBorders>
            <w:gridSpan w:val="6"/>
          </w:tcPr>
          <w:p>
            <w:pPr>
              <w:spacing w:after="0" w:line="192"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LEGAL PROCEEDINGS</w:t>
              </w:r>
            </w:hyperlink>
          </w:p>
        </w:tc>
        <w:tc>
          <w:tcPr>
            <w:tcW w:w="7480" w:type="dxa"/>
            <w:vAlign w:val="bottom"/>
            <w:gridSpan w:val="14"/>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28</w:t>
              </w:r>
            </w:hyperlink>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line="192" w:lineRule="exact"/>
              <w:rPr>
                <w:rFonts w:ascii="Arial" w:cs="Arial" w:eastAsia="Arial" w:hAnsi="Arial"/>
                <w:sz w:val="18"/>
                <w:szCs w:val="18"/>
                <w:color w:val="0000EE"/>
                <w:w w:val="72"/>
              </w:rPr>
            </w:pPr>
            <w:hyperlink w:anchor="page31">
              <w:r>
                <w:rPr>
                  <w:rFonts w:ascii="Arial" w:cs="Arial" w:eastAsia="Arial" w:hAnsi="Arial"/>
                  <w:sz w:val="18"/>
                  <w:szCs w:val="18"/>
                  <w:color w:val="0000EE"/>
                  <w:w w:val="72"/>
                </w:rPr>
                <w:t>Item 4.</w:t>
              </w:r>
            </w:hyperlink>
          </w:p>
        </w:tc>
        <w:tc>
          <w:tcPr>
            <w:tcW w:w="620" w:type="dxa"/>
            <w:vAlign w:val="bottom"/>
            <w:gridSpan w:val="4"/>
          </w:tcPr>
          <w:p>
            <w:pPr>
              <w:spacing w:after="0"/>
              <w:rPr>
                <w:sz w:val="16"/>
                <w:szCs w:val="16"/>
                <w:color w:val="auto"/>
              </w:rPr>
            </w:pPr>
          </w:p>
        </w:tc>
        <w:tc>
          <w:tcPr>
            <w:tcW w:w="9340" w:type="dxa"/>
            <w:vAlign w:val="bottom"/>
            <w:gridSpan w:val="20"/>
          </w:tcPr>
          <w:p>
            <w:pPr>
              <w:spacing w:after="0" w:line="192" w:lineRule="exact"/>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360" w:type="dxa"/>
            <w:vAlign w:val="bottom"/>
            <w:gridSpan w:val="3"/>
          </w:tcPr>
          <w:p>
            <w:pPr>
              <w:jc w:val="right"/>
              <w:spacing w:after="0" w:line="192" w:lineRule="exact"/>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r>
      <w:tr>
        <w:trPr>
          <w:trHeight w:val="20"/>
        </w:trPr>
        <w:tc>
          <w:tcPr>
            <w:tcW w:w="5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0000EE"/>
            </w:tcBorders>
            <w:gridSpan w:val="4"/>
          </w:tcPr>
          <w:p>
            <w:pPr>
              <w:spacing w:after="0" w:line="192" w:lineRule="exact"/>
              <w:rPr>
                <w:rFonts w:ascii="Arial" w:cs="Arial" w:eastAsia="Arial" w:hAnsi="Arial"/>
                <w:sz w:val="18"/>
                <w:szCs w:val="18"/>
                <w:color w:val="0000EE"/>
                <w:w w:val="83"/>
              </w:rPr>
            </w:pPr>
            <w:hyperlink w:anchor="page31">
              <w:r>
                <w:rPr>
                  <w:rFonts w:ascii="Arial" w:cs="Arial" w:eastAsia="Arial" w:hAnsi="Arial"/>
                  <w:sz w:val="18"/>
                  <w:szCs w:val="18"/>
                  <w:color w:val="0000EE"/>
                  <w:w w:val="83"/>
                </w:rPr>
                <w:t>Item 4A.</w:t>
              </w:r>
            </w:hyperlink>
          </w:p>
        </w:tc>
        <w:tc>
          <w:tcPr>
            <w:tcW w:w="480" w:type="dxa"/>
            <w:vAlign w:val="bottom"/>
          </w:tcPr>
          <w:p>
            <w:pPr>
              <w:spacing w:after="0"/>
              <w:rPr>
                <w:sz w:val="16"/>
                <w:szCs w:val="16"/>
                <w:color w:val="auto"/>
              </w:rPr>
            </w:pPr>
          </w:p>
        </w:tc>
        <w:tc>
          <w:tcPr>
            <w:tcW w:w="3680" w:type="dxa"/>
            <w:vAlign w:val="bottom"/>
            <w:tcBorders>
              <w:bottom w:val="single" w:sz="8" w:color="0000EE"/>
            </w:tcBorders>
            <w:gridSpan w:val="12"/>
          </w:tcPr>
          <w:p>
            <w:pPr>
              <w:spacing w:after="0" w:line="192"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EXECUTIVE OFFICERS OF THE REGISTRANT</w:t>
              </w:r>
            </w:hyperlink>
          </w:p>
        </w:tc>
        <w:tc>
          <w:tcPr>
            <w:tcW w:w="5660" w:type="dxa"/>
            <w:vAlign w:val="bottom"/>
            <w:gridSpan w:val="8"/>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28</w:t>
              </w:r>
            </w:hyperlink>
          </w:p>
        </w:tc>
      </w:tr>
      <w:tr>
        <w:trPr>
          <w:trHeight w:val="192"/>
        </w:trPr>
        <w:tc>
          <w:tcPr>
            <w:tcW w:w="660" w:type="dxa"/>
            <w:vAlign w:val="bottom"/>
            <w:tcBorders>
              <w:bottom w:val="single" w:sz="8" w:color="0000EE"/>
            </w:tcBorders>
            <w:gridSpan w:val="2"/>
          </w:tcPr>
          <w:p>
            <w:pPr>
              <w:spacing w:after="0" w:line="192" w:lineRule="exact"/>
              <w:rPr>
                <w:rFonts w:ascii="Arial" w:cs="Arial" w:eastAsia="Arial" w:hAnsi="Arial"/>
                <w:sz w:val="18"/>
                <w:szCs w:val="18"/>
                <w:color w:val="0000EE"/>
                <w:w w:val="98"/>
              </w:rPr>
            </w:pPr>
            <w:hyperlink w:anchor="page34">
              <w:r>
                <w:rPr>
                  <w:rFonts w:ascii="Arial" w:cs="Arial" w:eastAsia="Arial" w:hAnsi="Arial"/>
                  <w:sz w:val="18"/>
                  <w:szCs w:val="18"/>
                  <w:color w:val="0000EE"/>
                  <w:w w:val="98"/>
                </w:rPr>
                <w:t>PART II</w:t>
              </w:r>
            </w:hyperlink>
          </w:p>
        </w:tc>
        <w:tc>
          <w:tcPr>
            <w:tcW w:w="1060" w:type="dxa"/>
            <w:vAlign w:val="bottom"/>
            <w:gridSpan w:val="5"/>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31</w:t>
              </w:r>
            </w:hyperlink>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5"/>
          </w:tcPr>
          <w:p>
            <w:pPr>
              <w:spacing w:after="0" w:line="192" w:lineRule="exact"/>
              <w:rPr>
                <w:rFonts w:ascii="Arial" w:cs="Arial" w:eastAsia="Arial" w:hAnsi="Arial"/>
                <w:sz w:val="18"/>
                <w:szCs w:val="18"/>
                <w:color w:val="0000EE"/>
              </w:rPr>
            </w:pPr>
            <w:hyperlink w:anchor="page34">
              <w:r>
                <w:rPr>
                  <w:rFonts w:ascii="Arial" w:cs="Arial" w:eastAsia="Arial" w:hAnsi="Arial"/>
                  <w:sz w:val="18"/>
                  <w:szCs w:val="18"/>
                  <w:color w:val="0000EE"/>
                </w:rPr>
                <w:t>Item 5.</w:t>
              </w:r>
            </w:hyperlink>
          </w:p>
        </w:tc>
        <w:tc>
          <w:tcPr>
            <w:tcW w:w="9340" w:type="dxa"/>
            <w:vAlign w:val="bottom"/>
            <w:gridSpan w:val="20"/>
          </w:tcPr>
          <w:p>
            <w:pPr>
              <w:spacing w:after="0" w:line="192" w:lineRule="exact"/>
              <w:rPr>
                <w:rFonts w:ascii="Arial" w:cs="Arial" w:eastAsia="Arial" w:hAnsi="Arial"/>
                <w:sz w:val="18"/>
                <w:szCs w:val="18"/>
                <w:color w:val="0000EE"/>
              </w:rPr>
            </w:pPr>
            <w:hyperlink w:anchor="page34">
              <w:r>
                <w:rPr>
                  <w:rFonts w:ascii="Arial" w:cs="Arial" w:eastAsia="Arial" w:hAnsi="Arial"/>
                  <w:sz w:val="18"/>
                  <w:szCs w:val="18"/>
                  <w:color w:val="0000EE"/>
                </w:rPr>
                <w:t>MARKET FOR REGISTRANT’S COMMON EQUITY, RELATED STOCKHOLDER MATTERS AND ISSUER</w:t>
              </w:r>
            </w:hyperlink>
          </w:p>
        </w:tc>
        <w:tc>
          <w:tcPr>
            <w:tcW w:w="360" w:type="dxa"/>
            <w:vAlign w:val="bottom"/>
            <w:gridSpan w:val="3"/>
          </w:tcPr>
          <w:p>
            <w:pPr>
              <w:jc w:val="right"/>
              <w:spacing w:after="0" w:line="192" w:lineRule="exact"/>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120" w:type="dxa"/>
            <w:vAlign w:val="bottom"/>
            <w:tcBorders>
              <w:top w:val="single" w:sz="8" w:color="0000EE"/>
            </w:tcBorders>
            <w:gridSpan w:val="19"/>
          </w:tcPr>
          <w:p>
            <w:pPr>
              <w:spacing w:after="0" w:line="192" w:lineRule="exact"/>
              <w:rPr>
                <w:rFonts w:ascii="Arial" w:cs="Arial" w:eastAsia="Arial" w:hAnsi="Arial"/>
                <w:sz w:val="18"/>
                <w:szCs w:val="18"/>
                <w:color w:val="0000EE"/>
              </w:rPr>
            </w:pPr>
            <w:hyperlink w:anchor="page34">
              <w:r>
                <w:rPr>
                  <w:rFonts w:ascii="Arial" w:cs="Arial" w:eastAsia="Arial" w:hAnsi="Arial"/>
                  <w:sz w:val="18"/>
                  <w:szCs w:val="18"/>
                  <w:color w:val="0000EE"/>
                </w:rPr>
                <w:t>PURCHASES OF EQUITY SECURITIES</w:t>
              </w:r>
            </w:hyperlink>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0000EE"/>
            </w:tcBorders>
          </w:tcPr>
          <w:p>
            <w:pPr>
              <w:spacing w:after="0" w:line="192" w:lineRule="exact"/>
              <w:rPr>
                <w:rFonts w:ascii="Arial" w:cs="Arial" w:eastAsia="Arial" w:hAnsi="Arial"/>
                <w:sz w:val="18"/>
                <w:szCs w:val="18"/>
                <w:color w:val="0000EE"/>
                <w:w w:val="72"/>
              </w:rPr>
            </w:pPr>
            <w:hyperlink w:anchor="page35">
              <w:r>
                <w:rPr>
                  <w:rFonts w:ascii="Arial" w:cs="Arial" w:eastAsia="Arial" w:hAnsi="Arial"/>
                  <w:sz w:val="18"/>
                  <w:szCs w:val="18"/>
                  <w:color w:val="0000EE"/>
                  <w:w w:val="72"/>
                </w:rPr>
                <w:t>Item 6.</w:t>
              </w:r>
            </w:hyperlink>
          </w:p>
        </w:tc>
        <w:tc>
          <w:tcPr>
            <w:tcW w:w="620" w:type="dxa"/>
            <w:vAlign w:val="bottom"/>
            <w:gridSpan w:val="4"/>
          </w:tcPr>
          <w:p>
            <w:pPr>
              <w:spacing w:after="0"/>
              <w:rPr>
                <w:sz w:val="16"/>
                <w:szCs w:val="16"/>
                <w:color w:val="auto"/>
              </w:rPr>
            </w:pPr>
          </w:p>
        </w:tc>
        <w:tc>
          <w:tcPr>
            <w:tcW w:w="2400" w:type="dxa"/>
            <w:vAlign w:val="bottom"/>
            <w:tcBorders>
              <w:top w:val="single" w:sz="8" w:color="0000EE"/>
              <w:bottom w:val="single" w:sz="8" w:color="0000EE"/>
            </w:tcBorders>
            <w:gridSpan w:val="8"/>
          </w:tcPr>
          <w:p>
            <w:pPr>
              <w:spacing w:after="0" w:line="192" w:lineRule="exact"/>
              <w:rPr>
                <w:rFonts w:ascii="Arial" w:cs="Arial" w:eastAsia="Arial" w:hAnsi="Arial"/>
                <w:sz w:val="18"/>
                <w:szCs w:val="18"/>
                <w:color w:val="0000EE"/>
                <w:w w:val="96"/>
              </w:rPr>
            </w:pPr>
            <w:hyperlink w:anchor="page35">
              <w:r>
                <w:rPr>
                  <w:rFonts w:ascii="Arial" w:cs="Arial" w:eastAsia="Arial" w:hAnsi="Arial"/>
                  <w:sz w:val="18"/>
                  <w:szCs w:val="18"/>
                  <w:color w:val="0000EE"/>
                  <w:w w:val="96"/>
                </w:rPr>
                <w:t>SELECTED FINANCIAL DATA</w:t>
              </w:r>
            </w:hyperlink>
          </w:p>
        </w:tc>
        <w:tc>
          <w:tcPr>
            <w:tcW w:w="640" w:type="dxa"/>
            <w:vAlign w:val="bottom"/>
            <w:tcBorders>
              <w:top w:val="single" w:sz="8" w:color="0000EE"/>
            </w:tcBorders>
            <w:gridSpan w:val="3"/>
          </w:tcPr>
          <w:p>
            <w:pPr>
              <w:spacing w:after="0"/>
              <w:rPr>
                <w:sz w:val="16"/>
                <w:szCs w:val="16"/>
                <w:color w:val="auto"/>
              </w:rPr>
            </w:pPr>
          </w:p>
        </w:tc>
        <w:tc>
          <w:tcPr>
            <w:tcW w:w="6300" w:type="dxa"/>
            <w:vAlign w:val="bottom"/>
            <w:gridSpan w:val="9"/>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32</w:t>
              </w:r>
            </w:hyperlink>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5"/>
          </w:tcPr>
          <w:p>
            <w:pPr>
              <w:spacing w:after="0" w:line="192" w:lineRule="exact"/>
              <w:rPr>
                <w:rFonts w:ascii="Arial" w:cs="Arial" w:eastAsia="Arial" w:hAnsi="Arial"/>
                <w:sz w:val="18"/>
                <w:szCs w:val="18"/>
                <w:color w:val="0000EE"/>
              </w:rPr>
            </w:pPr>
            <w:hyperlink w:anchor="page35">
              <w:r>
                <w:rPr>
                  <w:rFonts w:ascii="Arial" w:cs="Arial" w:eastAsia="Arial" w:hAnsi="Arial"/>
                  <w:sz w:val="18"/>
                  <w:szCs w:val="18"/>
                  <w:color w:val="0000EE"/>
                </w:rPr>
                <w:t>Item 7.</w:t>
              </w:r>
            </w:hyperlink>
          </w:p>
        </w:tc>
        <w:tc>
          <w:tcPr>
            <w:tcW w:w="9340" w:type="dxa"/>
            <w:vAlign w:val="bottom"/>
            <w:gridSpan w:val="20"/>
          </w:tcPr>
          <w:p>
            <w:pPr>
              <w:spacing w:after="0" w:line="192" w:lineRule="exact"/>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w:t>
              </w:r>
            </w:hyperlink>
          </w:p>
        </w:tc>
        <w:tc>
          <w:tcPr>
            <w:tcW w:w="360" w:type="dxa"/>
            <w:vAlign w:val="bottom"/>
            <w:gridSpan w:val="3"/>
          </w:tcPr>
          <w:p>
            <w:pPr>
              <w:jc w:val="right"/>
              <w:spacing w:after="0" w:line="192" w:lineRule="exact"/>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40" w:type="dxa"/>
            <w:vAlign w:val="bottom"/>
            <w:tcBorders>
              <w:top w:val="single" w:sz="8" w:color="0000EE"/>
            </w:tcBorders>
            <w:gridSpan w:val="16"/>
          </w:tcPr>
          <w:p>
            <w:pPr>
              <w:spacing w:after="0" w:line="192" w:lineRule="exact"/>
              <w:rPr>
                <w:rFonts w:ascii="Arial" w:cs="Arial" w:eastAsia="Arial" w:hAnsi="Arial"/>
                <w:sz w:val="18"/>
                <w:szCs w:val="18"/>
                <w:color w:val="0000EE"/>
              </w:rPr>
            </w:pPr>
            <w:hyperlink w:anchor="page35">
              <w:r>
                <w:rPr>
                  <w:rFonts w:ascii="Arial" w:cs="Arial" w:eastAsia="Arial" w:hAnsi="Arial"/>
                  <w:sz w:val="18"/>
                  <w:szCs w:val="18"/>
                  <w:color w:val="0000EE"/>
                </w:rPr>
                <w:t>OPERATIONS</w:t>
              </w:r>
            </w:hyperlink>
          </w:p>
        </w:tc>
        <w:tc>
          <w:tcPr>
            <w:tcW w:w="1700" w:type="dxa"/>
            <w:vAlign w:val="bottom"/>
            <w:gridSpan w:val="4"/>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0000EE"/>
            </w:tcBorders>
            <w:gridSpan w:val="4"/>
          </w:tcPr>
          <w:p>
            <w:pPr>
              <w:spacing w:after="0" w:line="192" w:lineRule="exact"/>
              <w:rPr>
                <w:rFonts w:ascii="Arial" w:cs="Arial" w:eastAsia="Arial" w:hAnsi="Arial"/>
                <w:sz w:val="18"/>
                <w:szCs w:val="18"/>
                <w:color w:val="0000EE"/>
                <w:w w:val="83"/>
              </w:rPr>
            </w:pPr>
            <w:hyperlink w:anchor="page52">
              <w:r>
                <w:rPr>
                  <w:rFonts w:ascii="Arial" w:cs="Arial" w:eastAsia="Arial" w:hAnsi="Arial"/>
                  <w:sz w:val="18"/>
                  <w:szCs w:val="18"/>
                  <w:color w:val="0000EE"/>
                  <w:w w:val="83"/>
                </w:rPr>
                <w:t>Item 7A.</w:t>
              </w:r>
            </w:hyperlink>
          </w:p>
        </w:tc>
        <w:tc>
          <w:tcPr>
            <w:tcW w:w="480" w:type="dxa"/>
            <w:vAlign w:val="bottom"/>
          </w:tcPr>
          <w:p>
            <w:pPr>
              <w:spacing w:after="0"/>
              <w:rPr>
                <w:sz w:val="16"/>
                <w:szCs w:val="16"/>
                <w:color w:val="auto"/>
              </w:rPr>
            </w:pPr>
          </w:p>
        </w:tc>
        <w:tc>
          <w:tcPr>
            <w:tcW w:w="6040" w:type="dxa"/>
            <w:vAlign w:val="bottom"/>
            <w:tcBorders>
              <w:bottom w:val="single" w:sz="8" w:color="0000EE"/>
            </w:tcBorders>
            <w:gridSpan w:val="15"/>
          </w:tcPr>
          <w:p>
            <w:pPr>
              <w:spacing w:after="0" w:line="192" w:lineRule="exact"/>
              <w:rPr>
                <w:rFonts w:ascii="Arial" w:cs="Arial" w:eastAsia="Arial" w:hAnsi="Arial"/>
                <w:sz w:val="18"/>
                <w:szCs w:val="18"/>
                <w:color w:val="0000EE"/>
                <w:w w:val="96"/>
              </w:rPr>
            </w:pPr>
            <w:hyperlink w:anchor="page52">
              <w:r>
                <w:rPr>
                  <w:rFonts w:ascii="Arial" w:cs="Arial" w:eastAsia="Arial" w:hAnsi="Arial"/>
                  <w:sz w:val="18"/>
                  <w:szCs w:val="18"/>
                  <w:color w:val="0000EE"/>
                  <w:w w:val="96"/>
                </w:rPr>
                <w:t>QUANTITATIVE AND QUALITATIVE DISCLOSURES ABOUT MARKET RISK</w:t>
              </w:r>
            </w:hyperlink>
          </w:p>
        </w:tc>
        <w:tc>
          <w:tcPr>
            <w:tcW w:w="3300" w:type="dxa"/>
            <w:vAlign w:val="bottom"/>
            <w:gridSpan w:val="5"/>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49</w:t>
              </w:r>
            </w:hyperlink>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line="192" w:lineRule="exact"/>
              <w:rPr>
                <w:rFonts w:ascii="Arial" w:cs="Arial" w:eastAsia="Arial" w:hAnsi="Arial"/>
                <w:sz w:val="18"/>
                <w:szCs w:val="18"/>
                <w:color w:val="0000EE"/>
                <w:w w:val="72"/>
              </w:rPr>
            </w:pPr>
            <w:hyperlink w:anchor="page53">
              <w:r>
                <w:rPr>
                  <w:rFonts w:ascii="Arial" w:cs="Arial" w:eastAsia="Arial" w:hAnsi="Arial"/>
                  <w:sz w:val="18"/>
                  <w:szCs w:val="18"/>
                  <w:color w:val="0000EE"/>
                  <w:w w:val="72"/>
                </w:rPr>
                <w:t>Item 8.</w:t>
              </w:r>
            </w:hyperlink>
          </w:p>
        </w:tc>
        <w:tc>
          <w:tcPr>
            <w:tcW w:w="620" w:type="dxa"/>
            <w:vAlign w:val="bottom"/>
            <w:gridSpan w:val="4"/>
          </w:tcPr>
          <w:p>
            <w:pPr>
              <w:spacing w:after="0"/>
              <w:rPr>
                <w:sz w:val="16"/>
                <w:szCs w:val="16"/>
                <w:color w:val="auto"/>
              </w:rPr>
            </w:pPr>
          </w:p>
        </w:tc>
        <w:tc>
          <w:tcPr>
            <w:tcW w:w="9340" w:type="dxa"/>
            <w:vAlign w:val="bottom"/>
            <w:gridSpan w:val="20"/>
          </w:tcPr>
          <w:p>
            <w:pPr>
              <w:spacing w:after="0" w:line="192" w:lineRule="exact"/>
              <w:rPr>
                <w:rFonts w:ascii="Arial" w:cs="Arial" w:eastAsia="Arial" w:hAnsi="Arial"/>
                <w:sz w:val="18"/>
                <w:szCs w:val="18"/>
                <w:color w:val="0000EE"/>
              </w:rPr>
            </w:pPr>
            <w:hyperlink w:anchor="page53">
              <w:r>
                <w:rPr>
                  <w:rFonts w:ascii="Arial" w:cs="Arial" w:eastAsia="Arial" w:hAnsi="Arial"/>
                  <w:sz w:val="18"/>
                  <w:szCs w:val="18"/>
                  <w:color w:val="0000EE"/>
                </w:rPr>
                <w:t>FINANCIAL STATEMENTS AND SUPPLEMENTARY DATA</w:t>
              </w:r>
            </w:hyperlink>
          </w:p>
        </w:tc>
        <w:tc>
          <w:tcPr>
            <w:tcW w:w="360" w:type="dxa"/>
            <w:vAlign w:val="bottom"/>
            <w:gridSpan w:val="3"/>
          </w:tcPr>
          <w:p>
            <w:pPr>
              <w:jc w:val="right"/>
              <w:spacing w:after="0" w:line="192" w:lineRule="exact"/>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0"/>
        </w:trPr>
        <w:tc>
          <w:tcPr>
            <w:tcW w:w="5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line="192" w:lineRule="exact"/>
              <w:rPr>
                <w:rFonts w:ascii="Arial" w:cs="Arial" w:eastAsia="Arial" w:hAnsi="Arial"/>
                <w:sz w:val="18"/>
                <w:szCs w:val="18"/>
                <w:color w:val="0000EE"/>
                <w:w w:val="72"/>
              </w:rPr>
            </w:pPr>
            <w:hyperlink w:anchor="page76">
              <w:r>
                <w:rPr>
                  <w:rFonts w:ascii="Arial" w:cs="Arial" w:eastAsia="Arial" w:hAnsi="Arial"/>
                  <w:sz w:val="18"/>
                  <w:szCs w:val="18"/>
                  <w:color w:val="0000EE"/>
                  <w:w w:val="72"/>
                </w:rPr>
                <w:t>Item 9.</w:t>
              </w:r>
            </w:hyperlink>
          </w:p>
        </w:tc>
        <w:tc>
          <w:tcPr>
            <w:tcW w:w="620" w:type="dxa"/>
            <w:vAlign w:val="bottom"/>
            <w:gridSpan w:val="4"/>
          </w:tcPr>
          <w:p>
            <w:pPr>
              <w:spacing w:after="0"/>
              <w:rPr>
                <w:sz w:val="16"/>
                <w:szCs w:val="16"/>
                <w:color w:val="auto"/>
              </w:rPr>
            </w:pPr>
          </w:p>
        </w:tc>
        <w:tc>
          <w:tcPr>
            <w:tcW w:w="9340" w:type="dxa"/>
            <w:vAlign w:val="bottom"/>
            <w:gridSpan w:val="20"/>
          </w:tcPr>
          <w:p>
            <w:pPr>
              <w:spacing w:after="0" w:line="192" w:lineRule="exact"/>
              <w:rPr>
                <w:rFonts w:ascii="Arial" w:cs="Arial" w:eastAsia="Arial" w:hAnsi="Arial"/>
                <w:sz w:val="18"/>
                <w:szCs w:val="18"/>
                <w:color w:val="0000EE"/>
              </w:rPr>
            </w:pPr>
            <w:hyperlink w:anchor="page76">
              <w:r>
                <w:rPr>
                  <w:rFonts w:ascii="Arial" w:cs="Arial" w:eastAsia="Arial" w:hAnsi="Arial"/>
                  <w:sz w:val="18"/>
                  <w:szCs w:val="18"/>
                  <w:color w:val="0000EE"/>
                </w:rPr>
                <w:t>CHANGES IN AND DISAGREEMENTS WITH ACCOUNTANTS ON ACCOUNTING AND FINANCIAL</w:t>
              </w:r>
            </w:hyperlink>
          </w:p>
        </w:tc>
        <w:tc>
          <w:tcPr>
            <w:tcW w:w="360" w:type="dxa"/>
            <w:vAlign w:val="bottom"/>
            <w:gridSpan w:val="3"/>
          </w:tcPr>
          <w:p>
            <w:pPr>
              <w:jc w:val="right"/>
              <w:spacing w:after="0" w:line="192" w:lineRule="exact"/>
              <w:rPr>
                <w:rFonts w:ascii="Arial" w:cs="Arial" w:eastAsia="Arial" w:hAnsi="Arial"/>
                <w:sz w:val="18"/>
                <w:szCs w:val="18"/>
                <w:color w:val="0000EE"/>
              </w:rPr>
            </w:pPr>
            <w:hyperlink w:anchor="page76">
              <w:r>
                <w:rPr>
                  <w:rFonts w:ascii="Arial" w:cs="Arial" w:eastAsia="Arial" w:hAnsi="Arial"/>
                  <w:sz w:val="18"/>
                  <w:szCs w:val="18"/>
                  <w:color w:val="0000EE"/>
                </w:rPr>
                <w:t>73</w:t>
              </w:r>
            </w:hyperlink>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Borders>
              <w:top w:val="single" w:sz="8" w:color="0000EE"/>
              <w:bottom w:val="single" w:sz="8" w:color="0000EE"/>
            </w:tcBorders>
            <w:gridSpan w:val="4"/>
          </w:tcPr>
          <w:p>
            <w:pPr>
              <w:spacing w:after="0" w:line="192" w:lineRule="exact"/>
              <w:rPr>
                <w:rFonts w:ascii="Arial" w:cs="Arial" w:eastAsia="Arial" w:hAnsi="Arial"/>
                <w:sz w:val="18"/>
                <w:szCs w:val="18"/>
                <w:color w:val="0000EE"/>
                <w:w w:val="92"/>
              </w:rPr>
            </w:pPr>
            <w:hyperlink w:anchor="page76">
              <w:r>
                <w:rPr>
                  <w:rFonts w:ascii="Arial" w:cs="Arial" w:eastAsia="Arial" w:hAnsi="Arial"/>
                  <w:sz w:val="18"/>
                  <w:szCs w:val="18"/>
                  <w:color w:val="0000EE"/>
                  <w:w w:val="92"/>
                </w:rPr>
                <w:t>DISCLOSURE</w:t>
              </w:r>
            </w:hyperlink>
          </w:p>
        </w:tc>
        <w:tc>
          <w:tcPr>
            <w:tcW w:w="6700" w:type="dxa"/>
            <w:vAlign w:val="bottom"/>
            <w:tcBorders>
              <w:top w:val="single" w:sz="8" w:color="0000EE"/>
            </w:tcBorders>
            <w:gridSpan w:val="13"/>
          </w:tcPr>
          <w:p>
            <w:pPr>
              <w:spacing w:after="0"/>
              <w:rPr>
                <w:sz w:val="16"/>
                <w:szCs w:val="16"/>
                <w:color w:val="auto"/>
              </w:rPr>
            </w:pPr>
          </w:p>
        </w:tc>
        <w:tc>
          <w:tcPr>
            <w:tcW w:w="1540" w:type="dxa"/>
            <w:vAlign w:val="bottom"/>
            <w:gridSpan w:val="3"/>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4"/>
          </w:tcPr>
          <w:p>
            <w:pPr>
              <w:spacing w:after="0" w:line="192" w:lineRule="exact"/>
              <w:rPr>
                <w:rFonts w:ascii="Arial" w:cs="Arial" w:eastAsia="Arial" w:hAnsi="Arial"/>
                <w:sz w:val="18"/>
                <w:szCs w:val="18"/>
                <w:color w:val="0000EE"/>
                <w:w w:val="83"/>
              </w:rPr>
            </w:pPr>
            <w:hyperlink w:anchor="page76">
              <w:r>
                <w:rPr>
                  <w:rFonts w:ascii="Arial" w:cs="Arial" w:eastAsia="Arial" w:hAnsi="Arial"/>
                  <w:sz w:val="18"/>
                  <w:szCs w:val="18"/>
                  <w:color w:val="0000EE"/>
                  <w:w w:val="83"/>
                </w:rPr>
                <w:t>Item 9A.</w:t>
              </w:r>
            </w:hyperlink>
          </w:p>
        </w:tc>
        <w:tc>
          <w:tcPr>
            <w:tcW w:w="480" w:type="dxa"/>
            <w:vAlign w:val="bottom"/>
          </w:tcPr>
          <w:p>
            <w:pPr>
              <w:spacing w:after="0"/>
              <w:rPr>
                <w:sz w:val="16"/>
                <w:szCs w:val="16"/>
                <w:color w:val="auto"/>
              </w:rPr>
            </w:pPr>
          </w:p>
        </w:tc>
        <w:tc>
          <w:tcPr>
            <w:tcW w:w="9340" w:type="dxa"/>
            <w:vAlign w:val="bottom"/>
            <w:gridSpan w:val="20"/>
          </w:tcPr>
          <w:p>
            <w:pPr>
              <w:spacing w:after="0" w:line="192" w:lineRule="exact"/>
              <w:rPr>
                <w:rFonts w:ascii="Arial" w:cs="Arial" w:eastAsia="Arial" w:hAnsi="Arial"/>
                <w:sz w:val="18"/>
                <w:szCs w:val="18"/>
                <w:color w:val="0000EE"/>
              </w:rPr>
            </w:pPr>
            <w:hyperlink w:anchor="page76">
              <w:r>
                <w:rPr>
                  <w:rFonts w:ascii="Arial" w:cs="Arial" w:eastAsia="Arial" w:hAnsi="Arial"/>
                  <w:sz w:val="18"/>
                  <w:szCs w:val="18"/>
                  <w:color w:val="0000EE"/>
                </w:rPr>
                <w:t>CONTROLS AND PROCEDURES</w:t>
              </w:r>
            </w:hyperlink>
          </w:p>
        </w:tc>
        <w:tc>
          <w:tcPr>
            <w:tcW w:w="360" w:type="dxa"/>
            <w:vAlign w:val="bottom"/>
            <w:gridSpan w:val="3"/>
          </w:tcPr>
          <w:p>
            <w:pPr>
              <w:jc w:val="right"/>
              <w:spacing w:after="0" w:line="192" w:lineRule="exact"/>
              <w:rPr>
                <w:rFonts w:ascii="Arial" w:cs="Arial" w:eastAsia="Arial" w:hAnsi="Arial"/>
                <w:sz w:val="18"/>
                <w:szCs w:val="18"/>
                <w:color w:val="0000EE"/>
              </w:rPr>
            </w:pPr>
            <w:hyperlink w:anchor="page76">
              <w:r>
                <w:rPr>
                  <w:rFonts w:ascii="Arial" w:cs="Arial" w:eastAsia="Arial" w:hAnsi="Arial"/>
                  <w:sz w:val="18"/>
                  <w:szCs w:val="18"/>
                  <w:color w:val="0000EE"/>
                </w:rPr>
                <w:t>73</w:t>
              </w:r>
            </w:hyperlink>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top w:val="single" w:sz="8" w:color="0000EE"/>
            </w:tcBorders>
            <w:gridSpan w:val="3"/>
          </w:tcPr>
          <w:p>
            <w:pPr>
              <w:spacing w:after="0" w:line="192" w:lineRule="exact"/>
              <w:rPr>
                <w:rFonts w:ascii="Arial" w:cs="Arial" w:eastAsia="Arial" w:hAnsi="Arial"/>
                <w:sz w:val="18"/>
                <w:szCs w:val="18"/>
                <w:color w:val="0000EE"/>
                <w:w w:val="77"/>
              </w:rPr>
            </w:pPr>
            <w:hyperlink w:anchor="page76">
              <w:r>
                <w:rPr>
                  <w:rFonts w:ascii="Arial" w:cs="Arial" w:eastAsia="Arial" w:hAnsi="Arial"/>
                  <w:sz w:val="18"/>
                  <w:szCs w:val="18"/>
                  <w:color w:val="0000EE"/>
                  <w:w w:val="77"/>
                </w:rPr>
                <w:t>Item 9B.</w:t>
              </w:r>
            </w:hyperlink>
          </w:p>
        </w:tc>
        <w:tc>
          <w:tcPr>
            <w:tcW w:w="20" w:type="dxa"/>
            <w:vAlign w:val="bottom"/>
            <w:tcBorders>
              <w:top w:val="single" w:sz="8" w:color="0000EE"/>
            </w:tcBorders>
          </w:tcPr>
          <w:p>
            <w:pPr>
              <w:spacing w:after="0"/>
              <w:rPr>
                <w:sz w:val="16"/>
                <w:szCs w:val="16"/>
                <w:color w:val="auto"/>
              </w:rPr>
            </w:pPr>
          </w:p>
        </w:tc>
        <w:tc>
          <w:tcPr>
            <w:tcW w:w="480" w:type="dxa"/>
            <w:vAlign w:val="bottom"/>
          </w:tcPr>
          <w:p>
            <w:pPr>
              <w:spacing w:after="0"/>
              <w:rPr>
                <w:sz w:val="16"/>
                <w:szCs w:val="16"/>
                <w:color w:val="auto"/>
              </w:rPr>
            </w:pPr>
          </w:p>
        </w:tc>
        <w:tc>
          <w:tcPr>
            <w:tcW w:w="2560" w:type="dxa"/>
            <w:vAlign w:val="bottom"/>
            <w:tcBorders>
              <w:top w:val="single" w:sz="8" w:color="0000EE"/>
            </w:tcBorders>
            <w:gridSpan w:val="9"/>
          </w:tcPr>
          <w:p>
            <w:pPr>
              <w:spacing w:after="0" w:line="192" w:lineRule="exact"/>
              <w:rPr>
                <w:rFonts w:ascii="Arial" w:cs="Arial" w:eastAsia="Arial" w:hAnsi="Arial"/>
                <w:sz w:val="18"/>
                <w:szCs w:val="18"/>
                <w:color w:val="0000EE"/>
              </w:rPr>
            </w:pPr>
            <w:hyperlink w:anchor="page76">
              <w:r>
                <w:rPr>
                  <w:rFonts w:ascii="Arial" w:cs="Arial" w:eastAsia="Arial" w:hAnsi="Arial"/>
                  <w:sz w:val="18"/>
                  <w:szCs w:val="18"/>
                  <w:color w:val="0000EE"/>
                </w:rPr>
                <w:t>OTHER INFORMATION</w:t>
              </w:r>
            </w:hyperlink>
          </w:p>
        </w:tc>
        <w:tc>
          <w:tcPr>
            <w:tcW w:w="6780" w:type="dxa"/>
            <w:vAlign w:val="bottom"/>
            <w:gridSpan w:val="11"/>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73</w:t>
              </w:r>
            </w:hyperlink>
          </w:p>
        </w:tc>
      </w:tr>
      <w:tr>
        <w:trPr>
          <w:trHeight w:val="20"/>
        </w:trPr>
        <w:tc>
          <w:tcPr>
            <w:tcW w:w="660" w:type="dxa"/>
            <w:vAlign w:val="bottom"/>
            <w:tcBorders>
              <w:right w:val="single" w:sz="8" w:color="0000EE"/>
            </w:tcBorders>
            <w:gridSpan w:val="2"/>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660" w:type="dxa"/>
            <w:vAlign w:val="bottom"/>
            <w:tcBorders>
              <w:bottom w:val="single" w:sz="8" w:color="0000EE"/>
            </w:tcBorders>
            <w:gridSpan w:val="2"/>
          </w:tcPr>
          <w:p>
            <w:pPr>
              <w:spacing w:after="0" w:line="192" w:lineRule="exact"/>
              <w:rPr>
                <w:rFonts w:ascii="Arial" w:cs="Arial" w:eastAsia="Arial" w:hAnsi="Arial"/>
                <w:sz w:val="18"/>
                <w:szCs w:val="18"/>
                <w:color w:val="0000EE"/>
                <w:w w:val="91"/>
              </w:rPr>
            </w:pPr>
            <w:hyperlink w:anchor="page77">
              <w:r>
                <w:rPr>
                  <w:rFonts w:ascii="Arial" w:cs="Arial" w:eastAsia="Arial" w:hAnsi="Arial"/>
                  <w:sz w:val="18"/>
                  <w:szCs w:val="18"/>
                  <w:color w:val="0000EE"/>
                  <w:w w:val="91"/>
                </w:rPr>
                <w:t>PART III</w:t>
              </w:r>
            </w:hyperlink>
          </w:p>
        </w:tc>
        <w:tc>
          <w:tcPr>
            <w:tcW w:w="1060" w:type="dxa"/>
            <w:vAlign w:val="bottom"/>
            <w:gridSpan w:val="5"/>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74</w:t>
              </w:r>
            </w:hyperlink>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3"/>
          </w:tcPr>
          <w:p>
            <w:pPr>
              <w:spacing w:after="0" w:line="192"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Item 10.</w:t>
              </w:r>
            </w:hyperlink>
          </w:p>
        </w:tc>
        <w:tc>
          <w:tcPr>
            <w:tcW w:w="500" w:type="dxa"/>
            <w:vAlign w:val="bottom"/>
            <w:gridSpan w:val="2"/>
          </w:tcPr>
          <w:p>
            <w:pPr>
              <w:spacing w:after="0"/>
              <w:rPr>
                <w:sz w:val="16"/>
                <w:szCs w:val="16"/>
                <w:color w:val="auto"/>
              </w:rPr>
            </w:pPr>
          </w:p>
        </w:tc>
        <w:tc>
          <w:tcPr>
            <w:tcW w:w="9340" w:type="dxa"/>
            <w:vAlign w:val="bottom"/>
            <w:gridSpan w:val="20"/>
          </w:tcPr>
          <w:p>
            <w:pPr>
              <w:spacing w:after="0" w:line="192" w:lineRule="exact"/>
              <w:rPr>
                <w:rFonts w:ascii="Arial" w:cs="Arial" w:eastAsia="Arial" w:hAnsi="Arial"/>
                <w:sz w:val="18"/>
                <w:szCs w:val="18"/>
                <w:color w:val="0000EE"/>
              </w:rPr>
            </w:pPr>
            <w:hyperlink w:anchor="page77">
              <w:r>
                <w:rPr>
                  <w:rFonts w:ascii="Arial" w:cs="Arial" w:eastAsia="Arial" w:hAnsi="Arial"/>
                  <w:sz w:val="18"/>
                  <w:szCs w:val="18"/>
                  <w:color w:val="0000EE"/>
                </w:rPr>
                <w:t>DIRECTORS, EXECUTIVE OFFICERS AND CORPORATE GOVERNANCE</w:t>
              </w:r>
            </w:hyperlink>
          </w:p>
        </w:tc>
        <w:tc>
          <w:tcPr>
            <w:tcW w:w="360" w:type="dxa"/>
            <w:vAlign w:val="bottom"/>
            <w:gridSpan w:val="3"/>
          </w:tcPr>
          <w:p>
            <w:pPr>
              <w:jc w:val="right"/>
              <w:spacing w:after="0" w:line="192" w:lineRule="exact"/>
              <w:rPr>
                <w:rFonts w:ascii="Arial" w:cs="Arial" w:eastAsia="Arial" w:hAnsi="Arial"/>
                <w:sz w:val="18"/>
                <w:szCs w:val="18"/>
                <w:color w:val="0000EE"/>
              </w:rPr>
            </w:pPr>
            <w:hyperlink w:anchor="page77">
              <w:r>
                <w:rPr>
                  <w:rFonts w:ascii="Arial" w:cs="Arial" w:eastAsia="Arial" w:hAnsi="Arial"/>
                  <w:sz w:val="18"/>
                  <w:szCs w:val="18"/>
                  <w:color w:val="0000EE"/>
                </w:rPr>
                <w:t>74</w:t>
              </w:r>
            </w:hyperlink>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top w:val="single" w:sz="8" w:color="0000EE"/>
            </w:tcBorders>
            <w:gridSpan w:val="2"/>
          </w:tcPr>
          <w:p>
            <w:pPr>
              <w:spacing w:after="0" w:line="192" w:lineRule="exact"/>
              <w:rPr>
                <w:rFonts w:ascii="Arial" w:cs="Arial" w:eastAsia="Arial" w:hAnsi="Arial"/>
                <w:sz w:val="18"/>
                <w:szCs w:val="18"/>
                <w:color w:val="0000EE"/>
                <w:w w:val="76"/>
              </w:rPr>
            </w:pPr>
            <w:hyperlink w:anchor="page77">
              <w:r>
                <w:rPr>
                  <w:rFonts w:ascii="Arial" w:cs="Arial" w:eastAsia="Arial" w:hAnsi="Arial"/>
                  <w:sz w:val="18"/>
                  <w:szCs w:val="18"/>
                  <w:color w:val="0000EE"/>
                  <w:w w:val="76"/>
                </w:rPr>
                <w:t>Item 11.</w:t>
              </w:r>
            </w:hyperlink>
          </w:p>
        </w:tc>
        <w:tc>
          <w:tcPr>
            <w:tcW w:w="40" w:type="dxa"/>
            <w:vAlign w:val="bottom"/>
            <w:tcBorders>
              <w:top w:val="single" w:sz="8" w:color="0000EE"/>
            </w:tcBorders>
          </w:tcPr>
          <w:p>
            <w:pPr>
              <w:spacing w:after="0"/>
              <w:rPr>
                <w:sz w:val="16"/>
                <w:szCs w:val="16"/>
                <w:color w:val="auto"/>
              </w:rPr>
            </w:pPr>
          </w:p>
        </w:tc>
        <w:tc>
          <w:tcPr>
            <w:tcW w:w="500" w:type="dxa"/>
            <w:vAlign w:val="bottom"/>
            <w:gridSpan w:val="2"/>
          </w:tcPr>
          <w:p>
            <w:pPr>
              <w:spacing w:after="0"/>
              <w:rPr>
                <w:sz w:val="16"/>
                <w:szCs w:val="16"/>
                <w:color w:val="auto"/>
              </w:rPr>
            </w:pPr>
          </w:p>
        </w:tc>
        <w:tc>
          <w:tcPr>
            <w:tcW w:w="5700" w:type="dxa"/>
            <w:vAlign w:val="bottom"/>
            <w:tcBorders>
              <w:top w:val="single" w:sz="8" w:color="0000EE"/>
            </w:tcBorders>
            <w:gridSpan w:val="14"/>
          </w:tcPr>
          <w:p>
            <w:pPr>
              <w:spacing w:after="0" w:line="192" w:lineRule="exact"/>
              <w:rPr>
                <w:rFonts w:ascii="Arial" w:cs="Arial" w:eastAsia="Arial" w:hAnsi="Arial"/>
                <w:sz w:val="18"/>
                <w:szCs w:val="18"/>
                <w:color w:val="0000EE"/>
              </w:rPr>
            </w:pPr>
            <w:hyperlink w:anchor="page77">
              <w:r>
                <w:rPr>
                  <w:rFonts w:ascii="Arial" w:cs="Arial" w:eastAsia="Arial" w:hAnsi="Arial"/>
                  <w:sz w:val="18"/>
                  <w:szCs w:val="18"/>
                  <w:color w:val="0000EE"/>
                </w:rPr>
                <w:t>EXECUTIVE COMPENSATION</w:t>
              </w:r>
            </w:hyperlink>
          </w:p>
        </w:tc>
        <w:tc>
          <w:tcPr>
            <w:tcW w:w="3640" w:type="dxa"/>
            <w:vAlign w:val="bottom"/>
            <w:gridSpan w:val="6"/>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74</w:t>
              </w:r>
            </w:hyperlink>
          </w:p>
        </w:tc>
      </w:tr>
      <w:tr>
        <w:trPr>
          <w:trHeight w:val="20"/>
        </w:trPr>
        <w:tc>
          <w:tcPr>
            <w:tcW w:w="5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16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80" w:type="dxa"/>
            <w:vAlign w:val="bottom"/>
            <w:gridSpan w:val="1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0000EE"/>
            </w:tcBorders>
            <w:gridSpan w:val="2"/>
          </w:tcPr>
          <w:p>
            <w:pPr>
              <w:spacing w:after="0" w:line="192" w:lineRule="exact"/>
              <w:rPr>
                <w:rFonts w:ascii="Arial" w:cs="Arial" w:eastAsia="Arial" w:hAnsi="Arial"/>
                <w:sz w:val="18"/>
                <w:szCs w:val="18"/>
                <w:color w:val="0000EE"/>
                <w:w w:val="76"/>
              </w:rPr>
            </w:pPr>
            <w:hyperlink w:anchor="page78">
              <w:r>
                <w:rPr>
                  <w:rFonts w:ascii="Arial" w:cs="Arial" w:eastAsia="Arial" w:hAnsi="Arial"/>
                  <w:sz w:val="18"/>
                  <w:szCs w:val="18"/>
                  <w:color w:val="0000EE"/>
                  <w:w w:val="76"/>
                </w:rPr>
                <w:t>Item 12.</w:t>
              </w:r>
            </w:hyperlink>
          </w:p>
        </w:tc>
        <w:tc>
          <w:tcPr>
            <w:tcW w:w="40" w:type="dxa"/>
            <w:vAlign w:val="bottom"/>
            <w:tcBorders>
              <w:bottom w:val="single" w:sz="8" w:color="0000EE"/>
            </w:tcBorders>
          </w:tcPr>
          <w:p>
            <w:pPr>
              <w:spacing w:after="0"/>
              <w:rPr>
                <w:sz w:val="16"/>
                <w:szCs w:val="16"/>
                <w:color w:val="auto"/>
              </w:rPr>
            </w:pPr>
          </w:p>
        </w:tc>
        <w:tc>
          <w:tcPr>
            <w:tcW w:w="500" w:type="dxa"/>
            <w:vAlign w:val="bottom"/>
            <w:gridSpan w:val="2"/>
          </w:tcPr>
          <w:p>
            <w:pPr>
              <w:spacing w:after="0"/>
              <w:rPr>
                <w:sz w:val="16"/>
                <w:szCs w:val="16"/>
                <w:color w:val="auto"/>
              </w:rPr>
            </w:pPr>
          </w:p>
        </w:tc>
        <w:tc>
          <w:tcPr>
            <w:tcW w:w="7880" w:type="dxa"/>
            <w:vAlign w:val="bottom"/>
            <w:tcBorders>
              <w:bottom w:val="single" w:sz="8" w:color="0000EE"/>
            </w:tcBorders>
            <w:gridSpan w:val="18"/>
          </w:tcPr>
          <w:p>
            <w:pPr>
              <w:spacing w:after="0" w:line="192" w:lineRule="exact"/>
              <w:rPr>
                <w:rFonts w:ascii="Arial" w:cs="Arial" w:eastAsia="Arial" w:hAnsi="Arial"/>
                <w:sz w:val="18"/>
                <w:szCs w:val="18"/>
                <w:color w:val="0000EE"/>
                <w:w w:val="95"/>
              </w:rPr>
            </w:pPr>
            <w:hyperlink w:anchor="page78">
              <w:r>
                <w:rPr>
                  <w:rFonts w:ascii="Arial" w:cs="Arial" w:eastAsia="Arial" w:hAnsi="Arial"/>
                  <w:sz w:val="18"/>
                  <w:szCs w:val="18"/>
                  <w:color w:val="0000EE"/>
                  <w:w w:val="95"/>
                </w:rPr>
                <w:t>SECURITY OWNERSHIP OF CERTAIN BENEFICIAL OWNERS AND MANAGEMENT AND RELATED</w:t>
              </w:r>
            </w:hyperlink>
          </w:p>
        </w:tc>
        <w:tc>
          <w:tcPr>
            <w:tcW w:w="146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75</w:t>
              </w:r>
            </w:hyperlink>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340" w:type="dxa"/>
            <w:vAlign w:val="bottom"/>
            <w:gridSpan w:val="20"/>
          </w:tcPr>
          <w:p>
            <w:pPr>
              <w:spacing w:after="0" w:line="192" w:lineRule="exact"/>
              <w:rPr>
                <w:rFonts w:ascii="Arial" w:cs="Arial" w:eastAsia="Arial" w:hAnsi="Arial"/>
                <w:sz w:val="18"/>
                <w:szCs w:val="18"/>
                <w:color w:val="0000EE"/>
              </w:rPr>
            </w:pPr>
            <w:hyperlink w:anchor="page78">
              <w:r>
                <w:rPr>
                  <w:rFonts w:ascii="Arial" w:cs="Arial" w:eastAsia="Arial" w:hAnsi="Arial"/>
                  <w:sz w:val="18"/>
                  <w:szCs w:val="18"/>
                  <w:color w:val="0000EE"/>
                </w:rPr>
                <w:t>STOCKHOLDER MATTERS</w:t>
              </w:r>
            </w:hyperlink>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931"/>
        </w:trPr>
        <w:tc>
          <w:tcPr>
            <w:tcW w:w="5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84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140" w:type="dxa"/>
            <w:vAlign w:val="bottom"/>
            <w:tcBorders>
              <w:top w:val="single" w:sz="8" w:color="0000EE"/>
              <w:bottom w:val="single" w:sz="8" w:color="808080"/>
            </w:tcBorders>
          </w:tcPr>
          <w:p>
            <w:pPr>
              <w:spacing w:after="0"/>
              <w:rPr>
                <w:sz w:val="24"/>
                <w:szCs w:val="24"/>
                <w:color w:val="auto"/>
              </w:rPr>
            </w:pPr>
          </w:p>
        </w:tc>
        <w:tc>
          <w:tcPr>
            <w:tcW w:w="620" w:type="dxa"/>
            <w:vAlign w:val="bottom"/>
            <w:tcBorders>
              <w:top w:val="single" w:sz="8" w:color="0000EE"/>
              <w:bottom w:val="single" w:sz="8" w:color="808080"/>
            </w:tcBorders>
          </w:tcPr>
          <w:p>
            <w:pPr>
              <w:spacing w:after="0"/>
              <w:rPr>
                <w:sz w:val="24"/>
                <w:szCs w:val="24"/>
                <w:color w:val="auto"/>
              </w:rPr>
            </w:pPr>
          </w:p>
        </w:tc>
        <w:tc>
          <w:tcPr>
            <w:tcW w:w="300" w:type="dxa"/>
            <w:vAlign w:val="bottom"/>
            <w:tcBorders>
              <w:top w:val="single" w:sz="8" w:color="0000EE"/>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-37465</wp:posOffset>
            </wp:positionV>
            <wp:extent cx="12700"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wp:posOffset>
            </wp:positionV>
            <wp:extent cx="127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404"/>
        </w:trPr>
        <w:tc>
          <w:tcPr>
            <w:tcW w:w="580" w:type="dxa"/>
            <w:vAlign w:val="bottom"/>
          </w:tcPr>
          <w:p>
            <w:pPr>
              <w:spacing w:after="0"/>
              <w:rPr>
                <w:sz w:val="24"/>
                <w:szCs w:val="24"/>
                <w:color w:val="auto"/>
              </w:rPr>
            </w:pPr>
          </w:p>
        </w:tc>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Item 13.</w:t>
              </w:r>
            </w:hyperlink>
          </w:p>
        </w:tc>
        <w:tc>
          <w:tcPr>
            <w:tcW w:w="540" w:type="dxa"/>
            <w:vAlign w:val="bottom"/>
          </w:tcPr>
          <w:p>
            <w:pPr>
              <w:spacing w:after="0"/>
              <w:rPr>
                <w:sz w:val="24"/>
                <w:szCs w:val="24"/>
                <w:color w:val="auto"/>
              </w:rPr>
            </w:pPr>
          </w:p>
        </w:tc>
        <w:tc>
          <w:tcPr>
            <w:tcW w:w="758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79">
              <w:r>
                <w:rPr>
                  <w:rFonts w:ascii="Arial" w:cs="Arial" w:eastAsia="Arial" w:hAnsi="Arial"/>
                  <w:sz w:val="18"/>
                  <w:szCs w:val="18"/>
                  <w:color w:val="0000EE"/>
                  <w:w w:val="94"/>
                </w:rPr>
                <w:t>CERTAIN RELATIONSHIPS AND RELATED TRANSACTIONS, AND DIRECTOR INDEPENDENCE</w:t>
              </w:r>
            </w:hyperlink>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76</w:t>
              </w:r>
            </w:hyperlink>
          </w:p>
        </w:tc>
      </w:tr>
      <w:tr>
        <w:trPr>
          <w:trHeight w:val="192"/>
        </w:trPr>
        <w:tc>
          <w:tcPr>
            <w:tcW w:w="580" w:type="dxa"/>
            <w:vAlign w:val="bottom"/>
          </w:tcPr>
          <w:p>
            <w:pPr>
              <w:spacing w:after="0"/>
              <w:rPr>
                <w:sz w:val="16"/>
                <w:szCs w:val="16"/>
                <w:color w:val="auto"/>
              </w:rPr>
            </w:pPr>
          </w:p>
        </w:tc>
        <w:tc>
          <w:tcPr>
            <w:tcW w:w="600" w:type="dxa"/>
            <w:vAlign w:val="bottom"/>
            <w:gridSpan w:val="3"/>
          </w:tcPr>
          <w:p>
            <w:pPr>
              <w:spacing w:after="0" w:line="192"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Item 14.</w:t>
              </w:r>
            </w:hyperlink>
          </w:p>
        </w:tc>
        <w:tc>
          <w:tcPr>
            <w:tcW w:w="540" w:type="dxa"/>
            <w:vAlign w:val="bottom"/>
          </w:tcPr>
          <w:p>
            <w:pPr>
              <w:spacing w:after="0"/>
              <w:rPr>
                <w:sz w:val="16"/>
                <w:szCs w:val="16"/>
                <w:color w:val="auto"/>
              </w:rPr>
            </w:pPr>
          </w:p>
        </w:tc>
        <w:tc>
          <w:tcPr>
            <w:tcW w:w="9340" w:type="dxa"/>
            <w:vAlign w:val="bottom"/>
            <w:gridSpan w:val="4"/>
          </w:tcPr>
          <w:p>
            <w:pPr>
              <w:spacing w:after="0" w:line="192" w:lineRule="exact"/>
              <w:rPr>
                <w:rFonts w:ascii="Arial" w:cs="Arial" w:eastAsia="Arial" w:hAnsi="Arial"/>
                <w:sz w:val="18"/>
                <w:szCs w:val="18"/>
                <w:color w:val="0000EE"/>
              </w:rPr>
            </w:pPr>
            <w:hyperlink w:anchor="page79">
              <w:r>
                <w:rPr>
                  <w:rFonts w:ascii="Arial" w:cs="Arial" w:eastAsia="Arial" w:hAnsi="Arial"/>
                  <w:sz w:val="18"/>
                  <w:szCs w:val="18"/>
                  <w:color w:val="0000EE"/>
                </w:rPr>
                <w:t>PRINCIPAL ACCOUNTING FEES AND SERVICES</w:t>
              </w:r>
            </w:hyperlink>
          </w:p>
        </w:tc>
        <w:tc>
          <w:tcPr>
            <w:tcW w:w="360" w:type="dxa"/>
            <w:vAlign w:val="bottom"/>
            <w:gridSpan w:val="2"/>
          </w:tcPr>
          <w:p>
            <w:pPr>
              <w:jc w:val="right"/>
              <w:spacing w:after="0" w:line="192" w:lineRule="exact"/>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r>
      <w:tr>
        <w:trPr>
          <w:trHeight w:val="20"/>
        </w:trPr>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2"/>
        </w:trPr>
        <w:tc>
          <w:tcPr>
            <w:tcW w:w="1180" w:type="dxa"/>
            <w:vAlign w:val="bottom"/>
            <w:gridSpan w:val="4"/>
          </w:tcPr>
          <w:p>
            <w:pPr>
              <w:spacing w:after="0" w:line="192" w:lineRule="exact"/>
              <w:rPr>
                <w:rFonts w:ascii="Arial" w:cs="Arial" w:eastAsia="Arial" w:hAnsi="Arial"/>
                <w:sz w:val="18"/>
                <w:szCs w:val="18"/>
                <w:color w:val="0000EE"/>
              </w:rPr>
            </w:pPr>
            <w:hyperlink w:anchor="page80">
              <w:r>
                <w:rPr>
                  <w:rFonts w:ascii="Arial" w:cs="Arial" w:eastAsia="Arial" w:hAnsi="Arial"/>
                  <w:sz w:val="18"/>
                  <w:szCs w:val="18"/>
                  <w:color w:val="0000EE"/>
                </w:rPr>
                <w:t>PART IV</w:t>
              </w:r>
            </w:hyperlink>
          </w:p>
        </w:tc>
        <w:tc>
          <w:tcPr>
            <w:tcW w:w="5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60" w:type="dxa"/>
            <w:vAlign w:val="bottom"/>
            <w:gridSpan w:val="2"/>
          </w:tcPr>
          <w:p>
            <w:pPr>
              <w:jc w:val="right"/>
              <w:spacing w:after="0" w:line="192" w:lineRule="exact"/>
              <w:rPr>
                <w:rFonts w:ascii="Arial" w:cs="Arial" w:eastAsia="Arial" w:hAnsi="Arial"/>
                <w:sz w:val="18"/>
                <w:szCs w:val="18"/>
                <w:color w:val="0000EE"/>
              </w:rPr>
            </w:pPr>
            <w:hyperlink w:anchor="page80">
              <w:r>
                <w:rPr>
                  <w:rFonts w:ascii="Arial" w:cs="Arial" w:eastAsia="Arial" w:hAnsi="Arial"/>
                  <w:sz w:val="18"/>
                  <w:szCs w:val="18"/>
                  <w:color w:val="0000EE"/>
                </w:rPr>
                <w:t>77</w:t>
              </w:r>
            </w:hyperlink>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600" w:type="dxa"/>
            <w:vAlign w:val="bottom"/>
            <w:gridSpan w:val="3"/>
          </w:tcPr>
          <w:p>
            <w:pPr>
              <w:spacing w:after="0" w:line="192"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Item 15.</w:t>
              </w:r>
            </w:hyperlink>
          </w:p>
        </w:tc>
        <w:tc>
          <w:tcPr>
            <w:tcW w:w="540" w:type="dxa"/>
            <w:vAlign w:val="bottom"/>
          </w:tcPr>
          <w:p>
            <w:pPr>
              <w:spacing w:after="0"/>
              <w:rPr>
                <w:sz w:val="16"/>
                <w:szCs w:val="16"/>
                <w:color w:val="auto"/>
              </w:rPr>
            </w:pPr>
          </w:p>
        </w:tc>
        <w:tc>
          <w:tcPr>
            <w:tcW w:w="9340" w:type="dxa"/>
            <w:vAlign w:val="bottom"/>
            <w:gridSpan w:val="4"/>
          </w:tcPr>
          <w:p>
            <w:pPr>
              <w:spacing w:after="0" w:line="192" w:lineRule="exact"/>
              <w:rPr>
                <w:rFonts w:ascii="Arial" w:cs="Arial" w:eastAsia="Arial" w:hAnsi="Arial"/>
                <w:sz w:val="18"/>
                <w:szCs w:val="18"/>
                <w:color w:val="0000EE"/>
              </w:rPr>
            </w:pPr>
            <w:hyperlink w:anchor="page80">
              <w:r>
                <w:rPr>
                  <w:rFonts w:ascii="Arial" w:cs="Arial" w:eastAsia="Arial" w:hAnsi="Arial"/>
                  <w:sz w:val="18"/>
                  <w:szCs w:val="18"/>
                  <w:color w:val="0000EE"/>
                </w:rPr>
                <w:t>EXHIBITS, FINANCIAL STATEMENT SCHEDULES</w:t>
              </w:r>
            </w:hyperlink>
          </w:p>
        </w:tc>
        <w:tc>
          <w:tcPr>
            <w:tcW w:w="360" w:type="dxa"/>
            <w:vAlign w:val="bottom"/>
            <w:gridSpan w:val="2"/>
          </w:tcPr>
          <w:p>
            <w:pPr>
              <w:jc w:val="right"/>
              <w:spacing w:after="0" w:line="192" w:lineRule="exact"/>
              <w:rPr>
                <w:rFonts w:ascii="Arial" w:cs="Arial" w:eastAsia="Arial" w:hAnsi="Arial"/>
                <w:sz w:val="18"/>
                <w:szCs w:val="18"/>
                <w:color w:val="0000EE"/>
              </w:rPr>
            </w:pPr>
            <w:hyperlink w:anchor="page80">
              <w:r>
                <w:rPr>
                  <w:rFonts w:ascii="Arial" w:cs="Arial" w:eastAsia="Arial" w:hAnsi="Arial"/>
                  <w:sz w:val="18"/>
                  <w:szCs w:val="18"/>
                  <w:color w:val="0000EE"/>
                </w:rPr>
                <w:t>77</w:t>
              </w:r>
            </w:hyperlink>
          </w:p>
        </w:tc>
      </w:tr>
      <w:tr>
        <w:trPr>
          <w:trHeight w:val="20"/>
        </w:trPr>
        <w:tc>
          <w:tcPr>
            <w:tcW w:w="58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2"/>
        </w:trPr>
        <w:tc>
          <w:tcPr>
            <w:tcW w:w="1180" w:type="dxa"/>
            <w:vAlign w:val="bottom"/>
            <w:gridSpan w:val="4"/>
          </w:tcPr>
          <w:p>
            <w:pPr>
              <w:spacing w:after="0" w:line="192" w:lineRule="exact"/>
              <w:rPr>
                <w:rFonts w:ascii="Arial" w:cs="Arial" w:eastAsia="Arial" w:hAnsi="Arial"/>
                <w:sz w:val="18"/>
                <w:szCs w:val="18"/>
                <w:color w:val="0000EE"/>
                <w:w w:val="99"/>
              </w:rPr>
            </w:pPr>
            <w:hyperlink w:anchor="page82">
              <w:r>
                <w:rPr>
                  <w:rFonts w:ascii="Arial" w:cs="Arial" w:eastAsia="Arial" w:hAnsi="Arial"/>
                  <w:sz w:val="18"/>
                  <w:szCs w:val="18"/>
                  <w:color w:val="0000EE"/>
                  <w:w w:val="99"/>
                </w:rPr>
                <w:t>SIGNATURES</w:t>
              </w:r>
            </w:hyperlink>
          </w:p>
        </w:tc>
        <w:tc>
          <w:tcPr>
            <w:tcW w:w="5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60" w:type="dxa"/>
            <w:vAlign w:val="bottom"/>
            <w:gridSpan w:val="2"/>
          </w:tcPr>
          <w:p>
            <w:pPr>
              <w:jc w:val="right"/>
              <w:spacing w:after="0" w:line="192" w:lineRule="exact"/>
              <w:rPr>
                <w:rFonts w:ascii="Arial" w:cs="Arial" w:eastAsia="Arial" w:hAnsi="Arial"/>
                <w:sz w:val="18"/>
                <w:szCs w:val="18"/>
                <w:color w:val="0000EE"/>
              </w:rPr>
            </w:pPr>
            <w:hyperlink w:anchor="page82">
              <w:r>
                <w:rPr>
                  <w:rFonts w:ascii="Arial" w:cs="Arial" w:eastAsia="Arial" w:hAnsi="Arial"/>
                  <w:sz w:val="18"/>
                  <w:szCs w:val="18"/>
                  <w:color w:val="0000EE"/>
                </w:rPr>
                <w:t>79</w:t>
              </w:r>
            </w:hyperlink>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2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i w:val="1"/>
          <w:iCs w:val="1"/>
          <w:color w:val="auto"/>
        </w:rPr>
        <w:t>This annual report on Form 10-K contains certain forward-looking statements within the meaning of Section 27A of the Securities Act of 1933, as amended, and Section 21E of the Securities Exchange Act of 1934, as amended, and are subject to the safe harbor created by those sections. For more information, see “Item 1. Business – Forward-Looking Statements.”</w:t>
      </w:r>
    </w:p>
    <w:p>
      <w:pPr>
        <w:spacing w:after="0" w:line="215"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and its wholly owned subsidiaries, NTI Facilities, Inc. and Northern Technologies Holding Company, LLC, and its majority owned subsidiary, Zerust Prevenção de Corrosão S.A., all of which are consolidated on NTIC’s consolidated financial statements. NTIC’s consolidated financial statements do not include the accounts of any of its joint ventures.</w:t>
      </w:r>
    </w:p>
    <w:p>
      <w:pPr>
        <w:spacing w:after="0" w:line="218" w:lineRule="exact"/>
        <w:rPr>
          <w:sz w:val="20"/>
          <w:szCs w:val="20"/>
          <w:color w:val="auto"/>
        </w:rPr>
      </w:pPr>
    </w:p>
    <w:p>
      <w:pPr>
        <w:jc w:val="both"/>
        <w:ind w:right="40"/>
        <w:spacing w:after="0" w:line="269" w:lineRule="auto"/>
        <w:rPr>
          <w:sz w:val="20"/>
          <w:szCs w:val="20"/>
          <w:color w:val="auto"/>
        </w:rPr>
      </w:pPr>
      <w:r>
        <w:rPr>
          <w:rFonts w:ascii="Arial" w:cs="Arial" w:eastAsia="Arial" w:hAnsi="Arial"/>
          <w:sz w:val="17"/>
          <w:szCs w:val="17"/>
          <w:i w:val="1"/>
          <w:iCs w:val="1"/>
          <w:color w:val="auto"/>
        </w:rPr>
        <w:t>References in this report to NTIC’s joint ventures do not include NTIC’s majority owned Brazilian subsidiary, Zerust Prevenção de Corrosão S.A. As used in this report, references to “Zerust Brazil” refer to NTIC’s majority owned Brazilian subsidiary, Zerust Prevenção de Corrosão S.A. As used in this report, references to “EXCOR” refer to NTIC’s primary joint venture in Germany, Excor Korrosionsschutz – Technologien und Produkte GmbH, references to “NTI ASEAN” refer to NTIC’s joint venture holding company for NTIC’s joint venture investments in the Association of Southeast Asian Nations (ASEAN) region, NTI ASEAN, LLC, and references to “HNTI” refer to NTIC’s joint venture in India, Harita NTI Limited.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413385</wp:posOffset>
            </wp:positionV>
            <wp:extent cx="725360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489"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4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Northern Technologies International Corporation develops and markets proprietary environmentally beneficial products and services in over 55 countries either directly or via a network of joint ventures, independent distributors and agents. NTIC’s primary business is corrosion prevention marketed mainly under the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NTIC has been selling its proprietary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and services to the automotive, electronics, electrical, mechanical, military and retail consumer markets for over 35 years, and more recently, has targeted and expanded into the oil and gas industry. NTIC also sells a portfolio of bio-based and biodegradable (compostable) polymer resin compounds and finished products marketed under the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These products are intended to reduce NTIC’s customers’ carbon footprint and provide environmentally sound disposal options.</w:t>
      </w:r>
    </w:p>
    <w:p>
      <w:pPr>
        <w:spacing w:after="0" w:line="216" w:lineRule="exact"/>
        <w:rPr>
          <w:sz w:val="20"/>
          <w:szCs w:val="20"/>
          <w:color w:val="auto"/>
        </w:rPr>
      </w:pPr>
    </w:p>
    <w:p>
      <w:pPr>
        <w:ind w:right="80"/>
        <w:spacing w:after="0" w:line="220" w:lineRule="auto"/>
        <w:rPr>
          <w:sz w:val="20"/>
          <w:szCs w:val="20"/>
          <w:color w:val="auto"/>
        </w:rPr>
      </w:pPr>
      <w:r>
        <w:rPr>
          <w:rFonts w:ascii="Arial" w:cs="Arial" w:eastAsia="Arial" w:hAnsi="Arial"/>
          <w:sz w:val="16"/>
          <w:szCs w:val="16"/>
          <w:color w:val="auto"/>
        </w:rPr>
        <w:t>In fiscal 2012, 92.1% of NTIC’s consolidated net sales were derived from the sales of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and services. NTIC’s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include plastic and paper packaging, liquids and coatings, rust removers and cleaners, diffusers and variations of these products designed specifically for the oil and gas industry. NTIC’s also offers worldwide on-site technical consulting for rust and corrosion prevention issues. NTIC’s technical service consultants work directly with the end users of NTIC’s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to analyze their specific needs and develop systems to meet their technical requirements. In North America, NTIC sells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prevention solutions through a direct sales force as well as a network of independent distributors and agents. Internationally, NTIC sells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prevention solutions through its majority owned Brazilian subsidiary, Zerust Prevenção de Corrosão S.A. (Zerust Brazil), and joint venture arrangements in Europe and Asia.</w:t>
      </w:r>
    </w:p>
    <w:p>
      <w:pPr>
        <w:spacing w:after="0" w:line="227" w:lineRule="exact"/>
        <w:rPr>
          <w:sz w:val="20"/>
          <w:szCs w:val="20"/>
          <w:color w:val="auto"/>
        </w:rPr>
      </w:pPr>
    </w:p>
    <w:p>
      <w:pPr>
        <w:ind w:right="200"/>
        <w:spacing w:after="0" w:line="219" w:lineRule="auto"/>
        <w:rPr>
          <w:sz w:val="20"/>
          <w:szCs w:val="20"/>
          <w:color w:val="auto"/>
        </w:rPr>
      </w:pPr>
      <w:r>
        <w:rPr>
          <w:rFonts w:ascii="Arial" w:cs="Arial" w:eastAsia="Arial" w:hAnsi="Arial"/>
          <w:sz w:val="18"/>
          <w:szCs w:val="18"/>
          <w:color w:val="auto"/>
        </w:rPr>
        <w:t>One of NTIC’s strategic initiatives is to expand into and penetrate other significantly larger markets for its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corrosion prevention solutions. For the past several years, NTIC has focused its sales and marketing efforts on the oil and gas industry since the infrastructure that supports that industry is typically constructed using metals that are highly susceptible to corrosion. NTIC believes that its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corrosion prevention solutions will minimize maintenance downtime on critical oil and gas industry infrastructure, extend the life of such infrastructure and reduce the risk of environmental pollution due to corrosion leaks.</w:t>
      </w:r>
    </w:p>
    <w:p>
      <w:pPr>
        <w:spacing w:after="0" w:line="229" w:lineRule="exact"/>
        <w:rPr>
          <w:sz w:val="20"/>
          <w:szCs w:val="20"/>
          <w:color w:val="auto"/>
        </w:rPr>
      </w:pPr>
    </w:p>
    <w:p>
      <w:pPr>
        <w:ind w:right="120"/>
        <w:spacing w:after="0" w:line="209" w:lineRule="auto"/>
        <w:rPr>
          <w:sz w:val="20"/>
          <w:szCs w:val="20"/>
          <w:color w:val="auto"/>
        </w:rPr>
      </w:pPr>
      <w:r>
        <w:rPr>
          <w:rFonts w:ascii="Arial" w:cs="Arial" w:eastAsia="Arial" w:hAnsi="Arial"/>
          <w:sz w:val="18"/>
          <w:szCs w:val="18"/>
          <w:color w:val="auto"/>
        </w:rPr>
        <w:t>Petroleo Brasileiro S.A. (Petrobras), an oil company located in Brazil, has conducted extensive multi-year product field trials of NTIC’s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rust and corrosion inhibiting products. During fiscal 2010, Zerust Brazil received a Phase I contract for an initial implementation of $1.4 million in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which was delivered in fiscal 2010 and fiscal 2011. During fiscal 2011, Zerust Brazil signed a Phase 2 contract with Petrobras to supply $2.4 million in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During fiscal 2012, Petrobras expanded this Phase 2 contract to supply an additional $657,000 in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bringing the total Phase 2 contract value to $3.1 million in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During early fiscal 2013, Zerust Brazil signed a Phase 3 contract with Petrobras to supply to supply $3.7 million in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w:t>
      </w:r>
    </w:p>
    <w:p>
      <w:pPr>
        <w:spacing w:after="0" w:line="130" w:lineRule="exact"/>
        <w:rPr>
          <w:sz w:val="20"/>
          <w:szCs w:val="20"/>
          <w:color w:val="auto"/>
        </w:rPr>
      </w:pPr>
    </w:p>
    <w:p>
      <w:pPr>
        <w:ind w:right="80"/>
        <w:spacing w:after="0" w:line="214" w:lineRule="auto"/>
        <w:rPr>
          <w:sz w:val="20"/>
          <w:szCs w:val="20"/>
          <w:color w:val="auto"/>
        </w:rPr>
      </w:pPr>
      <w:r>
        <w:rPr>
          <w:rFonts w:ascii="Arial" w:cs="Arial" w:eastAsia="Arial" w:hAnsi="Arial"/>
          <w:sz w:val="18"/>
          <w:szCs w:val="18"/>
          <w:color w:val="auto"/>
        </w:rPr>
        <w:t>NTIC is also pursuing opportunities to market its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rust and corrosion prevention solutions to other targeted potential customers in the oil and gas industry across several countries through NTIC’s joint venture partners and other strategic partners. NTIC believes the sale of its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corrosion prevention solutions to customers in the oil and gas industry will involve a long sales cycle, likely including a one- to multi-year trial period with each customer and a slow integration process thereafter.</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00"/>
          </w:cols>
          <w:pgMar w:left="240" w:top="267" w:right="259" w:bottom="1440" w:gutter="0" w:footer="0" w:header="0"/>
        </w:sectPr>
      </w:pPr>
    </w:p>
    <w:bookmarkStart w:id="4" w:name="page5"/>
    <w:bookmarkEnd w:id="4"/>
    <w:p>
      <w:pPr>
        <w:spacing w:after="0" w:line="245" w:lineRule="auto"/>
        <w:rPr>
          <w:sz w:val="20"/>
          <w:szCs w:val="20"/>
          <w:color w:val="auto"/>
        </w:rPr>
      </w:pPr>
      <w:r>
        <w:rPr>
          <w:rFonts w:ascii="Arial" w:cs="Arial" w:eastAsia="Arial" w:hAnsi="Arial"/>
          <w:sz w:val="17"/>
          <w:szCs w:val="17"/>
          <w:color w:val="auto"/>
        </w:rPr>
        <w:t>NTIC’s consolidated net sales for fiscal 2012 included $1.8 million in sales of Natur-Tec</w:t>
      </w:r>
      <w:r>
        <w:rPr>
          <w:rFonts w:ascii="Arial" w:cs="Arial" w:eastAsia="Arial" w:hAnsi="Arial"/>
          <w:sz w:val="23"/>
          <w:szCs w:val="23"/>
          <w:color w:val="auto"/>
          <w:vertAlign w:val="superscript"/>
        </w:rPr>
        <w:t>®</w:t>
      </w:r>
      <w:r>
        <w:rPr>
          <w:rFonts w:ascii="Arial" w:cs="Arial" w:eastAsia="Arial" w:hAnsi="Arial"/>
          <w:sz w:val="17"/>
          <w:szCs w:val="17"/>
          <w:color w:val="auto"/>
        </w:rPr>
        <w:t xml:space="preserve"> bio-plastic resin compounds and finished products. Natur-Tec</w:t>
      </w:r>
      <w:r>
        <w:rPr>
          <w:rFonts w:ascii="Arial" w:cs="Arial" w:eastAsia="Arial" w:hAnsi="Arial"/>
          <w:sz w:val="23"/>
          <w:szCs w:val="23"/>
          <w:color w:val="auto"/>
          <w:vertAlign w:val="superscript"/>
        </w:rPr>
        <w:t>®</w:t>
      </w:r>
      <w:r>
        <w:rPr>
          <w:rFonts w:ascii="Arial" w:cs="Arial" w:eastAsia="Arial" w:hAnsi="Arial"/>
          <w:sz w:val="17"/>
          <w:szCs w:val="17"/>
          <w:color w:val="auto"/>
        </w:rPr>
        <w:t xml:space="preserve"> bio-based and biodegradable plastics are manufactured using NTIC’s patented and/or proprietary technologies and are intended to replace conventional petroleum-based plastics. The Natur-Tec® bioplastics portfolio includes biopolymer resin compounds which are available in several grades tailored for a variety of applications, such as blown-film extrusion, extrusion coating, injection molding and rigid, engineered plastics, and finished products, including shopping and grocery bags, lawn and leaf bags, can liners, cutlery, packaging foam and bio-polymer coated paper products, which are engineered to be fully biodegradable in a composting environment. In North America, NTIC primarily markets its Natur-Tec® resin compounds and finished products through a network of national and regional distributors and independent agents. NTIC continues to see significant opportunities for finished bioplastic products and, therefore, continues to strengthen and expand its North American distribution network for finished Natur-Tec® bioplastic products. Internationally, NTIC sells its Natur-Tec® resin compounds and finished products both directly and through some of its joint venture arrangements, including in particular its joint venture in India, Harita NTI Limited (HNTI).</w:t>
      </w:r>
    </w:p>
    <w:p>
      <w:pPr>
        <w:spacing w:after="0" w:line="226"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During fiscal 2012, HNTI and a major global apparel brand entered into an agreement for the supply by HNTI of compostable packaging for branded garments. In addition, HNTI is pursuing applications for bioplastics in food and personal care product packaging through alliances with several local partners in India. In fiscal 2011, NTIC entered into an agreement with Italy-based Naturfuels s.r.l. to distribute its Natur-Tec® bioplastic materials and products in the Italian market. Under the terms of the distribution agreement, NTIC supplies Naturfuels with NTIC’s patented high-strength Natur-Tec® compostable film grade resin compounds to be used for the production of bio-plastic shopping and garbage bags on conventional plastic film production equipment. In 2011, the Italian government passed legislation banning the use of non-biodegradable plastic shopping bags. However, enforcement of this law has been delayed to allow Italian bag manufacturers to exhaust their current supply of conventional polyolefinic resins before completely changing to certified compostable resins. As a result, resin sales to Naturfuels are not expected to have a material effect on NTIC’s operating results until mid fiscal 2013.</w:t>
      </w:r>
    </w:p>
    <w:p>
      <w:pPr>
        <w:spacing w:after="0" w:line="18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In fiscal 2012, NTIC also received two research grants totaling $1 million over two years. The first one was a National Science Foundation – Small Business Technology Transfer Phase II grant for the development of Advanced Polylactide (PLA) materials for biobased and biodegradable plastic products, and the second one was a Department of Defense – Small Business Innovation Research Phase II grant for the development of biobased and marine biodegradable non-plastic bags for use on U.S. Naval ships. Both these projects are being conducted in collaboration with Ramani Narayan, Ph.D., a current director of NTIC, at Michigan State University.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w:t>
      </w:r>
    </w:p>
    <w:p>
      <w:pPr>
        <w:spacing w:after="0" w:line="250" w:lineRule="exact"/>
        <w:rPr>
          <w:sz w:val="20"/>
          <w:szCs w:val="20"/>
          <w:color w:val="auto"/>
        </w:rPr>
      </w:pPr>
    </w:p>
    <w:p>
      <w:pPr>
        <w:ind w:right="220"/>
        <w:spacing w:after="0" w:line="230" w:lineRule="auto"/>
        <w:rPr>
          <w:sz w:val="20"/>
          <w:szCs w:val="20"/>
          <w:color w:val="auto"/>
        </w:rPr>
      </w:pPr>
      <w:r>
        <w:rPr>
          <w:rFonts w:ascii="Arial" w:cs="Arial" w:eastAsia="Arial" w:hAnsi="Arial"/>
          <w:sz w:val="18"/>
          <w:szCs w:val="18"/>
          <w:color w:val="auto"/>
        </w:rPr>
        <w:t>NTIC participates, either directly or indirectly, in 23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sell NTIC’s Natur-Tec</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resin compounds. NTIC historically has funded its joint venture investments with cash generated from operations.</w:t>
      </w:r>
    </w:p>
    <w:p>
      <w:pPr>
        <w:spacing w:after="0" w:line="228"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The following table sets forth a list of NTIC’s operating joint ventures as of November 19, 2012, the country in which the joint venture is organized and NTIC’s ownership percentage in each joint venture: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12"/>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Percent (%)</w:t>
            </w: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Joint Venture Name</w:t>
            </w:r>
          </w:p>
        </w:tc>
        <w:tc>
          <w:tcPr>
            <w:tcW w:w="5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Country</w:t>
            </w:r>
          </w:p>
        </w:tc>
        <w:tc>
          <w:tcPr>
            <w:tcW w:w="5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06"/>
        </w:trPr>
        <w:tc>
          <w:tcPr>
            <w:tcW w:w="20" w:type="dxa"/>
            <w:vAlign w:val="bottom"/>
          </w:tcPr>
          <w:p>
            <w:pPr>
              <w:spacing w:after="0"/>
              <w:rPr>
                <w:sz w:val="17"/>
                <w:szCs w:val="17"/>
                <w:color w:val="auto"/>
              </w:rPr>
            </w:pPr>
          </w:p>
        </w:tc>
        <w:tc>
          <w:tcPr>
            <w:tcW w:w="684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TAIYONIC LTD.</w:t>
            </w:r>
          </w:p>
        </w:tc>
        <w:tc>
          <w:tcPr>
            <w:tcW w:w="580" w:type="dxa"/>
            <w:vAlign w:val="bottom"/>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81"/>
              </w:rPr>
              <w:t>Japan</w:t>
            </w:r>
          </w:p>
        </w:tc>
        <w:tc>
          <w:tcPr>
            <w:tcW w:w="580" w:type="dxa"/>
            <w:vAlign w:val="bottom"/>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94"/>
              </w:rPr>
              <w:t>50%</w:t>
            </w:r>
          </w:p>
        </w:tc>
      </w:tr>
      <w:tr>
        <w:trPr>
          <w:trHeight w:val="212"/>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ACOBAL SAS</w:t>
            </w:r>
          </w:p>
        </w:tc>
        <w:tc>
          <w:tcPr>
            <w:tcW w:w="5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France</w:t>
            </w:r>
          </w:p>
        </w:tc>
        <w:tc>
          <w:tcPr>
            <w:tcW w:w="2280" w:type="dxa"/>
            <w:vAlign w:val="bottom"/>
            <w:gridSpan w:val="2"/>
          </w:tcPr>
          <w:p>
            <w:pPr>
              <w:jc w:val="center"/>
              <w:ind w:left="532"/>
              <w:spacing w:after="0"/>
              <w:rPr>
                <w:sz w:val="20"/>
                <w:szCs w:val="20"/>
                <w:color w:val="auto"/>
              </w:rPr>
            </w:pPr>
            <w:r>
              <w:rPr>
                <w:rFonts w:ascii="Arial" w:cs="Arial" w:eastAsia="Arial" w:hAnsi="Arial"/>
                <w:sz w:val="18"/>
                <w:szCs w:val="18"/>
                <w:color w:val="auto"/>
                <w:w w:val="94"/>
              </w:rPr>
              <w:t>50%</w:t>
            </w:r>
          </w:p>
        </w:tc>
      </w:tr>
      <w:tr>
        <w:trPr>
          <w:trHeight w:val="212"/>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ZERUST-NIC (TAIWAN) CORP.</w:t>
            </w: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line="212" w:lineRule="exact"/>
              <w:rPr>
                <w:sz w:val="20"/>
                <w:szCs w:val="20"/>
                <w:color w:val="auto"/>
              </w:rPr>
            </w:pPr>
            <w:r>
              <w:rPr>
                <w:rFonts w:ascii="Arial" w:cs="Arial" w:eastAsia="Arial" w:hAnsi="Arial"/>
                <w:sz w:val="18"/>
                <w:szCs w:val="18"/>
                <w:color w:val="auto"/>
                <w:w w:val="85"/>
              </w:rPr>
              <w:t>Taiwan</w:t>
            </w:r>
            <w:r>
              <w:rPr>
                <w:rFonts w:ascii="Arial" w:cs="Arial" w:eastAsia="Arial" w:hAnsi="Arial"/>
                <w:sz w:val="24"/>
                <w:szCs w:val="24"/>
                <w:color w:val="auto"/>
                <w:w w:val="85"/>
                <w:vertAlign w:val="superscript"/>
              </w:rPr>
              <w:t>(1)</w:t>
            </w:r>
          </w:p>
        </w:tc>
        <w:tc>
          <w:tcPr>
            <w:tcW w:w="228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94"/>
              </w:rPr>
              <w:t>25%</w:t>
            </w:r>
          </w:p>
        </w:tc>
      </w:tr>
      <w:tr>
        <w:trPr>
          <w:trHeight w:val="212"/>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EXCOR GMBH</w:t>
            </w:r>
          </w:p>
        </w:tc>
        <w:tc>
          <w:tcPr>
            <w:tcW w:w="5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2280" w:type="dxa"/>
            <w:vAlign w:val="bottom"/>
            <w:gridSpan w:val="2"/>
          </w:tcPr>
          <w:p>
            <w:pPr>
              <w:jc w:val="center"/>
              <w:ind w:left="532"/>
              <w:spacing w:after="0"/>
              <w:rPr>
                <w:sz w:val="20"/>
                <w:szCs w:val="20"/>
                <w:color w:val="auto"/>
              </w:rPr>
            </w:pPr>
            <w:r>
              <w:rPr>
                <w:rFonts w:ascii="Arial" w:cs="Arial" w:eastAsia="Arial" w:hAnsi="Arial"/>
                <w:sz w:val="18"/>
                <w:szCs w:val="18"/>
                <w:color w:val="auto"/>
                <w:w w:val="94"/>
              </w:rPr>
              <w:t>50%</w:t>
            </w:r>
          </w:p>
        </w:tc>
      </w:tr>
      <w:tr>
        <w:trPr>
          <w:trHeight w:val="212"/>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ZERUST SINGAPORE PTE. LTD</w:t>
            </w: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line="212" w:lineRule="exact"/>
              <w:rPr>
                <w:sz w:val="20"/>
                <w:szCs w:val="20"/>
                <w:color w:val="auto"/>
              </w:rPr>
            </w:pPr>
            <w:r>
              <w:rPr>
                <w:rFonts w:ascii="Arial" w:cs="Arial" w:eastAsia="Arial" w:hAnsi="Arial"/>
                <w:sz w:val="18"/>
                <w:szCs w:val="18"/>
                <w:color w:val="auto"/>
                <w:w w:val="84"/>
              </w:rPr>
              <w:t>Singapore</w:t>
            </w:r>
            <w:r>
              <w:rPr>
                <w:rFonts w:ascii="Arial" w:cs="Arial" w:eastAsia="Arial" w:hAnsi="Arial"/>
                <w:sz w:val="24"/>
                <w:szCs w:val="24"/>
                <w:color w:val="auto"/>
                <w:w w:val="84"/>
                <w:vertAlign w:val="superscript"/>
              </w:rPr>
              <w:t>(1)</w:t>
            </w:r>
          </w:p>
        </w:tc>
        <w:tc>
          <w:tcPr>
            <w:tcW w:w="228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94"/>
              </w:rPr>
              <w:t>25%</w:t>
            </w:r>
          </w:p>
        </w:tc>
      </w:tr>
      <w:tr>
        <w:trPr>
          <w:trHeight w:val="212"/>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ZERUST AB</w:t>
            </w:r>
          </w:p>
        </w:tc>
        <w:tc>
          <w:tcPr>
            <w:tcW w:w="5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Sweden</w:t>
            </w:r>
          </w:p>
        </w:tc>
        <w:tc>
          <w:tcPr>
            <w:tcW w:w="2280" w:type="dxa"/>
            <w:vAlign w:val="bottom"/>
            <w:gridSpan w:val="2"/>
          </w:tcPr>
          <w:p>
            <w:pPr>
              <w:jc w:val="center"/>
              <w:ind w:left="532"/>
              <w:spacing w:after="0"/>
              <w:rPr>
                <w:sz w:val="20"/>
                <w:szCs w:val="20"/>
                <w:color w:val="auto"/>
              </w:rPr>
            </w:pPr>
            <w:r>
              <w:rPr>
                <w:rFonts w:ascii="Arial" w:cs="Arial" w:eastAsia="Arial" w:hAnsi="Arial"/>
                <w:sz w:val="18"/>
                <w:szCs w:val="18"/>
                <w:color w:val="auto"/>
                <w:w w:val="94"/>
              </w:rPr>
              <w:t>50%</w:t>
            </w:r>
          </w:p>
        </w:tc>
      </w:tr>
      <w:tr>
        <w:trPr>
          <w:trHeight w:val="212"/>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MOSTNIC-ZERUST</w:t>
            </w: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Russia</w:t>
            </w:r>
          </w:p>
        </w:tc>
        <w:tc>
          <w:tcPr>
            <w:tcW w:w="228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94"/>
              </w:rPr>
              <w:t>50%</w:t>
            </w:r>
          </w:p>
        </w:tc>
      </w:tr>
      <w:tr>
        <w:trPr>
          <w:trHeight w:val="212"/>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KOREA ZERUST CO., LTD.</w:t>
            </w:r>
          </w:p>
        </w:tc>
        <w:tc>
          <w:tcPr>
            <w:tcW w:w="5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South Korea</w:t>
            </w:r>
          </w:p>
        </w:tc>
        <w:tc>
          <w:tcPr>
            <w:tcW w:w="2280" w:type="dxa"/>
            <w:vAlign w:val="bottom"/>
            <w:gridSpan w:val="2"/>
          </w:tcPr>
          <w:p>
            <w:pPr>
              <w:jc w:val="center"/>
              <w:ind w:left="532"/>
              <w:spacing w:after="0"/>
              <w:rPr>
                <w:sz w:val="20"/>
                <w:szCs w:val="20"/>
                <w:color w:val="auto"/>
              </w:rPr>
            </w:pPr>
            <w:r>
              <w:rPr>
                <w:rFonts w:ascii="Arial" w:cs="Arial" w:eastAsia="Arial" w:hAnsi="Arial"/>
                <w:sz w:val="18"/>
                <w:szCs w:val="18"/>
                <w:color w:val="auto"/>
                <w:w w:val="94"/>
              </w:rPr>
              <w:t>25%</w:t>
            </w:r>
          </w:p>
        </w:tc>
      </w:tr>
      <w:tr>
        <w:trPr>
          <w:trHeight w:val="212"/>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ZERUST OY</w:t>
            </w: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Finland</w:t>
            </w:r>
          </w:p>
        </w:tc>
        <w:tc>
          <w:tcPr>
            <w:tcW w:w="228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94"/>
              </w:rPr>
              <w:t>50%</w:t>
            </w:r>
          </w:p>
        </w:tc>
      </w:tr>
      <w:tr>
        <w:trPr>
          <w:trHeight w:val="212"/>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ZERUST (U.K.) LTD.</w:t>
            </w:r>
          </w:p>
        </w:tc>
        <w:tc>
          <w:tcPr>
            <w:tcW w:w="5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c>
          <w:tcPr>
            <w:tcW w:w="2280" w:type="dxa"/>
            <w:vAlign w:val="bottom"/>
            <w:gridSpan w:val="2"/>
          </w:tcPr>
          <w:p>
            <w:pPr>
              <w:jc w:val="center"/>
              <w:ind w:left="532"/>
              <w:spacing w:after="0"/>
              <w:rPr>
                <w:sz w:val="20"/>
                <w:szCs w:val="20"/>
                <w:color w:val="auto"/>
              </w:rPr>
            </w:pPr>
            <w:r>
              <w:rPr>
                <w:rFonts w:ascii="Arial" w:cs="Arial" w:eastAsia="Arial" w:hAnsi="Arial"/>
                <w:sz w:val="18"/>
                <w:szCs w:val="18"/>
                <w:color w:val="auto"/>
                <w:w w:val="94"/>
              </w:rPr>
              <w:t>50%</w:t>
            </w:r>
          </w:p>
        </w:tc>
      </w:tr>
      <w:tr>
        <w:trPr>
          <w:trHeight w:val="212"/>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EXCOR-ZERUST S.R.O.</w:t>
            </w: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Czech Republic</w:t>
            </w:r>
          </w:p>
        </w:tc>
        <w:tc>
          <w:tcPr>
            <w:tcW w:w="228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94"/>
              </w:rPr>
              <w:t>50%</w:t>
            </w:r>
          </w:p>
        </w:tc>
      </w:tr>
      <w:tr>
        <w:trPr>
          <w:trHeight w:val="212"/>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EXCOR SP. Z.O.O.</w:t>
            </w:r>
          </w:p>
        </w:tc>
        <w:tc>
          <w:tcPr>
            <w:tcW w:w="5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Poland</w:t>
            </w:r>
          </w:p>
        </w:tc>
        <w:tc>
          <w:tcPr>
            <w:tcW w:w="2280" w:type="dxa"/>
            <w:vAlign w:val="bottom"/>
            <w:gridSpan w:val="2"/>
          </w:tcPr>
          <w:p>
            <w:pPr>
              <w:jc w:val="center"/>
              <w:ind w:left="532"/>
              <w:spacing w:after="0"/>
              <w:rPr>
                <w:sz w:val="20"/>
                <w:szCs w:val="20"/>
                <w:color w:val="auto"/>
              </w:rPr>
            </w:pPr>
            <w:r>
              <w:rPr>
                <w:rFonts w:ascii="Arial" w:cs="Arial" w:eastAsia="Arial" w:hAnsi="Arial"/>
                <w:sz w:val="18"/>
                <w:szCs w:val="18"/>
                <w:color w:val="auto"/>
                <w:w w:val="94"/>
              </w:rPr>
              <w:t>50%</w:t>
            </w:r>
          </w:p>
        </w:tc>
      </w:tr>
      <w:tr>
        <w:trPr>
          <w:trHeight w:val="212"/>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ZERUST SPECIALTY TECH CO. LTD.</w:t>
            </w: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line="212" w:lineRule="exact"/>
              <w:rPr>
                <w:sz w:val="20"/>
                <w:szCs w:val="20"/>
                <w:color w:val="auto"/>
              </w:rPr>
            </w:pPr>
            <w:r>
              <w:rPr>
                <w:rFonts w:ascii="Arial" w:cs="Arial" w:eastAsia="Arial" w:hAnsi="Arial"/>
                <w:sz w:val="18"/>
                <w:szCs w:val="18"/>
                <w:color w:val="auto"/>
                <w:w w:val="87"/>
              </w:rPr>
              <w:t>Thailand</w:t>
            </w:r>
            <w:r>
              <w:rPr>
                <w:rFonts w:ascii="Arial" w:cs="Arial" w:eastAsia="Arial" w:hAnsi="Arial"/>
                <w:sz w:val="24"/>
                <w:szCs w:val="24"/>
                <w:color w:val="auto"/>
                <w:w w:val="87"/>
                <w:vertAlign w:val="superscript"/>
              </w:rPr>
              <w:t>(1)</w:t>
            </w:r>
          </w:p>
        </w:tc>
        <w:tc>
          <w:tcPr>
            <w:tcW w:w="228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94"/>
              </w:rPr>
              <w:t>25%</w:t>
            </w:r>
          </w:p>
        </w:tc>
      </w:tr>
      <w:tr>
        <w:trPr>
          <w:trHeight w:val="212"/>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TIANJIN ZERUST CO.</w:t>
            </w:r>
          </w:p>
        </w:tc>
        <w:tc>
          <w:tcPr>
            <w:tcW w:w="580" w:type="dxa"/>
            <w:vAlign w:val="bottom"/>
          </w:tcPr>
          <w:p>
            <w:pPr>
              <w:spacing w:after="0"/>
              <w:rPr>
                <w:sz w:val="18"/>
                <w:szCs w:val="18"/>
                <w:color w:val="auto"/>
              </w:rPr>
            </w:pPr>
          </w:p>
        </w:tc>
        <w:tc>
          <w:tcPr>
            <w:tcW w:w="1700" w:type="dxa"/>
            <w:vAlign w:val="bottom"/>
          </w:tcPr>
          <w:p>
            <w:pPr>
              <w:jc w:val="center"/>
              <w:spacing w:after="0" w:line="212" w:lineRule="exact"/>
              <w:rPr>
                <w:sz w:val="20"/>
                <w:szCs w:val="20"/>
                <w:color w:val="auto"/>
              </w:rPr>
            </w:pPr>
            <w:r>
              <w:rPr>
                <w:rFonts w:ascii="Arial" w:cs="Arial" w:eastAsia="Arial" w:hAnsi="Arial"/>
                <w:sz w:val="18"/>
                <w:szCs w:val="18"/>
                <w:color w:val="auto"/>
                <w:w w:val="84"/>
              </w:rPr>
              <w:t>China</w:t>
            </w:r>
            <w:r>
              <w:rPr>
                <w:rFonts w:ascii="Arial" w:cs="Arial" w:eastAsia="Arial" w:hAnsi="Arial"/>
                <w:sz w:val="24"/>
                <w:szCs w:val="24"/>
                <w:color w:val="auto"/>
                <w:w w:val="84"/>
                <w:vertAlign w:val="superscript"/>
              </w:rPr>
              <w:t>(1)</w:t>
            </w:r>
          </w:p>
        </w:tc>
        <w:tc>
          <w:tcPr>
            <w:tcW w:w="2280" w:type="dxa"/>
            <w:vAlign w:val="bottom"/>
            <w:gridSpan w:val="2"/>
          </w:tcPr>
          <w:p>
            <w:pPr>
              <w:jc w:val="center"/>
              <w:ind w:left="532"/>
              <w:spacing w:after="0"/>
              <w:rPr>
                <w:sz w:val="20"/>
                <w:szCs w:val="20"/>
                <w:color w:val="auto"/>
              </w:rPr>
            </w:pPr>
            <w:r>
              <w:rPr>
                <w:rFonts w:ascii="Arial" w:cs="Arial" w:eastAsia="Arial" w:hAnsi="Arial"/>
                <w:sz w:val="18"/>
                <w:szCs w:val="18"/>
                <w:color w:val="auto"/>
                <w:w w:val="94"/>
              </w:rPr>
              <w:t>25%</w:t>
            </w:r>
          </w:p>
        </w:tc>
      </w:tr>
      <w:tr>
        <w:trPr>
          <w:trHeight w:val="212"/>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HARITA NTI LIMITED</w:t>
            </w: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India</w:t>
            </w:r>
          </w:p>
        </w:tc>
        <w:tc>
          <w:tcPr>
            <w:tcW w:w="228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94"/>
              </w:rPr>
              <w:t>50%</w:t>
            </w:r>
          </w:p>
        </w:tc>
      </w:tr>
      <w:tr>
        <w:trPr>
          <w:trHeight w:val="212"/>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CHONG WAH-NTIA SDN. BHD.</w:t>
            </w:r>
          </w:p>
        </w:tc>
        <w:tc>
          <w:tcPr>
            <w:tcW w:w="580" w:type="dxa"/>
            <w:vAlign w:val="bottom"/>
          </w:tcPr>
          <w:p>
            <w:pPr>
              <w:spacing w:after="0"/>
              <w:rPr>
                <w:sz w:val="18"/>
                <w:szCs w:val="18"/>
                <w:color w:val="auto"/>
              </w:rPr>
            </w:pPr>
          </w:p>
        </w:tc>
        <w:tc>
          <w:tcPr>
            <w:tcW w:w="1700" w:type="dxa"/>
            <w:vAlign w:val="bottom"/>
          </w:tcPr>
          <w:p>
            <w:pPr>
              <w:jc w:val="center"/>
              <w:spacing w:after="0" w:line="212" w:lineRule="exact"/>
              <w:rPr>
                <w:sz w:val="20"/>
                <w:szCs w:val="20"/>
                <w:color w:val="auto"/>
              </w:rPr>
            </w:pPr>
            <w:r>
              <w:rPr>
                <w:rFonts w:ascii="Arial" w:cs="Arial" w:eastAsia="Arial" w:hAnsi="Arial"/>
                <w:sz w:val="18"/>
                <w:szCs w:val="18"/>
                <w:color w:val="auto"/>
                <w:w w:val="86"/>
              </w:rPr>
              <w:t>Malaysia</w:t>
            </w:r>
            <w:r>
              <w:rPr>
                <w:rFonts w:ascii="Arial" w:cs="Arial" w:eastAsia="Arial" w:hAnsi="Arial"/>
                <w:sz w:val="24"/>
                <w:szCs w:val="24"/>
                <w:color w:val="auto"/>
                <w:w w:val="86"/>
                <w:vertAlign w:val="superscript"/>
              </w:rPr>
              <w:t>(1)</w:t>
            </w:r>
          </w:p>
        </w:tc>
        <w:tc>
          <w:tcPr>
            <w:tcW w:w="2280" w:type="dxa"/>
            <w:vAlign w:val="bottom"/>
            <w:gridSpan w:val="2"/>
          </w:tcPr>
          <w:p>
            <w:pPr>
              <w:jc w:val="center"/>
              <w:ind w:left="532"/>
              <w:spacing w:after="0"/>
              <w:rPr>
                <w:sz w:val="20"/>
                <w:szCs w:val="20"/>
                <w:color w:val="auto"/>
              </w:rPr>
            </w:pPr>
            <w:r>
              <w:rPr>
                <w:rFonts w:ascii="Arial" w:cs="Arial" w:eastAsia="Arial" w:hAnsi="Arial"/>
                <w:sz w:val="18"/>
                <w:szCs w:val="18"/>
                <w:color w:val="auto"/>
                <w:w w:val="94"/>
              </w:rPr>
              <w:t>25%</w:t>
            </w:r>
          </w:p>
        </w:tc>
      </w:tr>
      <w:tr>
        <w:trPr>
          <w:trHeight w:val="212"/>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NTIA ZERUST PHILIPPINES, INC.</w:t>
            </w: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line="212" w:lineRule="exact"/>
              <w:rPr>
                <w:sz w:val="20"/>
                <w:szCs w:val="20"/>
                <w:color w:val="auto"/>
              </w:rPr>
            </w:pPr>
            <w:r>
              <w:rPr>
                <w:rFonts w:ascii="Arial" w:cs="Arial" w:eastAsia="Arial" w:hAnsi="Arial"/>
                <w:sz w:val="18"/>
                <w:szCs w:val="18"/>
                <w:color w:val="auto"/>
                <w:w w:val="88"/>
              </w:rPr>
              <w:t>Philippines</w:t>
            </w:r>
            <w:r>
              <w:rPr>
                <w:rFonts w:ascii="Arial" w:cs="Arial" w:eastAsia="Arial" w:hAnsi="Arial"/>
                <w:sz w:val="24"/>
                <w:szCs w:val="24"/>
                <w:color w:val="auto"/>
                <w:w w:val="88"/>
                <w:vertAlign w:val="superscript"/>
              </w:rPr>
              <w:t>(1)</w:t>
            </w:r>
          </w:p>
        </w:tc>
        <w:tc>
          <w:tcPr>
            <w:tcW w:w="228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94"/>
              </w:rPr>
              <w:t>25%</w:t>
            </w:r>
          </w:p>
        </w:tc>
      </w:tr>
      <w:tr>
        <w:trPr>
          <w:trHeight w:val="212"/>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ZERUST A.Ş.</w:t>
            </w:r>
          </w:p>
        </w:tc>
        <w:tc>
          <w:tcPr>
            <w:tcW w:w="5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Turkey</w:t>
            </w:r>
          </w:p>
        </w:tc>
        <w:tc>
          <w:tcPr>
            <w:tcW w:w="2280" w:type="dxa"/>
            <w:vAlign w:val="bottom"/>
            <w:gridSpan w:val="2"/>
          </w:tcPr>
          <w:p>
            <w:pPr>
              <w:jc w:val="center"/>
              <w:ind w:left="532"/>
              <w:spacing w:after="0"/>
              <w:rPr>
                <w:sz w:val="20"/>
                <w:szCs w:val="20"/>
                <w:color w:val="auto"/>
              </w:rPr>
            </w:pPr>
            <w:r>
              <w:rPr>
                <w:rFonts w:ascii="Arial" w:cs="Arial" w:eastAsia="Arial" w:hAnsi="Arial"/>
                <w:sz w:val="18"/>
                <w:szCs w:val="18"/>
                <w:color w:val="auto"/>
                <w:w w:val="94"/>
              </w:rPr>
              <w:t>50%</w:t>
            </w:r>
          </w:p>
        </w:tc>
      </w:tr>
      <w:tr>
        <w:trPr>
          <w:trHeight w:val="212"/>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ZERUST CONSUMER PRODUCTS, LLC</w:t>
            </w: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United States</w:t>
            </w:r>
          </w:p>
        </w:tc>
        <w:tc>
          <w:tcPr>
            <w:tcW w:w="228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94"/>
              </w:rPr>
              <w:t>50%</w:t>
            </w:r>
          </w:p>
        </w:tc>
      </w:tr>
      <w:tr>
        <w:trPr>
          <w:trHeight w:val="212"/>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ZERUST – DNEPR</w:t>
            </w:r>
          </w:p>
        </w:tc>
        <w:tc>
          <w:tcPr>
            <w:tcW w:w="5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Ukraine</w:t>
            </w:r>
          </w:p>
        </w:tc>
        <w:tc>
          <w:tcPr>
            <w:tcW w:w="2280" w:type="dxa"/>
            <w:vAlign w:val="bottom"/>
            <w:gridSpan w:val="2"/>
          </w:tcPr>
          <w:p>
            <w:pPr>
              <w:jc w:val="center"/>
              <w:ind w:left="532"/>
              <w:spacing w:after="0"/>
              <w:rPr>
                <w:sz w:val="20"/>
                <w:szCs w:val="20"/>
                <w:color w:val="auto"/>
              </w:rPr>
            </w:pPr>
            <w:r>
              <w:rPr>
                <w:rFonts w:ascii="Arial" w:cs="Arial" w:eastAsia="Arial" w:hAnsi="Arial"/>
                <w:sz w:val="18"/>
                <w:szCs w:val="18"/>
                <w:color w:val="auto"/>
                <w:w w:val="94"/>
              </w:rPr>
              <w:t>50%</w:t>
            </w:r>
          </w:p>
        </w:tc>
      </w:tr>
      <w:tr>
        <w:trPr>
          <w:trHeight w:val="212"/>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PT. CHEMINDO – NTIA</w:t>
            </w: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line="212" w:lineRule="exact"/>
              <w:rPr>
                <w:sz w:val="20"/>
                <w:szCs w:val="20"/>
                <w:color w:val="auto"/>
              </w:rPr>
            </w:pPr>
            <w:r>
              <w:rPr>
                <w:rFonts w:ascii="Arial" w:cs="Arial" w:eastAsia="Arial" w:hAnsi="Arial"/>
                <w:sz w:val="18"/>
                <w:szCs w:val="18"/>
                <w:color w:val="auto"/>
                <w:w w:val="83"/>
              </w:rPr>
              <w:t>Indonesia</w:t>
            </w:r>
            <w:r>
              <w:rPr>
                <w:rFonts w:ascii="Arial" w:cs="Arial" w:eastAsia="Arial" w:hAnsi="Arial"/>
                <w:sz w:val="24"/>
                <w:szCs w:val="24"/>
                <w:color w:val="auto"/>
                <w:w w:val="83"/>
                <w:vertAlign w:val="superscript"/>
              </w:rPr>
              <w:t>(1)</w:t>
            </w:r>
          </w:p>
        </w:tc>
        <w:tc>
          <w:tcPr>
            <w:tcW w:w="228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94"/>
              </w:rPr>
              <w:t>25%</w:t>
            </w:r>
          </w:p>
        </w:tc>
      </w:tr>
      <w:tr>
        <w:trPr>
          <w:trHeight w:val="212"/>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LENPROMTECHNOLOGIES, LLC</w:t>
            </w:r>
          </w:p>
        </w:tc>
        <w:tc>
          <w:tcPr>
            <w:tcW w:w="5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3"/>
              </w:rPr>
              <w:t>Russia</w:t>
            </w:r>
          </w:p>
        </w:tc>
        <w:tc>
          <w:tcPr>
            <w:tcW w:w="2280" w:type="dxa"/>
            <w:vAlign w:val="bottom"/>
            <w:gridSpan w:val="2"/>
          </w:tcPr>
          <w:p>
            <w:pPr>
              <w:jc w:val="center"/>
              <w:ind w:left="532"/>
              <w:spacing w:after="0"/>
              <w:rPr>
                <w:sz w:val="20"/>
                <w:szCs w:val="20"/>
                <w:color w:val="auto"/>
              </w:rPr>
            </w:pPr>
            <w:r>
              <w:rPr>
                <w:rFonts w:ascii="Arial" w:cs="Arial" w:eastAsia="Arial" w:hAnsi="Arial"/>
                <w:sz w:val="18"/>
                <w:szCs w:val="18"/>
                <w:color w:val="auto"/>
                <w:w w:val="94"/>
              </w:rPr>
              <w:t>50%</w:t>
            </w:r>
          </w:p>
        </w:tc>
      </w:tr>
      <w:tr>
        <w:trPr>
          <w:trHeight w:val="212"/>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MUTEC GMBH</w:t>
            </w: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line="212" w:lineRule="exact"/>
              <w:rPr>
                <w:sz w:val="20"/>
                <w:szCs w:val="20"/>
                <w:color w:val="auto"/>
              </w:rPr>
            </w:pPr>
            <w:r>
              <w:rPr>
                <w:rFonts w:ascii="Arial" w:cs="Arial" w:eastAsia="Arial" w:hAnsi="Arial"/>
                <w:sz w:val="18"/>
                <w:szCs w:val="18"/>
                <w:color w:val="auto"/>
                <w:w w:val="85"/>
              </w:rPr>
              <w:t>Germany</w:t>
            </w:r>
            <w:r>
              <w:rPr>
                <w:rFonts w:ascii="Arial" w:cs="Arial" w:eastAsia="Arial" w:hAnsi="Arial"/>
                <w:sz w:val="24"/>
                <w:szCs w:val="24"/>
                <w:color w:val="auto"/>
                <w:w w:val="85"/>
                <w:vertAlign w:val="superscript"/>
              </w:rPr>
              <w:t>(2)</w:t>
            </w:r>
          </w:p>
        </w:tc>
        <w:tc>
          <w:tcPr>
            <w:tcW w:w="228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94"/>
              </w:rPr>
              <w:t>44%</w:t>
            </w: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____________________</w:t>
            </w:r>
          </w:p>
        </w:tc>
        <w:tc>
          <w:tcPr>
            <w:tcW w:w="5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pacing w:after="0" w:line="215" w:lineRule="exact"/>
        <w:rPr>
          <w:sz w:val="20"/>
          <w:szCs w:val="20"/>
          <w:color w:val="auto"/>
        </w:rPr>
      </w:pPr>
    </w:p>
    <w:p>
      <w:pPr>
        <w:ind w:left="480" w:hanging="47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Indirect ownership interest through NTI ASEAN, LLC.</w:t>
      </w:r>
    </w:p>
    <w:p>
      <w:pPr>
        <w:spacing w:after="0" w:line="16" w:lineRule="exact"/>
        <w:rPr>
          <w:rFonts w:ascii="Arial" w:cs="Arial" w:eastAsia="Arial" w:hAnsi="Arial"/>
          <w:sz w:val="18"/>
          <w:szCs w:val="18"/>
          <w:color w:val="auto"/>
        </w:rPr>
      </w:pPr>
    </w:p>
    <w:p>
      <w:pPr>
        <w:ind w:left="480" w:hanging="47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Indirect ownership through Northern Instruments Corporation LLC.</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NTIC typically owns a 50% ownership interest in each of its joint ventures. However, NTIC owns a 50% ownership interest in NTI ASEAN, LLC for NTIC’s joint venture investments in the Association of Southeast Asian Nations (ASEAN) region, and thus owns less than 50% of each of the joint ventures held through NTI ASEAN, LLC. Taiyo Petroleum Gas Co. Ltd., NTIC’s existing joint venture partner in Japan, owns the remaining 50% ownership interest in NTI ASEAN, LLC.</w:t>
      </w:r>
    </w:p>
    <w:p>
      <w:pPr>
        <w:spacing w:after="0" w:line="21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NTIC has a 50% ownership interest in Northern Instruments Corporation LLC for NTIC’s joint venture investment in Mütec GmbH in Germany. Taiyo Petroleum Gas Co. Ltd. owns the remaining 50% ownership interest in Northern Instruments Corporation LLC. Northern Instruments Corporation LLC in turn owns 88% of Mütec GmbH. Mütec GmbH manufactures proprietary electronic sensing instruments, which it sells through distributors as well as certain joint ventures.</w:t>
      </w:r>
    </w:p>
    <w:p>
      <w:pPr>
        <w:spacing w:after="0" w:line="21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NTIC’s joint venture in Germany, EXCOR GmbH (EXCOR), and NTIC’s ASEAN joint venture holding company (NTI ASEAN) are considered significant to NTIC’s consolidated assets and income; and therefore, NTIC provides certain additional financial information regarding these entities in the notes to NTIC’s consolidated financial statements and elsewhere in this report.</w:t>
      </w:r>
    </w:p>
    <w:p>
      <w:pPr>
        <w:spacing w:after="0" w:line="215"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NTIC’s receipt of funds from its joint ventures as a result of sales by its joint ventures is dependent upon NTIC’s receipt of dividend distributions from the joint ventures and NTIC’s receipt of fees for services that NTIC provides to its joint ventures based primarily on the revenues of the joint ventures. The profits of NTIC’s joint ventures are shared by the respective joint venture owners in accordance with their respective ownership percentages. NTIC typically owns 50% or less of each of its joint venture entities and does not control the decisions of these entities regarding whether to pay dividends and, if paid, how much the dividend should be in any given year. NTIC’s equity in income from its joint ventures was $5,519,795 in fiscal 2012 compared to $5,536,243 in fiscal 2011, a decrease of 0.3%. NTIC provides certain services to its joint ventures, including technical consulting, legal, insurance, technical and marketing</w:t>
      </w:r>
    </w:p>
    <w:p>
      <w:pPr>
        <w:spacing w:after="0" w:line="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services. NTIC’s fee income for services provided to joint ventures was $4,622,912 in fiscal 2012 compared to $6,129,979 in fiscal 2011, a decrease of 24.6%, primarily as a result of decreased joint venture sales, which decreased 6.2% to $111,830,961 during fiscal 2012 compared to $119,276,553 during fiscal 2011, and a waiver of fees for services provided to the joint ventures by NTIC during the third quarter of fiscal 2012, as described in more detail later in this report. Sales by NTIC’s joint ventures are not included in the net sales of NTIC. NTIC incurs direct expenses related to its joint ventures and in connection with NTIC’s provision of services to its joint ventures. Such expenses include items such as employee compensation and benefits, travel, consulting, legal and lab supplies and testing expenses. NTIC incurred $1,054,914 in direct joint venture expenses in fiscal 2012 compared to $1,000,576 in fiscal 2011, representing an increase of 5.4%.</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6" w:name="page7"/>
    <w:bookmarkEnd w:id="6"/>
    <w:p>
      <w:pPr>
        <w:ind w:right="200"/>
        <w:spacing w:after="0" w:line="252" w:lineRule="auto"/>
        <w:rPr>
          <w:sz w:val="20"/>
          <w:szCs w:val="20"/>
          <w:color w:val="auto"/>
        </w:rPr>
      </w:pPr>
      <w:r>
        <w:rPr>
          <w:rFonts w:ascii="Arial" w:cs="Arial" w:eastAsia="Arial" w:hAnsi="Arial"/>
          <w:sz w:val="18"/>
          <w:szCs w:val="18"/>
          <w:color w:val="auto"/>
        </w:rPr>
        <w:t>While NTIC is not aware of any specific potential risk beyond its initial investment in and any undistributed earnings of each of its joint ventures, there can be no assurance that NTIC will not be subject to lawsuits based on product liability claims or other claims arising out of the activities of its joint ventures. To mitigate the ramifications of such an occurrence, NTIC maintains liability insurance specifically applicable to its ownership positions in its joint venture arrangements in excess of any insurance the joint ventures may maintain.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NTIC derives revenues directly and/or indirectly through its joint ventures from the following product lines:</w:t>
      </w:r>
    </w:p>
    <w:p>
      <w:pPr>
        <w:spacing w:after="0" w:line="242" w:lineRule="exact"/>
        <w:rPr>
          <w:sz w:val="20"/>
          <w:szCs w:val="20"/>
          <w:color w:val="auto"/>
        </w:rPr>
      </w:pPr>
    </w:p>
    <w:p>
      <w:pPr>
        <w:ind w:right="120"/>
        <w:spacing w:after="0" w:line="213" w:lineRule="auto"/>
        <w:rPr>
          <w:sz w:val="20"/>
          <w:szCs w:val="20"/>
          <w:color w:val="auto"/>
        </w:rPr>
      </w:pPr>
      <w:r>
        <w:rPr>
          <w:rFonts w:ascii="Arial" w:cs="Arial" w:eastAsia="Arial" w:hAnsi="Arial"/>
          <w:sz w:val="18"/>
          <w:szCs w:val="18"/>
          <w:b w:val="1"/>
          <w:bCs w:val="1"/>
          <w:i w:val="1"/>
          <w:iCs w:val="1"/>
          <w:color w:val="auto"/>
        </w:rPr>
        <w:t>ZERUST</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Corrosion Prevention Solutions</w:t>
      </w:r>
      <w:r>
        <w:rPr>
          <w:rFonts w:ascii="Arial" w:cs="Arial" w:eastAsia="Arial" w:hAnsi="Arial"/>
          <w:sz w:val="18"/>
          <w:szCs w:val="18"/>
          <w:color w:val="auto"/>
        </w:rPr>
        <w:t>. In fiscal 2012, 92.1% of NTIC’s consolidated net sales were derived from developing, manufacturing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rust and corrosion inhibiting products and services. Corrosion not only damages the appearance of metal products and components but also negatively impacts their mechanical performance. This applies to the rusting of ferrous metals (iron and steel) and the deterioration by oxidation of nonferrous metals (aluminum, copper, brass, etc.). NTIC’s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corrosion prevention solutions include plastic and paper packaging, liquids and coatings, rust removers and cleaners, diffusers and variations of these products designed specifically for the oil and gas industry, as well as technical corrosion management and consulting services.</w:t>
      </w:r>
    </w:p>
    <w:p>
      <w:pPr>
        <w:spacing w:after="0" w:line="226" w:lineRule="exact"/>
        <w:rPr>
          <w:sz w:val="20"/>
          <w:szCs w:val="20"/>
          <w:color w:val="auto"/>
        </w:rPr>
      </w:pPr>
    </w:p>
    <w:p>
      <w:pPr>
        <w:ind w:right="60"/>
        <w:spacing w:after="0" w:line="224" w:lineRule="auto"/>
        <w:rPr>
          <w:sz w:val="20"/>
          <w:szCs w:val="20"/>
          <w:color w:val="auto"/>
        </w:rPr>
      </w:pPr>
      <w:r>
        <w:rPr>
          <w:rFonts w:ascii="Arial" w:cs="Arial" w:eastAsia="Arial" w:hAnsi="Arial"/>
          <w:sz w:val="16"/>
          <w:szCs w:val="16"/>
          <w:i w:val="1"/>
          <w:iCs w:val="1"/>
          <w:color w:val="auto"/>
        </w:rPr>
        <w:t>Plastic and Paper Packaging</w:t>
      </w:r>
      <w:r>
        <w:rPr>
          <w:rFonts w:ascii="Arial" w:cs="Arial" w:eastAsia="Arial" w:hAnsi="Arial"/>
          <w:sz w:val="16"/>
          <w:szCs w:val="16"/>
          <w:color w:val="auto"/>
        </w:rPr>
        <w:t>. NTIC’s ZERUST</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packaging products contain proprietary nontoxic chemical formulations that continuously release an invisible,</w:t>
      </w:r>
      <w:r>
        <w:rPr>
          <w:rFonts w:ascii="Arial" w:cs="Arial" w:eastAsia="Arial" w:hAnsi="Arial"/>
          <w:sz w:val="16"/>
          <w:szCs w:val="16"/>
          <w:i w:val="1"/>
          <w:iCs w:val="1"/>
          <w:color w:val="auto"/>
        </w:rPr>
        <w:t xml:space="preserve"> </w:t>
      </w:r>
      <w:r>
        <w:rPr>
          <w:rFonts w:ascii="Arial" w:cs="Arial" w:eastAsia="Arial" w:hAnsi="Arial"/>
          <w:sz w:val="16"/>
          <w:szCs w:val="16"/>
          <w:color w:val="auto"/>
        </w:rPr>
        <w:t>odorless, safe and environmentally friendly corrosion inhibiting vapor into the enclosure that passivates metal surfaces and thereby inhibits rust and corrosion. The corrosion-inhibiting protection is maintained as long as the metal products to be protected remain enclosed within the ZERUST</w:t>
      </w:r>
      <w:r>
        <w:rPr>
          <w:rFonts w:ascii="Arial" w:cs="Arial" w:eastAsia="Arial" w:hAnsi="Arial"/>
          <w:sz w:val="22"/>
          <w:szCs w:val="22"/>
          <w:color w:val="auto"/>
          <w:vertAlign w:val="superscript"/>
        </w:rPr>
        <w:t>®</w:t>
      </w:r>
    </w:p>
    <w:p>
      <w:pPr>
        <w:spacing w:after="0" w:line="3"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packaging. Electron scanning shows that once the contents are removed from the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package, the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protection dissipates from the contents’ surfaces within two hours, leaving a clean, dry and corrosion-free metal component. This mechanism of corrosion protection enables NTIC’s customers to easily package metal objects for rust-free shipment or long-term storage. Furthermore, by eliminating costly greasing and degreasing processes and/or significantly reducing the use of oil coatings to inhibit corrosion, NTIC’s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corrosion prevention solutions provide customers significant savings in labor, material and capital expenditures for equipment to apply, remove and dispose of oils and greases, as well as the attendant environmental problems, as compared to traditional methods of corrosion prevention.</w:t>
      </w:r>
    </w:p>
    <w:p>
      <w:pPr>
        <w:spacing w:after="0" w:line="233" w:lineRule="exact"/>
        <w:rPr>
          <w:sz w:val="20"/>
          <w:szCs w:val="20"/>
          <w:color w:val="auto"/>
        </w:rPr>
      </w:pPr>
    </w:p>
    <w:p>
      <w:pPr>
        <w:ind w:right="140"/>
        <w:spacing w:after="0" w:line="220" w:lineRule="auto"/>
        <w:rPr>
          <w:sz w:val="20"/>
          <w:szCs w:val="20"/>
          <w:color w:val="auto"/>
        </w:rPr>
      </w:pPr>
      <w:r>
        <w:rPr>
          <w:rFonts w:ascii="Arial" w:cs="Arial" w:eastAsia="Arial" w:hAnsi="Arial"/>
          <w:sz w:val="18"/>
          <w:szCs w:val="18"/>
          <w:color w:val="auto"/>
        </w:rPr>
        <w:t>NTIC developed the first means of combining volatile corrosion inhibiting chemical systems with polyethylene and polypropylene resins. Combining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chemical systems with polyethylene and polypropylene resins permitted NTIC to introduce a line of plastic packaging products in the form of low and high density polyethylene bags and shroud film, including stretch, shrink, skin and bubble cushioning film, thereby giving packaging engineers an opportunity to ship and store ferrous, nonferrous and mixed multi-metal products in a clean, dry and corrosion-free condition, with an attendant overall savings in total packaging cost. In addition to plastic packaging, NTIC has developed additives to imbue kraft paper, corrugated cardboard, solid fiber and chipboard packaging materials with corrosion protection properties. NTIC’s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plastic and paper packaging products come in various thicknesses, strength enhancements, protection types, shapes and sizes. This product line also includes items such as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gun cases and car covers, which are targeted at retail consumers.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7" w:name="page8"/>
    <w:bookmarkEnd w:id="7"/>
    <w:p>
      <w:pPr>
        <w:ind w:right="60"/>
        <w:spacing w:after="0" w:line="237" w:lineRule="auto"/>
        <w:rPr>
          <w:sz w:val="20"/>
          <w:szCs w:val="20"/>
          <w:color w:val="auto"/>
        </w:rPr>
      </w:pPr>
      <w:r>
        <w:rPr>
          <w:rFonts w:ascii="Arial" w:cs="Arial" w:eastAsia="Arial" w:hAnsi="Arial"/>
          <w:sz w:val="17"/>
          <w:szCs w:val="17"/>
          <w:i w:val="1"/>
          <w:iCs w:val="1"/>
          <w:color w:val="auto"/>
        </w:rPr>
        <w:t>Liquids and Coatings</w:t>
      </w:r>
      <w:r>
        <w:rPr>
          <w:rFonts w:ascii="Arial" w:cs="Arial" w:eastAsia="Arial" w:hAnsi="Arial"/>
          <w:sz w:val="17"/>
          <w:szCs w:val="17"/>
          <w:color w:val="auto"/>
        </w:rPr>
        <w:t>. NTIC’s corrosion prevention solutions include a line of metal surface treatment liquids and coatings, which are oil, water and bio-solvent</w:t>
      </w:r>
      <w:r>
        <w:rPr>
          <w:rFonts w:ascii="Arial" w:cs="Arial" w:eastAsia="Arial" w:hAnsi="Arial"/>
          <w:sz w:val="17"/>
          <w:szCs w:val="17"/>
          <w:i w:val="1"/>
          <w:iCs w:val="1"/>
          <w:color w:val="auto"/>
        </w:rPr>
        <w:t xml:space="preserve"> </w:t>
      </w:r>
      <w:r>
        <w:rPr>
          <w:rFonts w:ascii="Arial" w:cs="Arial" w:eastAsia="Arial" w:hAnsi="Arial"/>
          <w:sz w:val="17"/>
          <w:szCs w:val="17"/>
          <w:color w:val="auto"/>
        </w:rPr>
        <w:t>based, marketed under the Axxatec</w:t>
      </w:r>
      <w:r>
        <w:rPr>
          <w:rFonts w:ascii="Arial" w:cs="Arial" w:eastAsia="Arial" w:hAnsi="Arial"/>
          <w:sz w:val="23"/>
          <w:szCs w:val="23"/>
          <w:color w:val="auto"/>
          <w:vertAlign w:val="superscript"/>
        </w:rPr>
        <w:t>™</w:t>
      </w:r>
      <w:r>
        <w:rPr>
          <w:rFonts w:ascii="Arial" w:cs="Arial" w:eastAsia="Arial" w:hAnsi="Arial"/>
          <w:sz w:val="17"/>
          <w:szCs w:val="17"/>
          <w:color w:val="auto"/>
        </w:rPr>
        <w:t>, Axxanol</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Z-Maxx brand names. These liquids and coatings provide powerful corrosion protection in aggressive environments, such as salt air and humid high temperatures. Products are formulated for most metal types and protection levels.</w:t>
      </w:r>
    </w:p>
    <w:p>
      <w:pPr>
        <w:spacing w:after="0" w:line="228" w:lineRule="exact"/>
        <w:rPr>
          <w:sz w:val="20"/>
          <w:szCs w:val="20"/>
          <w:color w:val="auto"/>
        </w:rPr>
      </w:pPr>
    </w:p>
    <w:p>
      <w:pPr>
        <w:ind w:right="80"/>
        <w:spacing w:after="0" w:line="330" w:lineRule="auto"/>
        <w:rPr>
          <w:sz w:val="20"/>
          <w:szCs w:val="20"/>
          <w:color w:val="auto"/>
        </w:rPr>
      </w:pPr>
      <w:r>
        <w:rPr>
          <w:rFonts w:ascii="Arial" w:cs="Arial" w:eastAsia="Arial" w:hAnsi="Arial"/>
          <w:sz w:val="16"/>
          <w:szCs w:val="16"/>
          <w:i w:val="1"/>
          <w:iCs w:val="1"/>
          <w:color w:val="auto"/>
        </w:rPr>
        <w:t>Rust Removers and Cleaners</w:t>
      </w:r>
      <w:r>
        <w:rPr>
          <w:rFonts w:ascii="Arial" w:cs="Arial" w:eastAsia="Arial" w:hAnsi="Arial"/>
          <w:sz w:val="16"/>
          <w:szCs w:val="16"/>
          <w:color w:val="auto"/>
        </w:rPr>
        <w:t>. NTIC also sells rust removal and cleaning products designed to recover rusty parts by replacing labor-intensive, abrasive cleaners</w:t>
      </w:r>
      <w:r>
        <w:rPr>
          <w:rFonts w:ascii="Arial" w:cs="Arial" w:eastAsia="Arial" w:hAnsi="Arial"/>
          <w:sz w:val="16"/>
          <w:szCs w:val="16"/>
          <w:i w:val="1"/>
          <w:iCs w:val="1"/>
          <w:color w:val="auto"/>
        </w:rPr>
        <w:t xml:space="preserve"> </w:t>
      </w:r>
      <w:r>
        <w:rPr>
          <w:rFonts w:ascii="Arial" w:cs="Arial" w:eastAsia="Arial" w:hAnsi="Arial"/>
          <w:sz w:val="16"/>
          <w:szCs w:val="16"/>
          <w:color w:val="auto"/>
        </w:rPr>
        <w:t>that damage surfaces and fail to remove rust from complex metal surfaces like the teeth of small gears under the 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Axxaclean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w:t>
      </w:r>
    </w:p>
    <w:p>
      <w:pPr>
        <w:spacing w:after="0" w:line="60" w:lineRule="exact"/>
        <w:rPr>
          <w:sz w:val="20"/>
          <w:szCs w:val="20"/>
          <w:color w:val="auto"/>
        </w:rPr>
      </w:pPr>
    </w:p>
    <w:p>
      <w:pPr>
        <w:spacing w:after="0" w:line="231" w:lineRule="auto"/>
        <w:rPr>
          <w:sz w:val="20"/>
          <w:szCs w:val="20"/>
          <w:color w:val="auto"/>
        </w:rPr>
      </w:pPr>
      <w:r>
        <w:rPr>
          <w:rFonts w:ascii="Arial" w:cs="Arial" w:eastAsia="Arial" w:hAnsi="Arial"/>
          <w:sz w:val="17"/>
          <w:szCs w:val="17"/>
          <w:i w:val="1"/>
          <w:iCs w:val="1"/>
          <w:color w:val="auto"/>
        </w:rPr>
        <w:t>Diffusers</w:t>
      </w:r>
      <w:r>
        <w:rPr>
          <w:rFonts w:ascii="Arial" w:cs="Arial" w:eastAsia="Arial" w:hAnsi="Arial"/>
          <w:sz w:val="17"/>
          <w:szCs w:val="17"/>
          <w:color w:val="auto"/>
        </w:rPr>
        <w:t>. NTIC’s corrosion prevention solutions include a line of corrosion inhibiting vapor diffusers, such as ZERUST ICT</w:t>
      </w:r>
      <w:r>
        <w:rPr>
          <w:rFonts w:ascii="Arial" w:cs="Arial" w:eastAsia="Arial" w:hAnsi="Arial"/>
          <w:sz w:val="23"/>
          <w:szCs w:val="23"/>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Vapor Capsules, ZERUST ICT</w:t>
      </w:r>
      <w:r>
        <w:rPr>
          <w:rFonts w:ascii="Arial" w:cs="Arial" w:eastAsia="Arial" w:hAnsi="Arial"/>
          <w:sz w:val="23"/>
          <w:szCs w:val="23"/>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Plastabs</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ZERUST ICT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Cor-Tabs</w:t>
      </w:r>
      <w:r>
        <w:rPr>
          <w:rFonts w:ascii="Arial" w:cs="Arial" w:eastAsia="Arial" w:hAnsi="Arial"/>
          <w:sz w:val="23"/>
          <w:szCs w:val="23"/>
          <w:color w:val="auto"/>
          <w:vertAlign w:val="superscript"/>
        </w:rPr>
        <w:t>®</w:t>
      </w:r>
      <w:r>
        <w:rPr>
          <w:rFonts w:ascii="Arial" w:cs="Arial" w:eastAsia="Arial" w:hAnsi="Arial"/>
          <w:sz w:val="17"/>
          <w:szCs w:val="17"/>
          <w:color w:val="auto"/>
        </w:rPr>
        <w:t>, which are designed to protect metals within enclosures like switch gearboxes and electronic cabinets. Diffusers work by permeating the interior air of an enclosure with an invisible, odorless, non-toxic corrosion inhibiting vapor that protects metal surfaces within the distance of a certain specified “radius of protection” which lasts for one or two years depending on the model. This invisible and dry protective layer revaporizes upon removal of the capsule from the enclosure, leaving all surfaces clean, dry, residue-free and corrosion-free.</w:t>
      </w:r>
    </w:p>
    <w:p>
      <w:pPr>
        <w:spacing w:after="0" w:line="22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i w:val="1"/>
          <w:iCs w:val="1"/>
          <w:color w:val="auto"/>
        </w:rPr>
        <w:t>ZERUST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Corrosion Prevention Solutions Designed Specifically for the Oil and Gas Industry</w:t>
      </w:r>
      <w:r>
        <w:rPr>
          <w:rFonts w:ascii="Arial" w:cs="Arial" w:eastAsia="Arial" w:hAnsi="Arial"/>
          <w:sz w:val="16"/>
          <w:szCs w:val="16"/>
          <w:color w:val="auto"/>
        </w:rPr>
        <w:t>. NTIC has developed proprietary corrosion inhibiting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specifically for the mitigation of corrosion of the types of capital assets used in the petroleum and chemical process industries and is initially targeting the sale of these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solutions to potential customers in the oil and gas industry. The infrastructure that supports the oil and gas industry is predominantly constructed using metals that are highly susceptible to corrosion. The industrial environment at these facilities usually contains compounds, including sulfides and chlorides, which cause aggressive corrosion. This problem affects pipelines, petroleum storage tanks, spare parts in long-term storage, process and other critical equipment. In addition to the economic losses caused by actions like the replacement of parts and structures, maintenance and repairs, and product loss, there are significant costs associated with production decreases caused by equipment down for repair and maintenance. In addition, there are also considerable health, safety and environmental risks caused by corrosion that can greatly increase economic losses. NTIC believes that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oil and gas corrosion prevention solutions will minimize maintenance downtime on critical oil and gas industry infrastructure, extend the life of such infrastructure and reduce the risk of environmental pollution due to product leaks caused by corrosion.</w:t>
      </w:r>
    </w:p>
    <w:p>
      <w:pPr>
        <w:spacing w:after="0" w:line="219" w:lineRule="exact"/>
        <w:rPr>
          <w:sz w:val="20"/>
          <w:szCs w:val="20"/>
          <w:color w:val="auto"/>
        </w:rPr>
      </w:pPr>
    </w:p>
    <w:p>
      <w:pPr>
        <w:ind w:right="540"/>
        <w:spacing w:after="0" w:line="266" w:lineRule="auto"/>
        <w:rPr>
          <w:sz w:val="20"/>
          <w:szCs w:val="20"/>
          <w:color w:val="auto"/>
        </w:rPr>
      </w:pPr>
      <w:r>
        <w:rPr>
          <w:rFonts w:ascii="Arial" w:cs="Arial" w:eastAsia="Arial" w:hAnsi="Arial"/>
          <w:sz w:val="16"/>
          <w:szCs w:val="16"/>
          <w:color w:val="auto"/>
        </w:rPr>
        <w:t>NTIC’s rust and corrosion inhibiting products for the oil and gas industry include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Flange Savers,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ReCAST-R VCI Dispensers and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Zerion chemicals in addition to many of the traditional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previously described.</w:t>
      </w:r>
    </w:p>
    <w:p>
      <w:pPr>
        <w:spacing w:after="0" w:line="102" w:lineRule="exact"/>
        <w:rPr>
          <w:sz w:val="20"/>
          <w:szCs w:val="20"/>
          <w:color w:val="auto"/>
        </w:rPr>
      </w:pPr>
    </w:p>
    <w:p>
      <w:pPr>
        <w:ind w:right="240"/>
        <w:spacing w:after="0" w:line="219" w:lineRule="auto"/>
        <w:rPr>
          <w:sz w:val="20"/>
          <w:szCs w:val="20"/>
          <w:color w:val="auto"/>
        </w:rPr>
      </w:pPr>
      <w:r>
        <w:rPr>
          <w:rFonts w:ascii="Arial" w:cs="Arial" w:eastAsia="Arial" w:hAnsi="Arial"/>
          <w:sz w:val="18"/>
          <w:szCs w:val="18"/>
          <w:color w:val="auto"/>
        </w:rPr>
        <w:t>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Flange Savers</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are specially designed covers that have been impregnated with a proprietary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inhibitor formulation to provide corrosion protection for flanges, valves and welded joints. Oil and gas pipeline segments are connected by flanges and welded joints of varying sizes, designs and materials. These connection points often corrode under aggressive industrial environments and harsh operating conditions, thereby causing costly operational and safety problems.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Flange Savers</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are available in various sizes to accommodate different pipe diameters, pressure ratings and international standards for pipeline valves and flanges.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8" w:name="page9"/>
    <w:bookmarkEnd w:id="8"/>
    <w:p>
      <w:pPr>
        <w:ind w:right="20"/>
        <w:spacing w:after="0" w:line="256" w:lineRule="auto"/>
        <w:rPr>
          <w:sz w:val="20"/>
          <w:szCs w:val="20"/>
          <w:color w:val="auto"/>
        </w:rPr>
      </w:pPr>
      <w:r>
        <w:rPr>
          <w:rFonts w:ascii="Arial" w:cs="Arial" w:eastAsia="Arial" w:hAnsi="Arial"/>
          <w:sz w:val="16"/>
          <w:szCs w:val="16"/>
          <w:color w:val="auto"/>
        </w:rPr>
        <w:t>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ReCAST-R VCI Dispensers protect the interior surfaces of aboveground storage tank roofs by delivering proprietary inhibitor formulations into the vapor space between the surface of the product and the tank roof. Certain grades of oil that contain sulphur emit corrosive acid gas vapors that destroy the internal surfaces of aboveground storage tank roofs and their support structures above the product layer. Aggressive pitting and crevice corrosion create holes in the tank tops that cause unsafe operating conditions and environmental problems. Polymer based internal tank coatings decrease surface corrosion but have proven to be ineffective in preventing dangerous pitting and crevice corrosion, especially in the interstitial spaces between the roof and support structures. The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ReCAST-R solution is designed to extend the service life of a single tank roof to 25 years and beyond by forming a protective layer that prevents corrosion in highly aggressive environments. Each system is tailored to a customer’s requirements, depending upon specific environmental conditions, product stored, tank diameter and type of metal and can be applied on both new and existing tank roofs.</w:t>
      </w:r>
    </w:p>
    <w:p>
      <w:pPr>
        <w:spacing w:after="0" w:line="219"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color w:val="auto"/>
        </w:rPr>
        <w:t>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Zerion chemicals protect the bottoms of aboveground storage tanks by delivering proprietary inhibitor formulations into the sand/soil bed on which the tank bottom rests. Bottom plate corrosion leads to loss of stored product into the soil causing economic losses as well as environmental issues. Each system is tailored to a customer’s requirements, depending upon specific environmental conditions, product stored, tank diameter and type of metal and can be applied on both new and existing tank bottoms.</w:t>
      </w:r>
    </w:p>
    <w:p>
      <w:pPr>
        <w:spacing w:after="0" w:line="228"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During fiscal 2012, two of NTIC’s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products designed for the oil and gas industry,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Flange Savers</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the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ReCAST-R system, received </w:t>
      </w:r>
      <w:r>
        <w:rPr>
          <w:rFonts w:ascii="Arial" w:cs="Arial" w:eastAsia="Arial" w:hAnsi="Arial"/>
          <w:sz w:val="17"/>
          <w:szCs w:val="17"/>
          <w:i w:val="1"/>
          <w:iCs w:val="1"/>
          <w:color w:val="auto"/>
        </w:rPr>
        <w:t>Materials Performance</w:t>
      </w:r>
      <w:r>
        <w:rPr>
          <w:rFonts w:ascii="Arial" w:cs="Arial" w:eastAsia="Arial" w:hAnsi="Arial"/>
          <w:sz w:val="17"/>
          <w:szCs w:val="17"/>
          <w:color w:val="auto"/>
        </w:rPr>
        <w:t xml:space="preserve"> magazine’s Readers’ Choice Corrosion Innovation of the Year Awards. </w:t>
      </w:r>
      <w:r>
        <w:rPr>
          <w:rFonts w:ascii="Arial" w:cs="Arial" w:eastAsia="Arial" w:hAnsi="Arial"/>
          <w:sz w:val="17"/>
          <w:szCs w:val="17"/>
          <w:i w:val="1"/>
          <w:iCs w:val="1"/>
          <w:color w:val="auto"/>
        </w:rPr>
        <w:t>Materials Performance</w:t>
      </w:r>
      <w:r>
        <w:rPr>
          <w:rFonts w:ascii="Arial" w:cs="Arial" w:eastAsia="Arial" w:hAnsi="Arial"/>
          <w:sz w:val="17"/>
          <w:szCs w:val="17"/>
          <w:color w:val="auto"/>
        </w:rPr>
        <w:t xml:space="preserve"> is published by NACE International, the world’s largest organization of professional engineers dedicated to the study, prevention and mitigation of corrosion.</w:t>
      </w:r>
    </w:p>
    <w:p>
      <w:pPr>
        <w:spacing w:after="0" w:line="228" w:lineRule="exact"/>
        <w:rPr>
          <w:sz w:val="20"/>
          <w:szCs w:val="20"/>
          <w:color w:val="auto"/>
        </w:rPr>
      </w:pPr>
    </w:p>
    <w:p>
      <w:pPr>
        <w:spacing w:after="0" w:line="214" w:lineRule="auto"/>
        <w:rPr>
          <w:sz w:val="20"/>
          <w:szCs w:val="20"/>
          <w:color w:val="auto"/>
        </w:rPr>
      </w:pPr>
      <w:r>
        <w:rPr>
          <w:rFonts w:ascii="Arial" w:cs="Arial" w:eastAsia="Arial" w:hAnsi="Arial"/>
          <w:sz w:val="18"/>
          <w:szCs w:val="18"/>
          <w:i w:val="1"/>
          <w:iCs w:val="1"/>
          <w:color w:val="auto"/>
        </w:rPr>
        <w:t>Z-CIS</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Technical Services</w:t>
      </w:r>
      <w:r>
        <w:rPr>
          <w:rFonts w:ascii="Arial" w:cs="Arial" w:eastAsia="Arial" w:hAnsi="Arial"/>
          <w:sz w:val="18"/>
          <w:szCs w:val="18"/>
          <w:color w:val="auto"/>
        </w:rPr>
        <w:t>. As an on-going effort to help NTIC’s customers improve and control their processes in terms of corrosion management, NTIC</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and offers unique corrosion management and consulting services to target customers. This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corrosion inhibitor system (known as Z-CIS</w:t>
      </w:r>
      <w:r>
        <w:rPr>
          <w:rFonts w:ascii="Arial" w:cs="Arial" w:eastAsia="Arial" w:hAnsi="Arial"/>
          <w:sz w:val="24"/>
          <w:szCs w:val="24"/>
          <w:color w:val="auto"/>
          <w:vertAlign w:val="superscript"/>
        </w:rPr>
        <w:t>®</w:t>
      </w:r>
      <w:r>
        <w:rPr>
          <w:rFonts w:ascii="Arial" w:cs="Arial" w:eastAsia="Arial" w:hAnsi="Arial"/>
          <w:sz w:val="18"/>
          <w:szCs w:val="18"/>
          <w:color w:val="auto"/>
        </w:rPr>
        <w:t>) utilizes NTIC’s global experience in successful corrosion management control. Services and consulting are billed according to work done on the customer’s behalf to improve the customer’s internal and external corrosion control systems. Several major automotive companies and their automotive parts suppliers have used NTIC’s Z-CIS</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system.</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i w:val="1"/>
          <w:iCs w:val="1"/>
          <w:color w:val="auto"/>
        </w:rPr>
        <w:t>Natur-Tec</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Resin Compounds and Finished Products</w:t>
      </w:r>
      <w:r>
        <w:rPr>
          <w:rFonts w:ascii="Arial" w:cs="Arial" w:eastAsia="Arial" w:hAnsi="Arial"/>
          <w:sz w:val="16"/>
          <w:szCs w:val="16"/>
          <w:color w:val="auto"/>
        </w:rPr>
        <w:t>. NTIC manufactures and sells a range of bio-based and biodegradable (compostable) polymer resin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compounds and finished products under the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NTIC’s consolidated net sales for fiscal 2012 included $1,810,378 in sales of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In recent years, a combination of market drivers such as volatile petroleum prices, a desire to reduce dependence on foreign oil, increased environmental and sustainability awareness at the corporate and consumer level, improved technical properties and product functionality, as well as recent foreign, state and local governmental regulations banning the use of traditional, petroleum-based plastics or mandating the use of certain biodegradable or compostable products, have led to increased interest in sustainable, renewable resource based and compostable alternatives to traditional plastics. The term “bio-plastics” encompasses a broad category of plastics that are either bio-based, which means derived from renewable resources such as corn or cellulosic/plant material or blends thereof, or are engineered to be fully biodegradable, or both. According to Freedonia Research, the total market for all types of bio-plastic resins worldwide is estimated at $1 billion and is projected to grow to over $2.9 billion by 2015.</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00"/>
          </w:cols>
          <w:pgMar w:left="240" w:top="271" w:right="259" w:bottom="1440" w:gutter="0" w:footer="0" w:header="0"/>
        </w:sectPr>
      </w:pPr>
    </w:p>
    <w:bookmarkStart w:id="9" w:name="page10"/>
    <w:bookmarkEnd w:id="9"/>
    <w:p>
      <w:pPr>
        <w:ind w:right="80"/>
        <w:spacing w:after="0" w:line="275" w:lineRule="auto"/>
        <w:rPr>
          <w:sz w:val="20"/>
          <w:szCs w:val="20"/>
          <w:color w:val="auto"/>
        </w:rPr>
      </w:pPr>
      <w:r>
        <w:rPr>
          <w:rFonts w:ascii="Arial" w:cs="Arial" w:eastAsia="Arial" w:hAnsi="Arial"/>
          <w:sz w:val="15"/>
          <w:szCs w:val="15"/>
          <w:i w:val="1"/>
          <w:iCs w:val="1"/>
          <w:color w:val="auto"/>
        </w:rPr>
        <w:t>Resin Compounds</w:t>
      </w:r>
      <w:r>
        <w:rPr>
          <w:rFonts w:ascii="Arial" w:cs="Arial" w:eastAsia="Arial" w:hAnsi="Arial"/>
          <w:sz w:val="15"/>
          <w:szCs w:val="15"/>
          <w:color w:val="auto"/>
        </w:rPr>
        <w:t>. Natur-Tec</w:t>
      </w:r>
      <w:r>
        <w:rPr>
          <w:rFonts w:ascii="Arial" w:cs="Arial" w:eastAsia="Arial" w:hAnsi="Arial"/>
          <w:sz w:val="20"/>
          <w:szCs w:val="20"/>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resin compounds are produced by blending commercially available base resins, such as Ecoflex® from BASF or Ingeo® PLA</w:t>
      </w:r>
      <w:r>
        <w:rPr>
          <w:rFonts w:ascii="Arial" w:cs="Arial" w:eastAsia="Arial" w:hAnsi="Arial"/>
          <w:sz w:val="15"/>
          <w:szCs w:val="15"/>
          <w:i w:val="1"/>
          <w:iCs w:val="1"/>
          <w:color w:val="auto"/>
        </w:rPr>
        <w:t xml:space="preserve"> </w:t>
      </w:r>
      <w:r>
        <w:rPr>
          <w:rFonts w:ascii="Arial" w:cs="Arial" w:eastAsia="Arial" w:hAnsi="Arial"/>
          <w:sz w:val="15"/>
          <w:szCs w:val="15"/>
          <w:color w:val="auto"/>
        </w:rPr>
        <w:t>from NatureWorks LLC and/or Bionolle® from Showa-Denko, with organic and inorganic fillers, and proprietary polymer modifiers and compatabilizers, using NTIC’s proprietary and patented ReX Process. In this process, biodegradable polymers, natural polymers made from renewable resources, and organic and inorganic materials are reactively blended in the presence of proprietary compatibilizers and polymer modifiers to produce bio-based and/or biodegradable polymer resin formulations that exhibit unique and stable morphology. Natur-Tec</w:t>
      </w:r>
      <w:r>
        <w:rPr>
          <w:rFonts w:ascii="Arial" w:cs="Arial" w:eastAsia="Arial" w:hAnsi="Arial"/>
          <w:sz w:val="20"/>
          <w:szCs w:val="20"/>
          <w:color w:val="auto"/>
          <w:vertAlign w:val="superscript"/>
        </w:rPr>
        <w:t>®</w:t>
      </w:r>
      <w:r>
        <w:rPr>
          <w:rFonts w:ascii="Arial" w:cs="Arial" w:eastAsia="Arial" w:hAnsi="Arial"/>
          <w:sz w:val="15"/>
          <w:szCs w:val="15"/>
          <w:color w:val="auto"/>
        </w:rPr>
        <w:t xml:space="preserve"> resin compounds are engineered for high performance, ease of processing and reduced cost compared to most other bio-plastic materials, and can be processed by converters using conventional manufacturing processes and equipment.</w:t>
      </w:r>
    </w:p>
    <w:p>
      <w:pPr>
        <w:spacing w:after="0" w:line="196"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Natur-Tec® resin compounds are available in several grades tailored for a variety of applications, such as blown-film extrusion, extrusion coating, injection molding and rigid, engineered plastics. Natur-Tec® flexible film resin compounds are fully compostable and meet requirements of international standards for compostable plastics such as ASTM D6400 (U.S.) and EN 13432 (Europe), and are certified as 100% compostable by organizations including the Biodegradable Products Institute in the United States and AIB-Vincotte in Europe. Natur-Tec® film resin compounds can be used to produce film for applications, such as bags, including compost bags, lawn and leaf bags, pet waste bags and carry-out bags, agricultural film and consumer and industrial packaging. The Natur-Tec® compostable injection molding resin compounds are biobased and compostable and are designed to replace conventional plastic materials for injection molded plastic applications. Natur-Tec® compostable injection molding resin compounds are manufactured using sustainable and renewable resources, per the ASTM D6866 standard which allows industry and consumers the opportunity to reduce or neutralize their carbon footprint, and are designed to meet the requirements of international standards for compostable plastics, such as ASTM D6400 and EN 13432. Natur-Tec® compostable injection molding resin compounds can be used for injection molded plastic applications, such as cutlery, hangers, containers and packaging. Natur-Tec® biobased injection molding resin compounds are made with at least 50% of biobased/renewable resource-based materials per the ASTM D6866 standard and are meant to enhance sustainability by replacing petroleum-based plastics. Natur-Tec® also produces biobased injection molding resin compounds that are not designed or intended to biodegrade but rather aid in sustainability by requiring less energy for production and by reducing dependence on petroleum as a raw material. Natur-Tec® biobased injection molding resin compounds exhibit the same properties as conventional plastic materials and can be used in applications, such as automotive components, consumer goods, electronics, medical products, furniture and packaging.</w:t>
      </w:r>
    </w:p>
    <w:p>
      <w:pPr>
        <w:spacing w:after="0" w:line="200" w:lineRule="exact"/>
        <w:rPr>
          <w:sz w:val="20"/>
          <w:szCs w:val="20"/>
          <w:color w:val="auto"/>
        </w:rPr>
      </w:pPr>
    </w:p>
    <w:p>
      <w:pPr>
        <w:spacing w:after="0" w:line="202" w:lineRule="exact"/>
        <w:rPr>
          <w:sz w:val="20"/>
          <w:szCs w:val="20"/>
          <w:color w:val="auto"/>
        </w:rPr>
      </w:pPr>
    </w:p>
    <w:p>
      <w:pPr>
        <w:ind w:right="580"/>
        <w:spacing w:after="0" w:line="366" w:lineRule="auto"/>
        <w:rPr>
          <w:sz w:val="20"/>
          <w:szCs w:val="20"/>
          <w:color w:val="auto"/>
        </w:rPr>
      </w:pPr>
      <w:r>
        <w:rPr>
          <w:rFonts w:ascii="Arial" w:cs="Arial" w:eastAsia="Arial" w:hAnsi="Arial"/>
          <w:sz w:val="15"/>
          <w:szCs w:val="15"/>
          <w:i w:val="1"/>
          <w:iCs w:val="1"/>
          <w:color w:val="auto"/>
        </w:rPr>
        <w:t>Finished Products</w:t>
      </w:r>
      <w:r>
        <w:rPr>
          <w:rFonts w:ascii="Arial" w:cs="Arial" w:eastAsia="Arial" w:hAnsi="Arial"/>
          <w:sz w:val="15"/>
          <w:szCs w:val="15"/>
          <w:color w:val="auto"/>
        </w:rPr>
        <w:t>. Natur-Tec® finished products include totally biodegradable compost and trash bags, agricultural film and other single-use disposable</w:t>
      </w:r>
      <w:r>
        <w:rPr>
          <w:rFonts w:ascii="Arial" w:cs="Arial" w:eastAsia="Arial" w:hAnsi="Arial"/>
          <w:sz w:val="15"/>
          <w:szCs w:val="15"/>
          <w:i w:val="1"/>
          <w:iCs w:val="1"/>
          <w:color w:val="auto"/>
        </w:rPr>
        <w:t xml:space="preserve"> </w:t>
      </w:r>
      <w:r>
        <w:rPr>
          <w:rFonts w:ascii="Arial" w:cs="Arial" w:eastAsia="Arial" w:hAnsi="Arial"/>
          <w:sz w:val="15"/>
          <w:szCs w:val="15"/>
          <w:color w:val="auto"/>
        </w:rPr>
        <w:t>products, such as compostable cutlery, food and consumer goods packaging that are currently marketed under the Natur-Bag® or Natur-Ware® brands.</w:t>
      </w:r>
    </w:p>
    <w:p>
      <w:pPr>
        <w:spacing w:after="0" w:line="13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Natur-Bag® product line offers 10 different compostable bag sizes, from three gallons to 96 gallons. The bags are available in various SKU configurations from retail packs that are sold to the consumer either through retail outlets or through online stores, and industrial case packs that are sold to commercial and industrial customers primarily through wholesalers and distributors. The Natur-Bag® products are manufactured from the Natur-Tec® flexible film resin compounds and thus are fully biodegradable and compostable.</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The Natur-Ware® product line consists of biobased and compostable cutlery made from the Natur-Tec® compostable injection molding resin compounds.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Natur-Ware® cutlery can be composted along with food scraps in zero-waste programs.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248" w:lineRule="exact"/>
        <w:rPr>
          <w:sz w:val="20"/>
          <w:szCs w:val="20"/>
          <w:color w:val="auto"/>
        </w:rPr>
      </w:pPr>
    </w:p>
    <w:p>
      <w:pPr>
        <w:spacing w:after="0" w:line="219" w:lineRule="auto"/>
        <w:rPr>
          <w:sz w:val="20"/>
          <w:szCs w:val="20"/>
          <w:color w:val="auto"/>
        </w:rPr>
      </w:pPr>
      <w:r>
        <w:rPr>
          <w:rFonts w:ascii="Arial" w:cs="Arial" w:eastAsia="Arial" w:hAnsi="Arial"/>
          <w:sz w:val="18"/>
          <w:szCs w:val="18"/>
          <w:b w:val="1"/>
          <w:bCs w:val="1"/>
          <w:i w:val="1"/>
          <w:iCs w:val="1"/>
          <w:color w:val="auto"/>
        </w:rPr>
        <w:t>ZERUST</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Corrosion Prevention Solutions</w:t>
      </w:r>
      <w:r>
        <w:rPr>
          <w:rFonts w:ascii="Arial" w:cs="Arial" w:eastAsia="Arial" w:hAnsi="Arial"/>
          <w:sz w:val="18"/>
          <w:szCs w:val="18"/>
          <w:color w:val="auto"/>
        </w:rPr>
        <w:t>. In the United States, NTIC markets its ZERUST</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rust and corrosion inhibiting products and services, including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designed for the oil and gas industry, principally to industrial users in the automotive, electronics, electrical, mechanical, military, retail consumer and oil and gas markets by a direct sales force and through a network of independent distributors, manufacturer’s sales representatives and strategic partners. NTIC’s technical service consultants work directly with the end users of NTIC’s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to analyze their specific corrosion prevention needs and develop systems to meet their technical requirements.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Internationally, NTIC has entered into several joint ventures and similar arrangements with foreign partners (either directly or through a holding</w:t>
      </w:r>
    </w:p>
    <w:p>
      <w:pPr>
        <w:spacing w:after="0" w:line="16"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company). NTIC receives fees for providing technical support, marketing assistance and other services to its joint ventures based primarily on the revenues of the joint ventures in accordance with the terms of the joint venture arrangements. Such services include consulting, legal, insurance, technical and marketing services.</w:t>
      </w:r>
    </w:p>
    <w:p>
      <w:pPr>
        <w:spacing w:after="0" w:line="220"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With respect to the sales and marketing of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and services to the oil and gas industry, NTIC uses a combination of direct sales personnel, independent sales agents and its joint venture network. However, since many of NTIC’s existing joint ventures do not have significant experience and contacts within the oil and gas industry, NTIC has formed one joint venture in Russia and may continue to form other new joint ventures to focus exclusively on the sale and marketing of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and services to this industry. In addition, in an attempt to penetrate this industry within certain markets more quickly, NTIC has entered into certain sales and marketing agency agreements with specific organizations that have existing long term relationships with key oil and gas industry clients. NTIC also engages in certain direct marketing activities to build its brand within the oil and gas industry, such as traditional advertising and direct mail campaigns and presence and participation at selected key trade shows and technical forums. NTIC continues to believe the sale of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prevention solutions to customers in the oil and gas industry will involve a long sales cycle, likely including a one- to multi-year trial period with each customer and a slow integration process thereafter.</w:t>
      </w:r>
    </w:p>
    <w:p>
      <w:pPr>
        <w:spacing w:after="0" w:line="223"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b w:val="1"/>
          <w:bCs w:val="1"/>
          <w:i w:val="1"/>
          <w:iCs w:val="1"/>
          <w:color w:val="auto"/>
        </w:rPr>
        <w:t>Natur-Tec</w:t>
      </w:r>
      <w:r>
        <w:rPr>
          <w:rFonts w:ascii="Arial" w:cs="Arial" w:eastAsia="Arial" w:hAnsi="Arial"/>
          <w:sz w:val="23"/>
          <w:szCs w:val="23"/>
          <w:b w:val="1"/>
          <w:bCs w:val="1"/>
          <w:i w:val="1"/>
          <w:iCs w:val="1"/>
          <w:color w:val="auto"/>
          <w:vertAlign w:val="superscript"/>
        </w:rPr>
        <w:t>®</w:t>
      </w:r>
      <w:r>
        <w:rPr>
          <w:rFonts w:ascii="Arial" w:cs="Arial" w:eastAsia="Arial" w:hAnsi="Arial"/>
          <w:sz w:val="17"/>
          <w:szCs w:val="17"/>
          <w:b w:val="1"/>
          <w:bCs w:val="1"/>
          <w:i w:val="1"/>
          <w:iCs w:val="1"/>
          <w:color w:val="auto"/>
        </w:rPr>
        <w:t xml:space="preserve"> Resin Compounds and Finished Products. </w:t>
      </w:r>
      <w:r>
        <w:rPr>
          <w:rFonts w:ascii="Arial" w:cs="Arial" w:eastAsia="Arial" w:hAnsi="Arial"/>
          <w:sz w:val="17"/>
          <w:szCs w:val="17"/>
          <w:color w:val="auto"/>
        </w:rPr>
        <w:t>In the United States, NTIC markets its Natur-Tec® resin compounds and finished products through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of 27 national and regional distributors and independent manufacturer’s sales representatives and two NTIC direct sales employees as of August 31, 2012. Target customers for Natur-Tec® finished products include individual consumers and commercial and institutional organizations such as corporations and universities. NTIC is also targeting key national and regional retailers utilizing independent sales agents. Target customers for Natur-Tec® resin compounds include film extruders and injection molders who would purchase Natur-Tec® resin compounds to manufacture and sell their own finished bio-based, biodegradable or compostable end products, such as film, bags and cutlery.</w:t>
      </w:r>
    </w:p>
    <w:p>
      <w:pPr>
        <w:spacing w:after="0" w:line="220"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Internationally, NTIC uses some of its joint ventures, including in particular, NTIC’s joint venture in India, and a network of seven distributors as of August 31, 2012 to market its Natur-Tec® resin compounds and finished products.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48" w:lineRule="exact"/>
        <w:rPr>
          <w:sz w:val="20"/>
          <w:szCs w:val="20"/>
          <w:color w:val="auto"/>
        </w:rPr>
      </w:pPr>
    </w:p>
    <w:p>
      <w:pPr>
        <w:ind w:right="20"/>
        <w:spacing w:after="0"/>
        <w:rPr>
          <w:sz w:val="20"/>
          <w:szCs w:val="20"/>
          <w:color w:val="auto"/>
        </w:rPr>
      </w:pPr>
      <w:r>
        <w:rPr>
          <w:rFonts w:ascii="Arial" w:cs="Arial" w:eastAsia="Arial" w:hAnsi="Arial"/>
          <w:sz w:val="17"/>
          <w:szCs w:val="17"/>
          <w:b w:val="1"/>
          <w:bCs w:val="1"/>
          <w:i w:val="1"/>
          <w:iCs w:val="1"/>
          <w:color w:val="auto"/>
        </w:rPr>
        <w:t>ZERUST</w:t>
      </w:r>
      <w:r>
        <w:rPr>
          <w:rFonts w:ascii="Arial" w:cs="Arial" w:eastAsia="Arial" w:hAnsi="Arial"/>
          <w:sz w:val="23"/>
          <w:szCs w:val="23"/>
          <w:b w:val="1"/>
          <w:bCs w:val="1"/>
          <w:i w:val="1"/>
          <w:iCs w:val="1"/>
          <w:color w:val="auto"/>
          <w:vertAlign w:val="superscript"/>
        </w:rPr>
        <w:t>®</w:t>
      </w:r>
      <w:r>
        <w:rPr>
          <w:rFonts w:ascii="Arial" w:cs="Arial" w:eastAsia="Arial" w:hAnsi="Arial"/>
          <w:sz w:val="17"/>
          <w:szCs w:val="17"/>
          <w:b w:val="1"/>
          <w:bCs w:val="1"/>
          <w:i w:val="1"/>
          <w:iCs w:val="1"/>
          <w:color w:val="auto"/>
        </w:rPr>
        <w:t xml:space="preserve"> Corrosion Prevention Solutions</w:t>
      </w:r>
      <w:r>
        <w:rPr>
          <w:rFonts w:ascii="Arial" w:cs="Arial" w:eastAsia="Arial" w:hAnsi="Arial"/>
          <w:sz w:val="17"/>
          <w:szCs w:val="17"/>
          <w:color w:val="auto"/>
        </w:rPr>
        <w:t>. While NTIC is unaware of any third parties with which NTIC competes on a worldwide basis with respect to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corrosion prevention solutions, NTIC does compete with several third parties on a regional basis. NTIC evaluates competing rust and corrosion inhibiting products on an ongoing basis. Some of NTIC’s competitors are established companies that may have financial, marketing and other resources substantially greater than those of NTIC. As a result, they may be able to adapt more quickly to new or emerging technologies and changes in customer requirements, or devote greater resources to the promotion and sale of their products than NTIC. With respect to its rust and corrosion inhibiting products, NTIC competes on the basis of product innovation, quality and reliability, product support, customer service, reputation as well as price. Some of these companies may have achieved significant market acceptance of their competing products and brand recognition. NTIC, however, believes it has an advantage over most of its competitors as a result of NTIC’s technical innovation and its value added service. NTIC attempts to provide its customers with the highest level of technical service and applications engineering in addition to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rust and corrosion inhibiting products. Nonetheless, the commoditization of certain of NTIC’s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rust and corrosion inhibiting products have led and may continue to lead to decreased pricing and lower margins on such products. In addition, because the barriers to entry are low, additional competitors, including plastic extrusion companies, may emerge, which likely would lead to the further commoditization of NTIC’s rust and corrosion inhibiting products.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1" w:name="page12"/>
    <w:bookmarkEnd w:id="11"/>
    <w:p>
      <w:pPr>
        <w:spacing w:after="0" w:line="223" w:lineRule="auto"/>
        <w:rPr>
          <w:sz w:val="20"/>
          <w:szCs w:val="20"/>
          <w:color w:val="auto"/>
        </w:rPr>
      </w:pPr>
      <w:r>
        <w:rPr>
          <w:rFonts w:ascii="Arial" w:cs="Arial" w:eastAsia="Arial" w:hAnsi="Arial"/>
          <w:sz w:val="18"/>
          <w:szCs w:val="18"/>
          <w:color w:val="auto"/>
        </w:rPr>
        <w:t>With respect to NTIC’s corrosion prevention solutions for use in the oil and gas industry, NTIC’s primary barrier to entry is a combination of conservatism, complacency, confidence in old approaches as well as the complexity of the buying organizations. Some of NTIC’s competitors with respect to its traditional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rust and corrosion inhibiting products also compete in the oil and gas industry. NTIC also faces competition from new suppliers who provide alternative approaches to corrosion prevention, some of which have a significant market presence and more years of experience and credibility in the oil and gas industry. Original equipment manufacturer (OEM) suppliers to the oil and gas industry present a new market vertical for NTIC’s traditional industrial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w:t>
      </w:r>
    </w:p>
    <w:p>
      <w:pPr>
        <w:spacing w:after="0" w:line="228" w:lineRule="exact"/>
        <w:rPr>
          <w:sz w:val="20"/>
          <w:szCs w:val="20"/>
          <w:color w:val="auto"/>
        </w:rPr>
      </w:pPr>
    </w:p>
    <w:p>
      <w:pPr>
        <w:ind w:right="40"/>
        <w:spacing w:after="0"/>
        <w:rPr>
          <w:sz w:val="20"/>
          <w:szCs w:val="20"/>
          <w:color w:val="auto"/>
        </w:rPr>
      </w:pPr>
      <w:r>
        <w:rPr>
          <w:rFonts w:ascii="Arial" w:cs="Arial" w:eastAsia="Arial" w:hAnsi="Arial"/>
          <w:sz w:val="16"/>
          <w:szCs w:val="16"/>
          <w:b w:val="1"/>
          <w:bCs w:val="1"/>
          <w:i w:val="1"/>
          <w:iCs w:val="1"/>
          <w:color w:val="auto"/>
        </w:rPr>
        <w:t>Natur-Tec</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Resin Compounds and Finished Products. </w:t>
      </w:r>
      <w:r>
        <w:rPr>
          <w:rFonts w:ascii="Arial" w:cs="Arial" w:eastAsia="Arial" w:hAnsi="Arial"/>
          <w:sz w:val="16"/>
          <w:szCs w:val="16"/>
          <w:color w:val="auto"/>
        </w:rPr>
        <w:t>With respect to NTIC’s Natur-Tec</w:t>
      </w:r>
      <w:r>
        <w:rPr>
          <w:rFonts w:ascii="Arial" w:cs="Arial" w:eastAsia="Arial" w:hAnsi="Arial"/>
          <w:sz w:val="22"/>
          <w:szCs w:val="22"/>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resin compounds and finished products, NTIC competes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established companies that have been producing and selling similar products for a significantly longer time period, and have significantly more sales, more extensive and effective distribution networks and better brand recognition than NTIC. Most of these companies also have substantially more financial and other resources than NTIC. NTIC competes on the basis of performance, brand awareness, distribution network, product availability, product offering, shelf life, place of manufacture and price. Because of price competition, NTIC’s margins on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are smaller than its margins on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prevention solutions. NTIC also faces supply constraints for the base resins used to manufacture NTIC’s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since there are a limited number of suppliers of such base resins and limited capacity for their production.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0"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NTIC’s research and development activities are directed at improving existing products, developing new products, reducing costs and improving quality assurance through improved testing of NTIC’s products. NTIC’s internal research and development activities are conducted at its facilities located in Circle Pines, Minnesota; Beachwood, Ohio; Dresden, Germany; and Chennai, India under the direction of internationally known scientists and research institutes under exclusive contract to NTIC with respect to the subject of their respective research efforts. EXCOR has established a wholly owned subsidiary, Excor Korrosionsforschung GmbH, to conduct research into new fields of corrosion inhibiting packaging and the applications engineering of such products in conjunction with NTIC’s domestic research and development operations. With respect to NTIC’s Natur-Tec</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resin compounds and finished products, Ramani Narayan, Ph.D., a current director of NTIC and Distinguished Professor in the Department of Chemical Engineering &amp; Materials Science at Michigan State University, provides his expertise and technical support to NTIC.</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2" w:name="page13"/>
    <w:bookmarkEnd w:id="12"/>
    <w:p>
      <w:pPr>
        <w:ind w:right="40"/>
        <w:spacing w:after="0" w:line="235" w:lineRule="auto"/>
        <w:rPr>
          <w:sz w:val="20"/>
          <w:szCs w:val="20"/>
          <w:color w:val="auto"/>
        </w:rPr>
      </w:pPr>
      <w:r>
        <w:rPr>
          <w:rFonts w:ascii="Arial" w:cs="Arial" w:eastAsia="Arial" w:hAnsi="Arial"/>
          <w:sz w:val="18"/>
          <w:szCs w:val="18"/>
          <w:color w:val="auto"/>
        </w:rPr>
        <w:t>NTIC spent $3,875,581 in fiscal 2012 and $4,364,109 in fiscal 2011 in connection with its research and development activities. NTIC anticipates that it will spend between $3,500,000 and $3,800,000 in fiscal 2013 on research and development activities. These amounts are net of reimbursements related to certain research and development contracts. Such reimbursements totaled $365,940 and $219,175 in fiscal 2012 and fiscal 2011, respectively. Most of NTIC’s research and development contracts under which NTIC received reimbursements during fiscal 2012 were in connection with developing corrosion prevention solutions for the oil and gas industry, and to a lesser extent, U.S. government or other grants or awards in connection with developing future potential Natur-Tec</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w:t>
      </w:r>
    </w:p>
    <w:p>
      <w:pPr>
        <w:spacing w:after="0" w:line="228"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During fiscal 2009, Zerust Brazil entered into a multi-year contract with Petrobras to install and service proprietary corrosion protection technologies on the roofs of an initial set of aboveground oil storage tanks at the Petrobras REDUC refinery in Rio de Janeiro, Brazil. Also during fiscal 2009, NTIC signed multiple joint research and development contracts with Petrobras’s research and development group at the Leopoldo Américo Miguez de Mello Research &amp; Development Center (CENPES) pursuant to which the parties undertook a 20-month Petrobras funded effort to explore, understand and resolve bottom plate corrosion issues in aboveground storage tanks. A second 12-month Petrobras sponsored project also occurred aimed at field trials of certain pipeline protection technologies. These initiatives, which continued during fiscal 2012, are designed to help mitigate corrosion for critical oil and gas industry infrastructure, such as storage tanks and pipelines.</w:t>
      </w:r>
    </w:p>
    <w:p>
      <w:pPr>
        <w:spacing w:after="0" w:line="220"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NTIC was awarded three National Science Foundation (NSF) awards -- one in June 2009 as a Phase I Small Business Technology Transfer (STTR) grant for $150,000 on advanced polylactide materials for biobased and biodegradable products, the second in September 2009 as a Phase I Small Business Innovation Research (SBIR) grant for an additional $150,000 on “Biobased coatings for corrosion protection” and a third in November 2011 as a Phase II SBIR grant of $500,000 for the development of advanced polylactide materials for biobased and biodegradable plastic products. The Phase I projects were completed in June 2010 and have helped NTIC develop biobased technologies for new innovative applications in the ZERUST® and Natur-Tec® business areas. The research and technology development was conducted in collaboration with Ramani Narayan, Ph.D., a current director of NTIC, and Michigan State University. NTIC plans to use modified polylactic acid chemistries developed at Michigan State University to expand its product portfolio with enhanced solutions for bioplastics packaging.</w:t>
      </w:r>
    </w:p>
    <w:p>
      <w:pPr>
        <w:spacing w:after="0" w:line="225"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During fiscal 2010, NTIC was awarded money from the U.S. Department of Defense for a Phase I Small Business Innovation Research contract worth $70,000 to develop non-plastic marine biodegradable waste bags for the U.S. Navy. NTIC collaborated with the U.S. Army Natick labs and Michigan State University on this project. In November 2011, NTIC was awarded a Department of Defense Small Business Innovation Research Phase II grant of $500,000 for the ongoing development and commercialization of biobased and marine biodegradable non-plastic bags for the U.S. Navy.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50" w:lineRule="exact"/>
        <w:rPr>
          <w:sz w:val="20"/>
          <w:szCs w:val="20"/>
          <w:color w:val="auto"/>
        </w:rPr>
      </w:pPr>
    </w:p>
    <w:p>
      <w:pPr>
        <w:ind w:right="420"/>
        <w:spacing w:after="0" w:line="252" w:lineRule="auto"/>
        <w:rPr>
          <w:sz w:val="20"/>
          <w:szCs w:val="20"/>
          <w:color w:val="auto"/>
        </w:rPr>
      </w:pPr>
      <w:r>
        <w:rPr>
          <w:rFonts w:ascii="Arial" w:cs="Arial" w:eastAsia="Arial" w:hAnsi="Arial"/>
          <w:sz w:val="18"/>
          <w:szCs w:val="18"/>
          <w:color w:val="auto"/>
        </w:rPr>
        <w:t>NTIC’s success depends and will continue to depend in part upon its ability to maintain patent and trademark protection for its products and processes, to preserve its proprietary information and trade secrets and to operate without infringing the proprietary rights of third parties. NTIC’s policy is to attempt to protect its technology by, among other things, filing patent applications and trademark applications and vigorously preserving the trade secrets covering its technology and other intellectual property rights.</w:t>
      </w:r>
    </w:p>
    <w:p>
      <w:pPr>
        <w:spacing w:after="0" w:line="218"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In 1979, NTIC developed and patented the first polyolefin (plastic) based industrial corrosion inhibiting packing material in the world. The U.S. patent granted under this patent application became the most important intellectual property right in NTIC’s history. This patent expired in 2000. NTIC has since filed for 12 letters of patents in the U.S. covering various corrosion inhibiting technologies, systems and applications, and now owns several patents in these areas. These patents as well as patent applications have been extended to the countries of strategic relevance to NTIC including, but not limited to, the Patent Cooperation Treaty. In addition, EXCOR owns several patents in the area covering various corrosion inhibiting technologies and also applied for new patents on proprietary new corrosion inhibiting technologies. NTIC is also seeking additional patent protection covering various host materials into which its corrosion inhibiting additives and other protective features can be incorporated, proprietary new process technologies, and chemical formulations outside the area of corrosion protection. NTIC owns several patents outside the area of corrosion protection both in the U.S. and in countries of strategic relevance to NTIC including, but not limited to, the Patent Cooperation Treaty.</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3" w:name="page14"/>
    <w:bookmarkEnd w:id="13"/>
    <w:p>
      <w:pPr>
        <w:spacing w:after="0" w:line="212" w:lineRule="auto"/>
        <w:rPr>
          <w:sz w:val="20"/>
          <w:szCs w:val="20"/>
          <w:color w:val="auto"/>
        </w:rPr>
      </w:pPr>
      <w:r>
        <w:rPr>
          <w:rFonts w:ascii="Arial" w:cs="Arial" w:eastAsia="Arial" w:hAnsi="Arial"/>
          <w:sz w:val="17"/>
          <w:szCs w:val="17"/>
          <w:color w:val="auto"/>
        </w:rPr>
        <w:t>In addition to seeking patent protection, NTIC maintains an extensive portfolio of trademarks in countries where NTIC has a presence directly or through its joint ventures. NTIC continuously pursues new trademark applications of strategic interest worldwide. NTIC owns the following U.S. registered trademarks: NTI</w:t>
      </w:r>
      <w:r>
        <w:rPr>
          <w:rFonts w:ascii="Arial" w:cs="Arial" w:eastAsia="Arial" w:hAnsi="Arial"/>
          <w:sz w:val="23"/>
          <w:szCs w:val="23"/>
          <w:color w:val="auto"/>
          <w:vertAlign w:val="superscript"/>
        </w:rPr>
        <w:t>®</w:t>
      </w:r>
      <w:r>
        <w:rPr>
          <w:rFonts w:ascii="Arial" w:cs="Arial" w:eastAsia="Arial" w:hAnsi="Arial"/>
          <w:sz w:val="17"/>
          <w:szCs w:val="17"/>
          <w:color w:val="auto"/>
        </w:rPr>
        <w:t>, NTI &amp; Globe Design, ZERUST</w:t>
      </w:r>
      <w:r>
        <w:rPr>
          <w:rFonts w:ascii="Arial" w:cs="Arial" w:eastAsia="Arial" w:hAnsi="Arial"/>
          <w:sz w:val="23"/>
          <w:szCs w:val="23"/>
          <w:color w:val="auto"/>
          <w:vertAlign w:val="superscript"/>
        </w:rPr>
        <w:t>®</w:t>
      </w:r>
      <w:r>
        <w:rPr>
          <w:rFonts w:ascii="Arial" w:cs="Arial" w:eastAsia="Arial" w:hAnsi="Arial"/>
          <w:sz w:val="17"/>
          <w:szCs w:val="17"/>
          <w:color w:val="auto"/>
        </w:rPr>
        <w:t>, EXCOR</w:t>
      </w:r>
      <w:r>
        <w:rPr>
          <w:rFonts w:ascii="Arial" w:cs="Arial" w:eastAsia="Arial" w:hAnsi="Arial"/>
          <w:sz w:val="23"/>
          <w:szCs w:val="23"/>
          <w:color w:val="auto"/>
          <w:vertAlign w:val="superscript"/>
        </w:rPr>
        <w:t>®</w:t>
      </w:r>
      <w:r>
        <w:rPr>
          <w:rFonts w:ascii="Arial" w:cs="Arial" w:eastAsia="Arial" w:hAnsi="Arial"/>
          <w:sz w:val="17"/>
          <w:szCs w:val="17"/>
          <w:color w:val="auto"/>
        </w:rPr>
        <w:t>, ICT</w:t>
      </w:r>
      <w:r>
        <w:rPr>
          <w:rFonts w:ascii="Arial" w:cs="Arial" w:eastAsia="Arial" w:hAnsi="Arial"/>
          <w:sz w:val="23"/>
          <w:szCs w:val="23"/>
          <w:color w:val="auto"/>
          <w:vertAlign w:val="superscript"/>
        </w:rPr>
        <w:t>®</w:t>
      </w:r>
      <w:r>
        <w:rPr>
          <w:rFonts w:ascii="Arial" w:cs="Arial" w:eastAsia="Arial" w:hAnsi="Arial"/>
          <w:sz w:val="17"/>
          <w:szCs w:val="17"/>
          <w:color w:val="auto"/>
        </w:rPr>
        <w:t>, Z-CIS</w:t>
      </w:r>
      <w:r>
        <w:rPr>
          <w:rFonts w:ascii="Arial" w:cs="Arial" w:eastAsia="Arial" w:hAnsi="Arial"/>
          <w:sz w:val="23"/>
          <w:szCs w:val="23"/>
          <w:color w:val="auto"/>
          <w:vertAlign w:val="superscript"/>
        </w:rPr>
        <w:t>®</w:t>
      </w:r>
      <w:r>
        <w:rPr>
          <w:rFonts w:ascii="Arial" w:cs="Arial" w:eastAsia="Arial" w:hAnsi="Arial"/>
          <w:sz w:val="17"/>
          <w:szCs w:val="17"/>
          <w:color w:val="auto"/>
        </w:rPr>
        <w:t>, COR TAB</w:t>
      </w:r>
      <w:r>
        <w:rPr>
          <w:rFonts w:ascii="Arial" w:cs="Arial" w:eastAsia="Arial" w:hAnsi="Arial"/>
          <w:sz w:val="23"/>
          <w:szCs w:val="23"/>
          <w:color w:val="auto"/>
          <w:vertAlign w:val="superscript"/>
        </w:rPr>
        <w:t>®</w:t>
      </w:r>
      <w:r>
        <w:rPr>
          <w:rFonts w:ascii="Arial" w:cs="Arial" w:eastAsia="Arial" w:hAnsi="Arial"/>
          <w:sz w:val="17"/>
          <w:szCs w:val="17"/>
          <w:color w:val="auto"/>
        </w:rPr>
        <w:t>, PLASTABS</w:t>
      </w:r>
      <w:r>
        <w:rPr>
          <w:rFonts w:ascii="Arial" w:cs="Arial" w:eastAsia="Arial" w:hAnsi="Arial"/>
          <w:sz w:val="23"/>
          <w:szCs w:val="23"/>
          <w:color w:val="auto"/>
          <w:vertAlign w:val="superscript"/>
        </w:rPr>
        <w:t>®</w:t>
      </w:r>
      <w:r>
        <w:rPr>
          <w:rFonts w:ascii="Arial" w:cs="Arial" w:eastAsia="Arial" w:hAnsi="Arial"/>
          <w:sz w:val="17"/>
          <w:szCs w:val="17"/>
          <w:color w:val="auto"/>
        </w:rPr>
        <w:t>, MATCH-TECH</w:t>
      </w:r>
      <w:r>
        <w:rPr>
          <w:rFonts w:ascii="Arial" w:cs="Arial" w:eastAsia="Arial" w:hAnsi="Arial"/>
          <w:sz w:val="23"/>
          <w:szCs w:val="23"/>
          <w:color w:val="auto"/>
          <w:vertAlign w:val="superscript"/>
        </w:rPr>
        <w:t>®</w:t>
      </w:r>
      <w:r>
        <w:rPr>
          <w:rFonts w:ascii="Arial" w:cs="Arial" w:eastAsia="Arial" w:hAnsi="Arial"/>
          <w:sz w:val="17"/>
          <w:szCs w:val="17"/>
          <w:color w:val="auto"/>
        </w:rPr>
        <w:t>, COR/SCI</w:t>
      </w:r>
      <w:r>
        <w:rPr>
          <w:rFonts w:ascii="Arial" w:cs="Arial" w:eastAsia="Arial" w:hAnsi="Arial"/>
          <w:sz w:val="23"/>
          <w:szCs w:val="23"/>
          <w:color w:val="auto"/>
          <w:vertAlign w:val="superscript"/>
        </w:rPr>
        <w:t>®</w:t>
      </w:r>
      <w:r>
        <w:rPr>
          <w:rFonts w:ascii="Arial" w:cs="Arial" w:eastAsia="Arial" w:hAnsi="Arial"/>
          <w:sz w:val="17"/>
          <w:szCs w:val="17"/>
          <w:color w:val="auto"/>
        </w:rPr>
        <w:t>, NIC</w:t>
      </w:r>
      <w:r>
        <w:rPr>
          <w:rFonts w:ascii="Arial" w:cs="Arial" w:eastAsia="Arial" w:hAnsi="Arial"/>
          <w:sz w:val="23"/>
          <w:szCs w:val="23"/>
          <w:color w:val="auto"/>
          <w:vertAlign w:val="superscript"/>
        </w:rPr>
        <w:t>®</w:t>
      </w:r>
      <w:r>
        <w:rPr>
          <w:rFonts w:ascii="Arial" w:cs="Arial" w:eastAsia="Arial" w:hAnsi="Arial"/>
          <w:sz w:val="17"/>
          <w:szCs w:val="17"/>
          <w:color w:val="auto"/>
        </w:rPr>
        <w:t>, NATUR-TEC</w:t>
      </w:r>
      <w:r>
        <w:rPr>
          <w:rFonts w:ascii="Arial" w:cs="Arial" w:eastAsia="Arial" w:hAnsi="Arial"/>
          <w:sz w:val="23"/>
          <w:szCs w:val="23"/>
          <w:color w:val="auto"/>
          <w:vertAlign w:val="superscript"/>
        </w:rPr>
        <w:t>®</w:t>
      </w:r>
      <w:r>
        <w:rPr>
          <w:rFonts w:ascii="Arial" w:cs="Arial" w:eastAsia="Arial" w:hAnsi="Arial"/>
          <w:sz w:val="17"/>
          <w:szCs w:val="17"/>
          <w:color w:val="auto"/>
        </w:rPr>
        <w:t>, NATUR-TEC &amp; Design</w:t>
      </w:r>
      <w:r>
        <w:rPr>
          <w:rFonts w:ascii="Arial" w:cs="Arial" w:eastAsia="Arial" w:hAnsi="Arial"/>
          <w:sz w:val="23"/>
          <w:szCs w:val="23"/>
          <w:color w:val="auto"/>
          <w:vertAlign w:val="superscript"/>
        </w:rPr>
        <w:t>®</w:t>
      </w:r>
      <w:r>
        <w:rPr>
          <w:rFonts w:ascii="Arial" w:cs="Arial" w:eastAsia="Arial" w:hAnsi="Arial"/>
          <w:sz w:val="17"/>
          <w:szCs w:val="17"/>
          <w:color w:val="auto"/>
        </w:rPr>
        <w:t>, NATUR-BAG</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NATUR-WARE</w:t>
      </w:r>
      <w:r>
        <w:rPr>
          <w:rFonts w:ascii="Arial" w:cs="Arial" w:eastAsia="Arial" w:hAnsi="Arial"/>
          <w:sz w:val="23"/>
          <w:szCs w:val="23"/>
          <w:color w:val="auto"/>
          <w:vertAlign w:val="superscript"/>
        </w:rPr>
        <w:t>®</w:t>
      </w:r>
      <w:r>
        <w:rPr>
          <w:rFonts w:ascii="Arial" w:cs="Arial" w:eastAsia="Arial" w:hAnsi="Arial"/>
          <w:sz w:val="17"/>
          <w:szCs w:val="17"/>
          <w:color w:val="auto"/>
        </w:rPr>
        <w:t>. NTIC also has a registered trademark on the use of the Color Yellow with respect to corrosion inhibiting packaging. Furthermore, NTI</w:t>
      </w:r>
      <w:r>
        <w:rPr>
          <w:rFonts w:ascii="Arial" w:cs="Arial" w:eastAsia="Arial" w:hAnsi="Arial"/>
          <w:sz w:val="23"/>
          <w:szCs w:val="23"/>
          <w:color w:val="auto"/>
          <w:vertAlign w:val="superscript"/>
        </w:rPr>
        <w:t>®</w:t>
      </w:r>
      <w:r>
        <w:rPr>
          <w:rFonts w:ascii="Arial" w:cs="Arial" w:eastAsia="Arial" w:hAnsi="Arial"/>
          <w:sz w:val="17"/>
          <w:szCs w:val="17"/>
          <w:color w:val="auto"/>
        </w:rPr>
        <w:t>, ZERUST</w:t>
      </w:r>
      <w:r>
        <w:rPr>
          <w:rFonts w:ascii="Arial" w:cs="Arial" w:eastAsia="Arial" w:hAnsi="Arial"/>
          <w:sz w:val="23"/>
          <w:szCs w:val="23"/>
          <w:color w:val="auto"/>
          <w:vertAlign w:val="superscript"/>
        </w:rPr>
        <w:t>®</w:t>
      </w:r>
      <w:r>
        <w:rPr>
          <w:rFonts w:ascii="Arial" w:cs="Arial" w:eastAsia="Arial" w:hAnsi="Arial"/>
          <w:sz w:val="17"/>
          <w:szCs w:val="17"/>
          <w:color w:val="auto"/>
        </w:rPr>
        <w:t>, The ZERUST People</w:t>
      </w:r>
      <w:r>
        <w:rPr>
          <w:rFonts w:ascii="Arial" w:cs="Arial" w:eastAsia="Arial" w:hAnsi="Arial"/>
          <w:sz w:val="23"/>
          <w:szCs w:val="23"/>
          <w:color w:val="auto"/>
          <w:vertAlign w:val="superscript"/>
        </w:rPr>
        <w:t>®</w:t>
      </w:r>
      <w:r>
        <w:rPr>
          <w:rFonts w:ascii="Arial" w:cs="Arial" w:eastAsia="Arial" w:hAnsi="Arial"/>
          <w:sz w:val="17"/>
          <w:szCs w:val="17"/>
          <w:color w:val="auto"/>
        </w:rPr>
        <w:t>, EXCOR</w:t>
      </w:r>
      <w:r>
        <w:rPr>
          <w:rFonts w:ascii="Arial" w:cs="Arial" w:eastAsia="Arial" w:hAnsi="Arial"/>
          <w:sz w:val="23"/>
          <w:szCs w:val="23"/>
          <w:color w:val="auto"/>
          <w:vertAlign w:val="superscript"/>
        </w:rPr>
        <w:t>®</w:t>
      </w:r>
      <w:r>
        <w:rPr>
          <w:rFonts w:ascii="Arial" w:cs="Arial" w:eastAsia="Arial" w:hAnsi="Arial"/>
          <w:sz w:val="17"/>
          <w:szCs w:val="17"/>
          <w:color w:val="auto"/>
        </w:rPr>
        <w:t>, the Color Yellow</w:t>
      </w:r>
      <w:r>
        <w:rPr>
          <w:rFonts w:ascii="Arial" w:cs="Arial" w:eastAsia="Arial" w:hAnsi="Arial"/>
          <w:sz w:val="23"/>
          <w:szCs w:val="23"/>
          <w:color w:val="auto"/>
          <w:vertAlign w:val="superscript"/>
        </w:rPr>
        <w:t>®</w:t>
      </w:r>
      <w:r>
        <w:rPr>
          <w:rFonts w:ascii="Arial" w:cs="Arial" w:eastAsia="Arial" w:hAnsi="Arial"/>
          <w:sz w:val="17"/>
          <w:szCs w:val="17"/>
          <w:color w:val="auto"/>
        </w:rPr>
        <w:t>, NTI ASEAN</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COR/SCI</w:t>
      </w:r>
      <w:r>
        <w:rPr>
          <w:rFonts w:ascii="Arial" w:cs="Arial" w:eastAsia="Arial" w:hAnsi="Arial"/>
          <w:sz w:val="23"/>
          <w:szCs w:val="23"/>
          <w:color w:val="auto"/>
          <w:vertAlign w:val="superscript"/>
        </w:rPr>
        <w:t>®</w:t>
      </w:r>
      <w:r>
        <w:rPr>
          <w:rFonts w:ascii="Arial" w:cs="Arial" w:eastAsia="Arial" w:hAnsi="Arial"/>
          <w:sz w:val="17"/>
          <w:szCs w:val="17"/>
          <w:color w:val="auto"/>
        </w:rPr>
        <w:t>, as well as other marks have been registered in the European Union with several new applications pending.</w:t>
      </w:r>
    </w:p>
    <w:p>
      <w:pPr>
        <w:spacing w:after="0" w:line="232"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NTIC requires its employees, consultants and advisors having access to its confidential information, including trade secrets, to execute confidentiality agreements upon commencement of their employment or consulting relationships with NTIC. These agreements generally provide that all confidential information NTIC develops or makes known to the individual during the course of the individual’s employment or consulting relationship with NTIC must be kept confidential by the individual and not disclosed to any third parties. NTIC also requires all of its employees and consultants who perform research and development for NTIC to execute agreements that generally provide that all inventions developed by these individuals during their employment by or service arrangement with NTIC will fall under NTIC’s proprietary intellectual property rights.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48" w:lineRule="exact"/>
        <w:rPr>
          <w:sz w:val="20"/>
          <w:szCs w:val="20"/>
          <w:color w:val="auto"/>
        </w:rPr>
      </w:pPr>
    </w:p>
    <w:p>
      <w:pPr>
        <w:ind w:right="240"/>
        <w:spacing w:after="0" w:line="214" w:lineRule="auto"/>
        <w:rPr>
          <w:sz w:val="20"/>
          <w:szCs w:val="20"/>
          <w:color w:val="auto"/>
        </w:rPr>
      </w:pPr>
      <w:r>
        <w:rPr>
          <w:rFonts w:ascii="Arial" w:cs="Arial" w:eastAsia="Arial" w:hAnsi="Arial"/>
          <w:sz w:val="18"/>
          <w:szCs w:val="18"/>
          <w:color w:val="auto"/>
        </w:rPr>
        <w:t>NTIC’s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rust and corrosion inhibiting products are manufactured according to NTIC’s specifications primarily by selected sub-contractors and joint ventures under trade secrecy agreements and/or license agreements. During fiscal 2013, NTIC expects to manufacture certain select new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rust and corrosion inhibiting products in house at its corporate headquarters location in Circle Pines, Minnesota in order to improve the speed and quality of product development and technical support.</w:t>
      </w:r>
    </w:p>
    <w:p>
      <w:pPr>
        <w:spacing w:after="0" w:line="228"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NTIC’s joint venture in India produces NTIC’s Natur-Tec® resin compounds at a compounding facility in Chennai, India. Depending upon future demand for NTIC’s Natur-Tec® resin compounds, NTIC may need to open an additional compounding facility to produce its Natur-Tec® resin compounds. The resin compounds produced in India can be shipped to any facility around the world where they then can be converted into a finished product, such as a bag or piece of cutlery. NTIC’s Natur-Tec® finished products are manufactured using NTIC’s Natur-Tec® resin compounds by selected sub-contractors. Because of an increasing trend for customers to buy American made products and products that have a reduced or neutral carbon footprint, NTIC has developed alternative United States based sub-contracted production capability for its Natur-Tec® finished products.</w:t>
      </w:r>
    </w:p>
    <w:p>
      <w:pPr>
        <w:spacing w:after="0" w:line="207" w:lineRule="exact"/>
        <w:rPr>
          <w:sz w:val="20"/>
          <w:szCs w:val="20"/>
          <w:color w:val="auto"/>
        </w:rPr>
      </w:pPr>
    </w:p>
    <w:p>
      <w:pPr>
        <w:ind w:right="160"/>
        <w:spacing w:after="0" w:line="330" w:lineRule="auto"/>
        <w:rPr>
          <w:sz w:val="20"/>
          <w:szCs w:val="20"/>
          <w:color w:val="auto"/>
        </w:rPr>
      </w:pPr>
      <w:r>
        <w:rPr>
          <w:rFonts w:ascii="Arial" w:cs="Arial" w:eastAsia="Arial" w:hAnsi="Arial"/>
          <w:sz w:val="15"/>
          <w:szCs w:val="15"/>
          <w:color w:val="auto"/>
        </w:rPr>
        <w:t>NTIC is ISO 9001 certified with respect to the manufacturing of its products. NTIC believes that the process of ISO 9001 certification serves as an excellent total quality management tool, enabling NTIC to ensure consistency in the performance of its products. In addition, because potential customers may prefer or require manufacturers to have achieved ISO certification, such ISO certifications may provide NTIC with certain competitive advantages.</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Availability of Raw Materials</w:t>
      </w:r>
    </w:p>
    <w:p>
      <w:pPr>
        <w:spacing w:after="0" w:line="250"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NTIC generally does not carry excess quantities of raw materials or purchased parts because of widespread availability for such materials and parts from various suppliers. However, with respect to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there are a limited number of suppliers of the base resins used to manufacture the resin compounds and finished products, and NTIC has experienced some delay in obtaining such base resins. In addition, a number of raw materials and purchased parts used in NTIC’s rust and corrosion inhibiting products and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finished products are sourced from suppliers who currently serve as NTIC’s sole source of supply for these materials and parts. Although NTIC believes it can obtain these raw materials and parts from other sources of supply, an unexpected loss of supply over a short period of time may not allow NTIC to replace these sources in the ordinary course of business.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NTIC had an order backlog of $620,000 as of August 31, 2012 compared to $400,000 as of August 31, 2011. These are orders that are held by NTIC pending release instructions from the customers to be used in just-in-time production. Customers generally place orders on an “as needed” basis and expect delivery within a relatively short period of time.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0" w:lineRule="exact"/>
        <w:rPr>
          <w:sz w:val="20"/>
          <w:szCs w:val="20"/>
          <w:color w:val="auto"/>
        </w:rPr>
      </w:pPr>
    </w:p>
    <w:p>
      <w:pPr>
        <w:jc w:val="both"/>
        <w:ind w:right="140"/>
        <w:spacing w:after="0" w:line="330" w:lineRule="auto"/>
        <w:rPr>
          <w:sz w:val="20"/>
          <w:szCs w:val="20"/>
          <w:color w:val="auto"/>
        </w:rPr>
      </w:pPr>
      <w:r>
        <w:rPr>
          <w:rFonts w:ascii="Arial" w:cs="Arial" w:eastAsia="Arial" w:hAnsi="Arial"/>
          <w:sz w:val="15"/>
          <w:szCs w:val="15"/>
          <w:color w:val="auto"/>
        </w:rPr>
        <w:t>As of August 31, 2012, NTIC had 55 full-time employees located in the United States, consisting of 22 in sales and marketing, 14 in research and development and lab, 10 in administration, eight in production and one responsible for international coordination. As of August 31, 2012, NTIC’s majority owned Brazilian subsidiary had 12 full-time employees. There are no unions representing NTIC’s employees and NTIC believes that its relations with its employees are good.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0" w:lineRule="exact"/>
        <w:rPr>
          <w:sz w:val="20"/>
          <w:szCs w:val="20"/>
          <w:color w:val="auto"/>
        </w:rPr>
      </w:pPr>
    </w:p>
    <w:p>
      <w:pPr>
        <w:ind w:right="140"/>
        <w:spacing w:after="0" w:line="330" w:lineRule="auto"/>
        <w:rPr>
          <w:sz w:val="20"/>
          <w:szCs w:val="20"/>
          <w:color w:val="auto"/>
        </w:rPr>
      </w:pPr>
      <w:r>
        <w:rPr>
          <w:rFonts w:ascii="Arial" w:cs="Arial" w:eastAsia="Arial" w:hAnsi="Arial"/>
          <w:sz w:val="15"/>
          <w:szCs w:val="15"/>
          <w:color w:val="auto"/>
        </w:rPr>
        <w:t>NTIC is a Delaware corporation that was originally organized as a Minnesota corporation in 1970. NTIC’s principal executive office is located at 4201 Woodland Road, Circle Pines, Minnesota 55014 and its telephone number is (763) 225-6600. NTIC’s website is located at www.ntic.com. The information on NTIC’s website or any other website is not incorporated by reference into this report and is included as an inactive textual reference only.</w:t>
      </w:r>
    </w:p>
    <w:p>
      <w:pPr>
        <w:spacing w:after="0" w:line="164" w:lineRule="exact"/>
        <w:rPr>
          <w:sz w:val="20"/>
          <w:szCs w:val="20"/>
          <w:color w:val="auto"/>
        </w:rPr>
      </w:pPr>
    </w:p>
    <w:p>
      <w:pPr>
        <w:ind w:right="40"/>
        <w:spacing w:after="0" w:line="330" w:lineRule="auto"/>
        <w:rPr>
          <w:sz w:val="20"/>
          <w:szCs w:val="20"/>
          <w:color w:val="auto"/>
        </w:rPr>
      </w:pPr>
      <w:r>
        <w:rPr>
          <w:rFonts w:ascii="Arial" w:cs="Arial" w:eastAsia="Arial" w:hAnsi="Arial"/>
          <w:sz w:val="15"/>
          <w:szCs w:val="15"/>
          <w:color w:val="auto"/>
        </w:rPr>
        <w:t>NTIC makes available, free of charge and through its Internet web site, its annual reports on Form 10-K, quarterly reports on Form 10-Q, current reports on Form 8-K, and any amendments to any such reports filed or furnished pursuant to Section 13(a) or 15(d) of the Securities Exchange Act of 1934, as amended, as soon as reasonably practicable after NTIC electronically files such material with, or furnishes it to, the Securities and Exchange Commission.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0"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This report contains or incorporates by reference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its behalf may make forward-looking statements from time to time in oral presentations, including telephone conferences and/or web casts open to the public, in press releases or reports, on NTIC’s Internet web sites or otherwise. All statements other than statements of historical facts included in this report that address activities, events or developments that NTIC expects, believes or anticipates will or may occur in the future are forward-looking statements including, in particular, the statements about NTIC’s guidance, plans, objectives, strategies and prospects regarding, among other things, its financial condition, results of operations and business. NTIC has identified some of these forward-looking statements with words like “believe,” “may,” “could,” “would,” “might,” “forecast,” “possible,” “potential,” “project,” “will,” “should,” “expect,” “intend,” “plan,” “predict,” “anticipate,” “estimate,” “approximate” or “continue,” and other words and terms of similar meaning. The use of future dates is also an indication of a forward-looking</w:t>
      </w:r>
    </w:p>
    <w:p>
      <w:pPr>
        <w:spacing w:after="0" w:line="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statement. Forward-looking statements may be contained in the notes to NTIC’s consolidated financial statements and elsewhere in this report, including under the heading “Part II. Item 7. Management’s Discussion and Analysis of Financial Condition and Results of Operations.”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00"/>
          </w:cols>
          <w:pgMar w:left="240" w:top="267" w:right="259" w:bottom="1440" w:gutter="0" w:footer="0" w:header="0"/>
        </w:sectPr>
      </w:pPr>
    </w:p>
    <w:bookmarkStart w:id="15" w:name="page16"/>
    <w:bookmarkEnd w:id="15"/>
    <w:p>
      <w:pPr>
        <w:spacing w:after="0" w:line="297" w:lineRule="auto"/>
        <w:rPr>
          <w:sz w:val="20"/>
          <w:szCs w:val="20"/>
          <w:color w:val="auto"/>
        </w:rPr>
      </w:pPr>
      <w:r>
        <w:rPr>
          <w:rFonts w:ascii="Arial" w:cs="Arial" w:eastAsia="Arial" w:hAnsi="Arial"/>
          <w:sz w:val="15"/>
          <w:szCs w:val="15"/>
          <w:color w:val="auto"/>
        </w:rPr>
        <w:t>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under the heading “Item 1A. Risk Factors” below,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risks and uncertainties, including those described below under the heading “Item 1A. Risk Factors.” The risks and uncertainties described under the heading “Item 1A. Risk Factors” below are not exclusive and further information concerning NTIC and its business, including factors that potentially could materially affect its financial results or condition, may emerge from time to</w:t>
      </w:r>
    </w:p>
    <w:p>
      <w:pPr>
        <w:spacing w:after="0" w:line="1" w:lineRule="exact"/>
        <w:rPr>
          <w:sz w:val="20"/>
          <w:szCs w:val="20"/>
          <w:color w:val="auto"/>
        </w:rPr>
      </w:pPr>
    </w:p>
    <w:p>
      <w:pPr>
        <w:ind w:right="280"/>
        <w:spacing w:after="0" w:line="322" w:lineRule="auto"/>
        <w:rPr>
          <w:sz w:val="20"/>
          <w:szCs w:val="20"/>
          <w:color w:val="auto"/>
        </w:rPr>
      </w:pPr>
      <w:r>
        <w:rPr>
          <w:rFonts w:ascii="Arial" w:cs="Arial" w:eastAsia="Arial" w:hAnsi="Arial"/>
          <w:sz w:val="15"/>
          <w:szCs w:val="15"/>
          <w:color w:val="auto"/>
        </w:rPr>
        <w:t>time. NTIC assumes no obligation to update forward-looking statements to reflect actual results or changes in factors or assumptions affecting such forward-looking statements. NTIC advises stockholders and investors to consult any further disclosures NTIC may make on related subjects in its annual reports on Form 10-K, quarterly reports on Form 10-Q and current reports on Form 8-K that NTIC files with or furnishes to the Securities and Exchange Commission.</w:t>
      </w:r>
    </w:p>
    <w:p>
      <w:pPr>
        <w:spacing w:after="0" w:line="16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the most significant factors known to NTIC that could materially adversely affect its business, operating results or financial condition.</w:t>
      </w:r>
    </w:p>
    <w:p>
      <w:pPr>
        <w:spacing w:after="0" w:line="25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b w:val="1"/>
          <w:bCs w:val="1"/>
          <w:i w:val="1"/>
          <w:iCs w:val="1"/>
          <w:color w:val="auto"/>
        </w:rPr>
        <w:t>Disruption and turmoil in global credit and financial markets, which may be exacerbated by the inability of certain countries to continue to service their sovereign debt obligations, and the possible negative implications of such events to the global economy, may negatively impact NTIC’s business, operating results and financial condition.</w:t>
      </w:r>
    </w:p>
    <w:p>
      <w:pPr>
        <w:spacing w:after="0" w:line="215"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The downgrade of the U.S. credit rating and the possibility that certain European Union member states will default on their debt obligations have contributed to significant uncertainty about the stability of global credit and financial markets. The credit and economic conditions within certain European Union countries in particular, including Greece, Ireland, Italy, Portugal and Spain, have contributed to the instability in global credit and financial markets. The possibility that such EU member states will default on their debt obligations, the uncertainty regarding international and the European Union’s financial support programs, the possibility that other EU member states may experience similar financial troubles and the austerity measures that have been implemented by certain EU members states could further disrupt global credit and financial markets. While the ultimate outcome of these events cannot be predicted, it is possible that such events could have a negative effect on the global economy as a whole, and the business, operating results and financial condition of NTIC and its joint ventures, in particular. For example, if the European sovereign debt crisis continues or worsens, the negative implications to the global economy and NTIC and its joint ventures could be significant. Approximately 61% of the $111.8 million in net sales of our joint ventures during fiscal 2012 was to customers based in Europe. A deterioration of economic conditions in such countries likely would have an adverse effect the net sales of NTIC’s joint ventures and, accordingly, NTIC’s equity in income from joint ventures, fees for services provided to joint ventures and receipt of dividend distributions from its joint ventures. In addition, if the European sovereign debt crisis continues or worsens, the value of the Euro and other European currencies could deteriorate, which could negatively impact the business, operating results and financial condition of NTIC and its joint ventures in light of the substantial operations of its joint ventures and the revenues its joint ventures derive from customers in the European Union. Tightening of the credit and financial markets could negatively impact the ability of companies to borrow money from their existing lenders, obtain credit from other sources or raise financing to fund their operations. This could negatively impact the ability of NTIC’s customers and the customers of NTIC’s joint ventures to purchase NTIC’s products, suppliers’ ability to provide NTIC and its joint ventures with materials and components and the ability of NTIC and its joint ventures, if needed, to finance operations on commercially reasonable terms, or at all. Any or all of these events could negatively impact NTIC’s business, operating results and financial condition.</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Adverse worldwide economic conditions may adversely affect NTIC’s business, operating results and financial condition.</w:t>
      </w:r>
    </w:p>
    <w:p>
      <w:pPr>
        <w:spacing w:after="0" w:line="244"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Apart from the European sovereign debt crisis, the U.S. and other global economies have experienced adverse economic conditions that have affected all sectors of the economy, resulting in declines in economic growth and consumer confidence, increases in unemployment rates and uncertainty about economic stability and the possibility of a “double-dip” or another worldwide economic recession. Recessionary factors and adverse worldwide economic conditions have adversely affected NTIC’s business, operating results and financial condition in the past. NTIC’s operating results for fiscal 2009 were adversely affected by worldwide economic conditions, particularly adverse conditions affecting the worldwide automobile industry at that time. Since a significant portion of NTIC’s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and services are sold to customers in the automotive industry, adverse economic conditions affecting the automotive industry again in particular may result in another adverse effect on NTIC’s net sales and its other operating results.</w:t>
      </w:r>
    </w:p>
    <w:p>
      <w:pPr>
        <w:spacing w:after="0" w:line="197"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Global credit and financial markets also in the recent past have experienced disruptions, including diminished liquidity and credit availability and rapid fluctuations in market valuations. NTIC’s business also has been affected by these conditions and is likely to be affected by them in the future, and there is no certainty that recent improvements in economic conditions will continue, or that economic conditions will not deteriorate further. These uncertainties affect businesses such as NTIC’s in a number of ways, making it difficult to accurately forecast and plan its future business activities and financial performance. For example, the ability of NTIC’s customers to borrow money from their existing lenders or to obtain credit from other sources to purchase NTIC’s products has been and may continue to be impaired. In addition, although NTIC maintains allowances for doubtful accounts for estimated losses resulting from the inability of its customers, distributors and joint ventures to make required payments and such losses historically have been within NTIC’s expectations and the provisions established, NTIC cannot guarantee that it will continue to experience the same loss rates that it has in the past, especially if continued weaknesses in the worldwide economy persist or worsen. A significant change in the liquidity or financial condition of NTIC’s customers, distributors or joint ventures could cause unfavorable trends in NTIC’s receivable collections and additional allowances may be required, which could adversely affect NTIC’s operating results. In addition, weaknesses in the worldwide economy may adversely impact the ability of suppliers to provide NTIC with materials and components, which could adversely affect NTIC’s business and operating results. NTIC is unable to predict the prospects for a global economic recovery, but the longer the duration of such adverse and uncertain economic conditions, the greater the risks NTIC faces in operating its business.</w:t>
      </w: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360"/>
          </w:cols>
          <w:pgMar w:left="240" w:top="273" w:right="299" w:bottom="1440" w:gutter="0" w:footer="0" w:header="0"/>
        </w:sectPr>
      </w:pPr>
    </w:p>
    <w:bookmarkStart w:id="17" w:name="page18"/>
    <w:bookmarkEnd w:id="17"/>
    <w:p>
      <w:pPr>
        <w:ind w:right="100"/>
        <w:spacing w:after="0" w:line="255" w:lineRule="auto"/>
        <w:rPr>
          <w:sz w:val="20"/>
          <w:szCs w:val="20"/>
          <w:color w:val="auto"/>
        </w:rPr>
      </w:pPr>
      <w:r>
        <w:rPr>
          <w:rFonts w:ascii="Arial" w:cs="Arial" w:eastAsia="Arial" w:hAnsi="Arial"/>
          <w:sz w:val="18"/>
          <w:szCs w:val="18"/>
          <w:b w:val="1"/>
          <w:bCs w:val="1"/>
          <w:i w:val="1"/>
          <w:iCs w:val="1"/>
          <w:color w:val="auto"/>
        </w:rPr>
        <w:t>NTIC’s liquidity and financial position rely on the receipt of fees for services provided to its joint ventures and dividend distributions from its joint ventures. No assurance can be provided that NTIC will continue to receive such fees and dividend distributions in amounts NTIC historically has received or anticipates to receive.</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NTIC conducts business, either directly or indirectly through several joint venture arrangements that operate in North America, Europe and Asia. Each of these</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joint ventures manufactures, markets and sells finished products in the geographic territory that it is assigned. NTIC’s receipt of funds as a result of sales by its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joint ventures is dependent upon NTIC’s receipt of fees for services that NTIC provides to its joint ventures based primarily on the revenues of the joint ventures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and NTIC’s receipt of dividend distributions from its joint ventures based on the profitability of its joint ventures. NTIC’s liquidity and financial position rely 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NTIC’s receipt of fees for services that NTIC provides to its joint ventures and dividend distributions from its joint ventures. During fiscal 2012, NTIC</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recognized $4,622,912 in fees and $3,060,545 in dividend distributions from its joint ventures. During fiscal 2011, NTIC received $6,129,979 in fees and</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$2,838,437 in dividend distributions from its joint ventures. Because NTIC typically owns only 50% or less of each of its joint venture entities, NTIC does not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control the decisions of these entities regarding whether to pay dividends and, if paid, how much they should be in any given year. Thus, NTIC cannot guarantee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that any of its joint ventures will pay dividends in any given year. The failure of NTIC’s joint ventures to declare dividends or the failure of NTIC to receive fees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for services provided to joint ventures in amounts typically expected by NTIC could adversely affect NTIC’s liquidity and financial position.</w:t>
      </w:r>
    </w:p>
    <w:p>
      <w:pPr>
        <w:spacing w:after="0" w:line="232"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b w:val="1"/>
          <w:bCs w:val="1"/>
          <w:i w:val="1"/>
          <w:iCs w:val="1"/>
          <w:color w:val="auto"/>
        </w:rPr>
        <w:t>Since a significant portion of NTIC’s earnings results from NTIC’s equity income of joint ventures and since NTIC’s equity income of joint ventures varies from quarter to quarter, NTIC’s earnings are subject to quarterly fluctuations.</w:t>
      </w:r>
    </w:p>
    <w:p>
      <w:pPr>
        <w:spacing w:after="0" w:line="206" w:lineRule="exact"/>
        <w:rPr>
          <w:sz w:val="20"/>
          <w:szCs w:val="20"/>
          <w:color w:val="auto"/>
        </w:rPr>
      </w:pPr>
    </w:p>
    <w:p>
      <w:pPr>
        <w:ind w:right="400"/>
        <w:spacing w:after="0" w:line="269" w:lineRule="auto"/>
        <w:rPr>
          <w:sz w:val="20"/>
          <w:szCs w:val="20"/>
          <w:color w:val="auto"/>
        </w:rPr>
      </w:pPr>
      <w:r>
        <w:rPr>
          <w:rFonts w:ascii="Arial" w:cs="Arial" w:eastAsia="Arial" w:hAnsi="Arial"/>
          <w:sz w:val="17"/>
          <w:szCs w:val="17"/>
          <w:color w:val="auto"/>
        </w:rPr>
        <w:t>A significant portion of NTIC’s earnings results from NTIC’s equity income of joint ventures. NTIC’s equity in income of joint ventures consists of NTIC’s share of equity in income of its joint ventures based on the overall profitability of the joint ventures. Such profitability varies from quarter to quarter. Since NTIC’s management typically receives quarterly joint venture financial information after the completion of each fiscal quarter, it is impossible for NTIC’s management to cut costs and expenses to make up for any unanticipated shortfall in NTIC’s equity income of joint ventures. Accordingly, the variability in NTIC’s equity income of joint ventures, in turn, subjects NTIC’s earnings to quarterly fluctuations.</w:t>
      </w:r>
    </w:p>
    <w:p>
      <w:pPr>
        <w:spacing w:after="0" w:line="204" w:lineRule="exact"/>
        <w:rPr>
          <w:sz w:val="20"/>
          <w:szCs w:val="20"/>
          <w:color w:val="auto"/>
        </w:rPr>
      </w:pPr>
    </w:p>
    <w:p>
      <w:pPr>
        <w:ind w:right="200"/>
        <w:spacing w:after="0" w:line="366" w:lineRule="auto"/>
        <w:rPr>
          <w:sz w:val="20"/>
          <w:szCs w:val="20"/>
          <w:color w:val="auto"/>
        </w:rPr>
      </w:pPr>
      <w:r>
        <w:rPr>
          <w:rFonts w:ascii="Arial" w:cs="Arial" w:eastAsia="Arial" w:hAnsi="Arial"/>
          <w:sz w:val="15"/>
          <w:szCs w:val="15"/>
          <w:b w:val="1"/>
          <w:bCs w:val="1"/>
          <w:i w:val="1"/>
          <w:iCs w:val="1"/>
          <w:color w:val="auto"/>
        </w:rPr>
        <w:t>NTIC faces intense competition in almost all of its product lines, including from competitors that have substantially greater resources than NTIC does. No assurance can be provided that NTIC will be able to compete effectively, which would harm its business and operating results.</w:t>
      </w:r>
    </w:p>
    <w:p>
      <w:pPr>
        <w:spacing w:after="0" w:line="137"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NTIC’s products are sold in intense competitive markets throughout the world. This intense competition could result in pricing pressures, lower sales, reduced margins and lower market share. The principal competitive factors in NTIC’s corrosion prevention solutions markets are pricing, product innovation, quality and reliability, product support, customer service and reputation. Additional competitive factors present in NTIC’s bioplastics business are brand awareness, distribution network, product availability, product offering, shelf life and place of manufacture. NTIC often competes with numerous manufacturers, many of which have substantially greater financial, marketing, and other resources than NTIC. As a result, they may be able to adapt more quickly than NTIC to new or emerging technologies, industry trends, and changes in customer requirements, or to devote greater resources to the promotion and sale of their products than NTIC. In addition, competition could increase if new companies enter the markets in which NTIC competes, especially when the barriers to entry are low, which may be true with respect to NTIC’s rust and corrosion prevention business,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No assurance can be provided that NTIC will be able to compete effectively, which would harm its business and operating results. In particular, NTIC has experienced more intense competition with respect to many of its traditional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and services, which have led to decreased pricing and smaller margins for NTIC. NTIC anticipates that such intense competition likely will continue and that new competitors may emerge, including plastic extrusion companies, which would continue to adversely affect NTIC’s operating results.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8" w:name="page19"/>
    <w:bookmarkEnd w:id="18"/>
    <w:p>
      <w:pPr>
        <w:ind w:right="260"/>
        <w:spacing w:after="0"/>
        <w:rPr>
          <w:sz w:val="20"/>
          <w:szCs w:val="20"/>
          <w:color w:val="auto"/>
        </w:rPr>
      </w:pPr>
      <w:r>
        <w:rPr>
          <w:rFonts w:ascii="Arial" w:cs="Arial" w:eastAsia="Arial" w:hAnsi="Arial"/>
          <w:sz w:val="16"/>
          <w:szCs w:val="16"/>
          <w:b w:val="1"/>
          <w:bCs w:val="1"/>
          <w:i w:val="1"/>
          <w:iCs w:val="1"/>
          <w:color w:val="auto"/>
        </w:rPr>
        <w:t>NTIC’s ZERUST</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rust and corrosion inhibiting products and services generate a significant portion of NTIC’s net sales and the net sales of NTIC’s joint ventures. Accordingly, if sales of these products and services were to decline, NTIC’s operating results would be adversely affected.</w:t>
      </w:r>
    </w:p>
    <w:p>
      <w:pPr>
        <w:spacing w:after="0" w:line="226"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NTIC’s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rust and corrosion inhibiting products and services generate a significant portion of NTIC’s net sales and the net sales of NTIC’s joint ventures. During fiscal 2012, 92.1% of NTIC’s consolidated net sales were derived from sales of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rust and corrosion inhibiting products and services. While the net sales of NTIC’s joint venture are not included in NTIC’s net sales on NTIC’s consolidated financial statements, NTIC’s receipt of fees for services that NTIC provides to its joint ventures and NTIC’s receipt of dividend distributions from its joint ventures is based primarily on the revenues and profitability of the joint ventures. Accordingly, if sales of these products and services were to decline due to increased competition, the introduction of a new disruptive technology or otherwise, NTIC’s operating results would be adversely affected.</w:t>
      </w:r>
    </w:p>
    <w:p>
      <w:pPr>
        <w:spacing w:after="0" w:line="230" w:lineRule="exact"/>
        <w:rPr>
          <w:sz w:val="20"/>
          <w:szCs w:val="20"/>
          <w:color w:val="auto"/>
        </w:rPr>
      </w:pPr>
    </w:p>
    <w:p>
      <w:pPr>
        <w:ind w:right="560"/>
        <w:spacing w:after="0" w:line="294" w:lineRule="auto"/>
        <w:rPr>
          <w:sz w:val="20"/>
          <w:szCs w:val="20"/>
          <w:color w:val="auto"/>
        </w:rPr>
      </w:pPr>
      <w:r>
        <w:rPr>
          <w:rFonts w:ascii="Arial" w:cs="Arial" w:eastAsia="Arial" w:hAnsi="Arial"/>
          <w:sz w:val="17"/>
          <w:szCs w:val="17"/>
          <w:b w:val="1"/>
          <w:bCs w:val="1"/>
          <w:i w:val="1"/>
          <w:iCs w:val="1"/>
          <w:color w:val="auto"/>
        </w:rPr>
        <w:t>If NTIC is unable to continue to enhance existing products and develop and market new products that respond to customer needs and achieve market acceptance, NTIC may experience a decrease in demand for its products, and its business could suffer.</w:t>
      </w:r>
    </w:p>
    <w:p>
      <w:pPr>
        <w:spacing w:after="0" w:line="184"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One of NTIC’s strategies is to enhance its existing products and develop and market new products that respond to customer needs. NTIC may not be able to compete effectively with its competitors unless NTIC can keep up with existing or new products or alternative technologies in the markets in which it competes. Product development requires significant research and development, financial and other resources. Although in the past NTIC has implemented lean manufacturing and other productivity improvement initiatives to provide investment funding for new products, no assurance can be provided that NTIC will be able to continue to do so in the future. Product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210" w:lineRule="exact"/>
        <w:rPr>
          <w:sz w:val="20"/>
          <w:szCs w:val="20"/>
          <w:color w:val="auto"/>
        </w:rPr>
      </w:pPr>
    </w:p>
    <w:p>
      <w:pPr>
        <w:spacing w:after="0" w:line="290" w:lineRule="auto"/>
        <w:rPr>
          <w:sz w:val="20"/>
          <w:szCs w:val="20"/>
          <w:color w:val="auto"/>
        </w:rPr>
      </w:pPr>
      <w:r>
        <w:rPr>
          <w:rFonts w:ascii="Arial" w:cs="Arial" w:eastAsia="Arial" w:hAnsi="Arial"/>
          <w:sz w:val="15"/>
          <w:szCs w:val="15"/>
          <w:b w:val="1"/>
          <w:bCs w:val="1"/>
          <w:i w:val="1"/>
          <w:iCs w:val="1"/>
          <w:color w:val="auto"/>
        </w:rPr>
        <w:t>NTIC has invested and intends to continue to invest additional research and development and marketing efforts and resources into the application of its corrosion prevention solutions into the oil and gas industry and the continued launch of its Natur-Tec</w:t>
      </w:r>
      <w:r>
        <w:rPr>
          <w:rFonts w:ascii="Arial" w:cs="Arial" w:eastAsia="Arial" w:hAnsi="Arial"/>
          <w:sz w:val="20"/>
          <w:szCs w:val="20"/>
          <w:b w:val="1"/>
          <w:bCs w:val="1"/>
          <w:i w:val="1"/>
          <w:iCs w:val="1"/>
          <w:color w:val="auto"/>
          <w:vertAlign w:val="superscript"/>
        </w:rPr>
        <w:t>®</w:t>
      </w:r>
      <w:r>
        <w:rPr>
          <w:rFonts w:ascii="Arial" w:cs="Arial" w:eastAsia="Arial" w:hAnsi="Arial"/>
          <w:sz w:val="15"/>
          <w:szCs w:val="15"/>
          <w:b w:val="1"/>
          <w:bCs w:val="1"/>
          <w:i w:val="1"/>
          <w:iCs w:val="1"/>
          <w:color w:val="auto"/>
        </w:rPr>
        <w:t xml:space="preserve"> resin compounds and finished products. No assurance can be provided, however, that NTIC’s investments in these new markets and products will be successful and result in additional revenue to NTIC.</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19" w:name="page20"/>
    <w:bookmarkEnd w:id="19"/>
    <w:p>
      <w:pPr>
        <w:ind w:right="140"/>
        <w:spacing w:after="0" w:line="236" w:lineRule="auto"/>
        <w:rPr>
          <w:sz w:val="20"/>
          <w:szCs w:val="20"/>
          <w:color w:val="auto"/>
        </w:rPr>
      </w:pPr>
      <w:r>
        <w:rPr>
          <w:rFonts w:ascii="Arial" w:cs="Arial" w:eastAsia="Arial" w:hAnsi="Arial"/>
          <w:sz w:val="17"/>
          <w:szCs w:val="17"/>
          <w:color w:val="auto"/>
        </w:rPr>
        <w:t>In an effort to increase net sales, NTIC has expanded the marketing of its corrosion prevention solutions into the oil and gas industry, and expanded its product lines to include its Natur-Tec</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resin compounds and finished products. The majority of NTIC’s research and development expense in fiscal 2012 was spent in connection with research and development activities related to these two strategic initiatives. NTIC expects to continue to invest additional research and development and marketing efforts and resources into these strategic initiatives. No assurance can be provided, however, that such strategic initiatives will be successful or that NTIC will be successful in obtaining additional revenue as a result of them. The introduction of new products into new markets takes significant resources and there can be no assurance that NTIC is dedicating a sufficient amount of resources to ensure the success of these strategic initiatives. NTIC believes that the sale of its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rust and corrosion inhibiting products and services into the oil and gas industry, in particular, will involve a long sales cycle, likely including a one- to multi-year trial period with each customer and a slow integration process thereafter. This long sales cycle may cause NTIC’s management, stockholders and investors to lose faith in the business opportunities for NTIC’s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rust and corrosion inhibiting products and services in the oil and gas industry.</w:t>
      </w:r>
    </w:p>
    <w:p>
      <w:pPr>
        <w:spacing w:after="0" w:line="233" w:lineRule="exact"/>
        <w:rPr>
          <w:sz w:val="20"/>
          <w:szCs w:val="20"/>
          <w:color w:val="auto"/>
        </w:rPr>
      </w:pPr>
    </w:p>
    <w:p>
      <w:pPr>
        <w:spacing w:after="0" w:line="225" w:lineRule="auto"/>
        <w:rPr>
          <w:sz w:val="20"/>
          <w:szCs w:val="20"/>
          <w:color w:val="auto"/>
        </w:rPr>
      </w:pPr>
      <w:r>
        <w:rPr>
          <w:rFonts w:ascii="Arial" w:cs="Arial" w:eastAsia="Arial" w:hAnsi="Arial"/>
          <w:sz w:val="18"/>
          <w:szCs w:val="18"/>
          <w:b w:val="1"/>
          <w:bCs w:val="1"/>
          <w:i w:val="1"/>
          <w:iCs w:val="1"/>
          <w:color w:val="auto"/>
        </w:rPr>
        <w:t>The expansion of NTIC’s corrosion prevention solutions into the oil and gas industry and the continued launch of NTIC’s Natur-Tec</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may require additional capital in the future, which may not be available or may be available only on unfavorable terms. In addition, any equity financings may be dilutive to NTIC’s stockholders.</w:t>
      </w:r>
    </w:p>
    <w:p>
      <w:pPr>
        <w:spacing w:after="0" w:line="228" w:lineRule="exact"/>
        <w:rPr>
          <w:sz w:val="20"/>
          <w:szCs w:val="20"/>
          <w:color w:val="auto"/>
        </w:rPr>
      </w:pPr>
    </w:p>
    <w:p>
      <w:pPr>
        <w:ind w:right="160"/>
        <w:spacing w:after="0" w:line="233" w:lineRule="auto"/>
        <w:rPr>
          <w:sz w:val="20"/>
          <w:szCs w:val="20"/>
          <w:color w:val="auto"/>
        </w:rPr>
      </w:pPr>
      <w:r>
        <w:rPr>
          <w:rFonts w:ascii="Arial" w:cs="Arial" w:eastAsia="Arial" w:hAnsi="Arial"/>
          <w:sz w:val="18"/>
          <w:szCs w:val="18"/>
          <w:color w:val="auto"/>
        </w:rPr>
        <w:t>The expansion of NTIC’s corrosion prevention solutions into the oil and gas industry and the continued launch of NTIC’s Natur-Tec</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resin compounds and finished products will continue to require significant resources during fiscal 2013 and beyond. To the extent that NTIC’s existing capital, including amounts available under its revolving line of credit or other then existing financing arrangements, is insufficient to meet these requirements, NTIC may raise additional capital through financings or additional borrowings. Any equity or debt financing, if available at all, may be on terms that are not favorable to NTIC and any equity financings could result in dilution to NTIC’s stockholders.</w:t>
      </w:r>
    </w:p>
    <w:p>
      <w:pPr>
        <w:spacing w:after="0" w:line="228" w:lineRule="exact"/>
        <w:rPr>
          <w:sz w:val="20"/>
          <w:szCs w:val="20"/>
          <w:color w:val="auto"/>
        </w:rPr>
      </w:pPr>
    </w:p>
    <w:p>
      <w:pPr>
        <w:ind w:right="220"/>
        <w:spacing w:after="0" w:line="288" w:lineRule="auto"/>
        <w:rPr>
          <w:sz w:val="20"/>
          <w:szCs w:val="20"/>
          <w:color w:val="auto"/>
        </w:rPr>
      </w:pPr>
      <w:r>
        <w:rPr>
          <w:rFonts w:ascii="Arial" w:cs="Arial" w:eastAsia="Arial" w:hAnsi="Arial"/>
          <w:sz w:val="15"/>
          <w:szCs w:val="15"/>
          <w:b w:val="1"/>
          <w:bCs w:val="1"/>
          <w:i w:val="1"/>
          <w:iCs w:val="1"/>
          <w:color w:val="auto"/>
        </w:rPr>
        <w:t>NTIC’s strategy of expanding its corrosion prevention solutions into the oil and gas industry and continuing its launch of its Natur-Tec</w:t>
      </w:r>
      <w:r>
        <w:rPr>
          <w:rFonts w:ascii="Arial" w:cs="Arial" w:eastAsia="Arial" w:hAnsi="Arial"/>
          <w:sz w:val="20"/>
          <w:szCs w:val="20"/>
          <w:b w:val="1"/>
          <w:bCs w:val="1"/>
          <w:i w:val="1"/>
          <w:iCs w:val="1"/>
          <w:color w:val="auto"/>
          <w:vertAlign w:val="superscript"/>
        </w:rPr>
        <w:t>®</w:t>
      </w:r>
      <w:r>
        <w:rPr>
          <w:rFonts w:ascii="Arial" w:cs="Arial" w:eastAsia="Arial" w:hAnsi="Arial"/>
          <w:sz w:val="15"/>
          <w:szCs w:val="15"/>
          <w:b w:val="1"/>
          <w:bCs w:val="1"/>
          <w:i w:val="1"/>
          <w:iCs w:val="1"/>
          <w:color w:val="auto"/>
        </w:rPr>
        <w:t xml:space="preserve"> bioplastics resin compounds and finished products is risky and may not prove to be successful, which could harm NTIC’s operating results and financial condition.</w:t>
      </w:r>
    </w:p>
    <w:p>
      <w:pPr>
        <w:spacing w:after="0" w:line="180"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NTIC’s strategy of expanding its corrosion prevention solutions into the oil and gas industry and continuing its launch of its Natur-Tec</w:t>
      </w:r>
      <w:r>
        <w:rPr>
          <w:rFonts w:ascii="Arial" w:cs="Arial" w:eastAsia="Arial" w:hAnsi="Arial"/>
          <w:sz w:val="24"/>
          <w:szCs w:val="24"/>
          <w:color w:val="auto"/>
          <w:vertAlign w:val="superscript"/>
        </w:rPr>
        <w:t>®</w:t>
      </w:r>
      <w:r>
        <w:rPr>
          <w:rFonts w:ascii="Arial" w:cs="Arial" w:eastAsia="Arial" w:hAnsi="Arial"/>
          <w:sz w:val="18"/>
          <w:szCs w:val="18"/>
          <w:color w:val="auto"/>
        </w:rPr>
        <w:t xml:space="preserve"> bioplastics resin compounds and finished products, either directly or indirectly through joint ventures and independent distributors and agents, is risky and subject to all of the risks inherent in the establishment of a new business enterprise, including:</w:t>
      </w:r>
    </w:p>
    <w:p>
      <w:pPr>
        <w:spacing w:after="0" w:line="230" w:lineRule="exact"/>
        <w:rPr>
          <w:sz w:val="20"/>
          <w:szCs w:val="20"/>
          <w:color w:val="auto"/>
        </w:rPr>
      </w:pPr>
    </w:p>
    <w:p>
      <w:pPr>
        <w:ind w:left="800" w:hanging="13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absence of a significant operating history;</w:t>
      </w:r>
    </w:p>
    <w:p>
      <w:pPr>
        <w:spacing w:after="0" w:line="16" w:lineRule="exact"/>
        <w:rPr>
          <w:rFonts w:ascii="Arial" w:cs="Arial" w:eastAsia="Arial" w:hAnsi="Arial"/>
          <w:sz w:val="18"/>
          <w:szCs w:val="18"/>
          <w:color w:val="auto"/>
        </w:rPr>
      </w:pPr>
    </w:p>
    <w:p>
      <w:pPr>
        <w:ind w:left="800" w:hanging="13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lack of commercialized products;</w:t>
      </w:r>
    </w:p>
    <w:p>
      <w:pPr>
        <w:spacing w:after="0" w:line="5" w:lineRule="exact"/>
        <w:rPr>
          <w:rFonts w:ascii="Arial" w:cs="Arial" w:eastAsia="Arial" w:hAnsi="Arial"/>
          <w:sz w:val="18"/>
          <w:szCs w:val="18"/>
          <w:color w:val="auto"/>
        </w:rPr>
      </w:pPr>
    </w:p>
    <w:p>
      <w:pPr>
        <w:ind w:left="800" w:hanging="13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lack of market acceptance of new products;</w:t>
      </w:r>
    </w:p>
    <w:p>
      <w:pPr>
        <w:spacing w:after="0" w:line="5" w:lineRule="exact"/>
        <w:rPr>
          <w:rFonts w:ascii="Arial" w:cs="Arial" w:eastAsia="Arial" w:hAnsi="Arial"/>
          <w:sz w:val="18"/>
          <w:szCs w:val="18"/>
          <w:color w:val="auto"/>
        </w:rPr>
      </w:pPr>
    </w:p>
    <w:p>
      <w:pPr>
        <w:ind w:left="800" w:hanging="13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substantial and continual losses for such businesses for the foreseeable future;</w:t>
      </w:r>
    </w:p>
    <w:p>
      <w:pPr>
        <w:spacing w:after="0" w:line="5" w:lineRule="exact"/>
        <w:rPr>
          <w:rFonts w:ascii="Arial" w:cs="Arial" w:eastAsia="Arial" w:hAnsi="Arial"/>
          <w:sz w:val="18"/>
          <w:szCs w:val="18"/>
          <w:color w:val="auto"/>
        </w:rPr>
      </w:pPr>
    </w:p>
    <w:p>
      <w:pPr>
        <w:ind w:left="800" w:hanging="13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lack of manufacturing experience and limited marketing experience;</w:t>
      </w:r>
    </w:p>
    <w:p>
      <w:pPr>
        <w:spacing w:after="0" w:line="5" w:lineRule="exact"/>
        <w:rPr>
          <w:rFonts w:ascii="Arial" w:cs="Arial" w:eastAsia="Arial" w:hAnsi="Arial"/>
          <w:sz w:val="18"/>
          <w:szCs w:val="18"/>
          <w:color w:val="auto"/>
        </w:rPr>
      </w:pPr>
    </w:p>
    <w:p>
      <w:pPr>
        <w:ind w:left="800" w:hanging="13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expected reliance on third parties for the manufacture and commercialization of some of the products;</w:t>
      </w:r>
    </w:p>
    <w:p>
      <w:pPr>
        <w:spacing w:after="0" w:line="5" w:lineRule="exact"/>
        <w:rPr>
          <w:rFonts w:ascii="Arial" w:cs="Arial" w:eastAsia="Arial" w:hAnsi="Arial"/>
          <w:sz w:val="18"/>
          <w:szCs w:val="18"/>
          <w:color w:val="auto"/>
        </w:rPr>
      </w:pPr>
    </w:p>
    <w:p>
      <w:pPr>
        <w:ind w:left="800" w:hanging="13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competitive environment characterized by numerous, well-established and well-capitalized competitors;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360"/>
          </w:cols>
          <w:pgMar w:left="240" w:top="273" w:right="299" w:bottom="1440" w:gutter="0" w:footer="0" w:header="0"/>
        </w:sectPr>
      </w:pPr>
    </w:p>
    <w:bookmarkStart w:id="20" w:name="page21"/>
    <w:bookmarkEnd w:id="20"/>
    <w:p>
      <w:pPr>
        <w:ind w:left="800" w:hanging="13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insufficient capital and other resources; and</w:t>
      </w:r>
    </w:p>
    <w:p>
      <w:pPr>
        <w:spacing w:after="0" w:line="16" w:lineRule="exact"/>
        <w:rPr>
          <w:rFonts w:ascii="Arial" w:cs="Arial" w:eastAsia="Arial" w:hAnsi="Arial"/>
          <w:sz w:val="18"/>
          <w:szCs w:val="18"/>
          <w:color w:val="auto"/>
        </w:rPr>
      </w:pPr>
    </w:p>
    <w:p>
      <w:pPr>
        <w:ind w:left="800" w:hanging="13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reliance on key personnel.</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NTIC relies on others for its production and any interruptions of these arrangements could disrupt NTIC’s ability to fill its customers’ orders.</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NTIC utilizes contract manufacturers for substantially all of its production requirements. The majority of NTIC’s manufacturing is conducted in China and India</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by contract manufacturers that also perform services for numerous other companies. NTIC does not have a guaranteed level of production capacity with any of</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its contract manufacturers. Qualifying new contract manufacturers is time consuming and might result in unforeseen manufacturing and operations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problems. The loss of NTIC’s relationships with its contract manufacturers or their inability to conduct their manufacturing and assembly services for NTIC as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anticipated in terms of capacity, cost, quality and timeliness could adversely affect NTIC’s ability to fill customer orders in accordance with required delivery,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quality, and performance requirements, and thus adversely affect NTIC’s net sales and other operating results.</w:t>
      </w:r>
    </w:p>
    <w:p>
      <w:pPr>
        <w:spacing w:after="0" w:line="232" w:lineRule="exact"/>
        <w:rPr>
          <w:sz w:val="20"/>
          <w:szCs w:val="20"/>
          <w:color w:val="auto"/>
        </w:rPr>
      </w:pPr>
    </w:p>
    <w:p>
      <w:pPr>
        <w:ind w:right="440"/>
        <w:spacing w:after="0" w:line="265" w:lineRule="auto"/>
        <w:rPr>
          <w:sz w:val="20"/>
          <w:szCs w:val="20"/>
          <w:color w:val="auto"/>
        </w:rPr>
      </w:pPr>
      <w:r>
        <w:rPr>
          <w:rFonts w:ascii="Arial" w:cs="Arial" w:eastAsia="Arial" w:hAnsi="Arial"/>
          <w:sz w:val="18"/>
          <w:szCs w:val="18"/>
          <w:b w:val="1"/>
          <w:bCs w:val="1"/>
          <w:i w:val="1"/>
          <w:iCs w:val="1"/>
          <w:color w:val="auto"/>
        </w:rPr>
        <w:t>NTIC’s dependence on key suppliers puts NTIC at risk of interruptions in the availability of its products, which could reduce its net sales and adversely affect its operating results and harm its reputation.</w:t>
      </w:r>
    </w:p>
    <w:p>
      <w:pPr>
        <w:spacing w:after="0" w:line="20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NTIC relies on suppliers for certain raw materials and components used in its products. For reasons of quality assurance, cost effectiveness or availability, NTIC procures certain raw materials and components from sole or limited source suppliers. NTIC generally acquires such raw materials and components through purchase orders placed in the ordinary course of business, and as a result, NTIC does not have a significant inventory of these materials and components and does not have any guaranteed or contractual supply arrangements with many of these suppliers for these materials and components. NTIC’s dependence on third-party suppliers involves several risks, including limited control over pricing, availability, quality and delivery schedules, as well as manufacturing yields and costs. Suppliers of such raw materials and components may decide, or be required, for reasons beyond NTIC’s control to cease supplying such raw materials and components to NTIC or to raise their prices. Shortages of raw materials, quality control problems, production capacity constraints or delays by suppliers could negatively affect NTIC’s ability to meet its production obligations and result in increased prices for affected parts. Any such shortage, constraint or delay may result in delays in shipments of products or components, which could adversely affect NTIC’s net sales and other operating results, and its reputation. From time to time, materials and components used in NTIC’s products are subject to allocation because of shortages of these materials and components. With respect to NTIC’s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there are a limited number of suppliers of the base resins used to manufacture NTIC’s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and in the past, NTIC has experienced some delay in obtaining such base resins. In addition, a number of raw materials and purchased parts used in NTIC’s rust and corrosion inhibiting products and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finished products are sourced from suppliers who currently serve as NTIC’s sole source of supply for these components. Future shortages of materials and components could cause delayed shipments and customer dissatisfaction and adversely affect net sales.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prices for raw materials and components used in NTIC’s products could adversely affect NTIC’s operating results.</w:t>
      </w:r>
    </w:p>
    <w:p>
      <w:pPr>
        <w:spacing w:after="0" w:line="244" w:lineRule="exact"/>
        <w:rPr>
          <w:sz w:val="20"/>
          <w:szCs w:val="20"/>
          <w:color w:val="auto"/>
        </w:rPr>
      </w:pPr>
    </w:p>
    <w:p>
      <w:pPr>
        <w:ind w:right="240"/>
        <w:spacing w:after="0" w:line="294" w:lineRule="auto"/>
        <w:rPr>
          <w:sz w:val="20"/>
          <w:szCs w:val="20"/>
          <w:color w:val="auto"/>
        </w:rPr>
      </w:pPr>
      <w:r>
        <w:rPr>
          <w:rFonts w:ascii="Arial" w:cs="Arial" w:eastAsia="Arial" w:hAnsi="Arial"/>
          <w:sz w:val="17"/>
          <w:szCs w:val="17"/>
          <w:color w:val="auto"/>
        </w:rPr>
        <w:t>NTIC uses certain raw materials and components in its products, including in particular plastic resins, which are subject to price increases. Increases in prices for raw materials and components used in NTIC’s products could adversely affect NTIC’s gross margins and other operating results.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1" w:name="page22"/>
    <w:bookmarkEnd w:id="21"/>
    <w:p>
      <w:pPr>
        <w:ind w:right="820"/>
        <w:spacing w:after="0" w:line="217" w:lineRule="auto"/>
        <w:rPr>
          <w:sz w:val="20"/>
          <w:szCs w:val="20"/>
          <w:color w:val="auto"/>
        </w:rPr>
      </w:pPr>
      <w:r>
        <w:rPr>
          <w:rFonts w:ascii="Arial" w:cs="Arial" w:eastAsia="Arial" w:hAnsi="Arial"/>
          <w:sz w:val="18"/>
          <w:szCs w:val="18"/>
          <w:b w:val="1"/>
          <w:bCs w:val="1"/>
          <w:i w:val="1"/>
          <w:iCs w:val="1"/>
          <w:color w:val="auto"/>
        </w:rPr>
        <w:t>The commercial success of NTIC’s Natur-Tec</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depends on the widespread market acceptance of products manufactured with bio-based and biodegradable resins.</w:t>
      </w:r>
    </w:p>
    <w:p>
      <w:pPr>
        <w:spacing w:after="0" w:line="228"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Although there is a developed market for petroleum-based plastics, the market for “bio-plastics” which are plastics produced with bio-based resins, which are derived from renewable resources such as corn or cellulosic/plant material or blends thereof, or plastics that are engineered to be fully biodegradable or both, is still developing. The commercial success of NTIC’s Natur-Tec</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resin compounds and finished products depends on the widespread market acceptance of products manufactured with bio-based and biodegradable resins. It is currently difficult to assess or predict with any assurance the potential size, timing and viability of market opportunities for NTIC’s Natur-Tec</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resin compounds and finished products. The traditional plastics market sector is well-established with entrenched competitors with whom NTIC competes. Pricing for traditional plastics has been highly volatile in recent years, which drive, to some extent, the commercial and other support for bioplastics. While NTIC expects to be able to command a premium price for its Natur-Tec</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resin compounds and finished products, a widening gap in the pricing for bioplastics versus petroleum-based plastics may reduce the size of the addressable market for NTIC’s Natur-Tec</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resin compounds and finished products. In addition, the growth of the market will create some pressure on price for applications today considered commodities, including in particular NTIC’s current Natur-Tec</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finished products.</w:t>
      </w:r>
    </w:p>
    <w:p>
      <w:pPr>
        <w:spacing w:after="0" w:line="137" w:lineRule="exact"/>
        <w:rPr>
          <w:sz w:val="20"/>
          <w:szCs w:val="20"/>
          <w:color w:val="auto"/>
        </w:rPr>
      </w:pPr>
    </w:p>
    <w:p>
      <w:pPr>
        <w:ind w:right="420"/>
        <w:spacing w:after="0" w:line="366" w:lineRule="auto"/>
        <w:rPr>
          <w:sz w:val="20"/>
          <w:szCs w:val="20"/>
          <w:color w:val="auto"/>
        </w:rPr>
      </w:pPr>
      <w:r>
        <w:rPr>
          <w:rFonts w:ascii="Arial" w:cs="Arial" w:eastAsia="Arial" w:hAnsi="Arial"/>
          <w:sz w:val="15"/>
          <w:szCs w:val="15"/>
          <w:b w:val="1"/>
          <w:bCs w:val="1"/>
          <w:i w:val="1"/>
          <w:iCs w:val="1"/>
          <w:color w:val="auto"/>
        </w:rPr>
        <w:t>NTIC’s international business, which is conducted primarily through its joint ventures and Zerust Brazil, requires management attention and financial resources and exposes NTIC to difficulties and risks presented by international economic, political, legal, accounting and business factors.</w:t>
      </w:r>
    </w:p>
    <w:p>
      <w:pPr>
        <w:spacing w:after="0" w:line="137"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NTIC sells products and services directly, through its majority-owned subsidiary, Zerust Brazil, and via a network of joint ventures, independent distributors, manufacturer’s sales representatives and agents in over 55 countries, including countries in North America, South America, Europe, Asia and the Middle East. One of NTIC’s strategic objectives is the continued expansion of its international operations. The expansion of NTIC’s existing international operations and entry into additional international markets require management attention and financial resources.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sale and shipping of products and services across international borders subject NTIC to extensive U.S. and foreign governmental trade</w:t>
      </w:r>
    </w:p>
    <w:p>
      <w:pPr>
        <w:spacing w:after="0" w:line="1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regulations. Compliance with such regulations is costly and exposes NTIC to penalties for non-compliance. Other laws and regulations that can significantly impact NTIC include various anti-bribery laws, including the U.S. Foreign Corrupt Practices Act, laws restricting business with suspected terrorists and anti-boycott laws. Any failure to comply with applicable legal and regulatory obligations could impact NTIC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NTIC’s shipping and sales activities.</w:t>
      </w:r>
    </w:p>
    <w:p>
      <w:pPr>
        <w:spacing w:after="0" w:line="22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Many of the countries in which NTIC sells its products directly or indirectly through Zerust Brazil, its joint ventures, distributors, representatives and agents are, to some degree, subject to political, economic and/or social instability. NTIC’s international operations expose NTIC and its joint venture partners, distributors, representatives and agents to risks inherent in operating in foreign jurisdictions. These risks include:</w:t>
      </w:r>
    </w:p>
    <w:p>
      <w:pPr>
        <w:spacing w:after="0" w:line="215" w:lineRule="exact"/>
        <w:rPr>
          <w:sz w:val="20"/>
          <w:szCs w:val="20"/>
          <w:color w:val="auto"/>
        </w:rPr>
      </w:pPr>
    </w:p>
    <w:p>
      <w:pPr>
        <w:ind w:left="800" w:hanging="131"/>
        <w:spacing w:after="0" w:line="252"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the required infrastructure costs including legal, tax, accounting and information technology;</w:t>
      </w:r>
    </w:p>
    <w:p>
      <w:pPr>
        <w:jc w:val="both"/>
        <w:ind w:left="800" w:hanging="131"/>
        <w:spacing w:after="0" w:line="24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22" w:name="page23"/>
    <w:bookmarkEnd w:id="22"/>
    <w:p>
      <w:pPr>
        <w:ind w:left="800" w:hanging="131"/>
        <w:spacing w:after="0" w:line="252"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NTIC does business that would restrict or prohibit continued business with the sanctioned country, company, person or entity;</w:t>
      </w:r>
    </w:p>
    <w:p>
      <w:pPr>
        <w:ind w:left="800" w:hanging="13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pressure that NTIC or its joint ventures, distributors, representatives and agents may experience internationally;</w:t>
      </w:r>
    </w:p>
    <w:p>
      <w:pPr>
        <w:spacing w:after="0" w:line="5" w:lineRule="exact"/>
        <w:rPr>
          <w:rFonts w:ascii="Arial" w:cs="Arial" w:eastAsia="Arial" w:hAnsi="Arial"/>
          <w:sz w:val="18"/>
          <w:szCs w:val="18"/>
          <w:color w:val="auto"/>
        </w:rPr>
      </w:pPr>
    </w:p>
    <w:p>
      <w:pPr>
        <w:ind w:left="800" w:hanging="13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5" w:lineRule="exact"/>
        <w:rPr>
          <w:rFonts w:ascii="Arial" w:cs="Arial" w:eastAsia="Arial" w:hAnsi="Arial"/>
          <w:sz w:val="18"/>
          <w:szCs w:val="18"/>
          <w:color w:val="auto"/>
        </w:rPr>
      </w:pPr>
    </w:p>
    <w:p>
      <w:pPr>
        <w:ind w:left="800" w:hanging="13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5" w:lineRule="exact"/>
        <w:rPr>
          <w:rFonts w:ascii="Arial" w:cs="Arial" w:eastAsia="Arial" w:hAnsi="Arial"/>
          <w:sz w:val="18"/>
          <w:szCs w:val="18"/>
          <w:color w:val="auto"/>
        </w:rPr>
      </w:pPr>
    </w:p>
    <w:p>
      <w:pPr>
        <w:ind w:left="800" w:hanging="13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5" w:lineRule="exact"/>
        <w:rPr>
          <w:rFonts w:ascii="Arial" w:cs="Arial" w:eastAsia="Arial" w:hAnsi="Arial"/>
          <w:sz w:val="18"/>
          <w:szCs w:val="18"/>
          <w:color w:val="auto"/>
        </w:rPr>
      </w:pPr>
    </w:p>
    <w:p>
      <w:pPr>
        <w:ind w:left="800" w:hanging="13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w:t>
      </w:r>
    </w:p>
    <w:p>
      <w:pPr>
        <w:spacing w:after="0" w:line="5" w:lineRule="exact"/>
        <w:rPr>
          <w:rFonts w:ascii="Arial" w:cs="Arial" w:eastAsia="Arial" w:hAnsi="Arial"/>
          <w:sz w:val="18"/>
          <w:szCs w:val="18"/>
          <w:color w:val="auto"/>
        </w:rPr>
      </w:pPr>
    </w:p>
    <w:p>
      <w:pPr>
        <w:ind w:left="800" w:hanging="13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and regulations; and</w:t>
      </w:r>
    </w:p>
    <w:p>
      <w:pPr>
        <w:spacing w:after="0" w:line="5" w:lineRule="exact"/>
        <w:rPr>
          <w:rFonts w:ascii="Arial" w:cs="Arial" w:eastAsia="Arial" w:hAnsi="Arial"/>
          <w:sz w:val="18"/>
          <w:szCs w:val="18"/>
          <w:color w:val="auto"/>
        </w:rPr>
      </w:pPr>
    </w:p>
    <w:p>
      <w:pPr>
        <w:ind w:left="800" w:hanging="13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payment of U.S. income taxes on certain earnings of joint ventures upon repatriation.</w:t>
      </w:r>
    </w:p>
    <w:p>
      <w:pPr>
        <w:spacing w:after="0" w:line="232" w:lineRule="exact"/>
        <w:rPr>
          <w:sz w:val="20"/>
          <w:szCs w:val="20"/>
          <w:color w:val="auto"/>
        </w:rPr>
      </w:pPr>
    </w:p>
    <w:p>
      <w:pPr>
        <w:ind w:right="140"/>
        <w:spacing w:after="0" w:line="294" w:lineRule="auto"/>
        <w:rPr>
          <w:sz w:val="20"/>
          <w:szCs w:val="20"/>
          <w:color w:val="auto"/>
        </w:rPr>
      </w:pPr>
      <w:r>
        <w:rPr>
          <w:rFonts w:ascii="Arial" w:cs="Arial" w:eastAsia="Arial" w:hAnsi="Arial"/>
          <w:sz w:val="17"/>
          <w:szCs w:val="17"/>
          <w:b w:val="1"/>
          <w:bCs w:val="1"/>
          <w:i w:val="1"/>
          <w:iCs w:val="1"/>
          <w:color w:val="auto"/>
        </w:rPr>
        <w:t>Failure to comply with the U.S. Foreign Corrupt Practices Act could subject NTIC to, among other things, penalties and legal expenses that could harm its reputation and have a material adverse effect on its business, financial condition and results of operations.</w:t>
      </w:r>
    </w:p>
    <w:p>
      <w:pPr>
        <w:spacing w:after="0" w:line="184"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NTIC is subject to the U.S. Foreign Corrupt Practices Act, or the FCPA, which generally prohibits covered entities and their intermediaries from engaging in bribery or making other prohibited payments to foreign officials for the purpose of obtaining or retaining business or other benefits. In addition, the FCPA imposes accounting standards and requirements on U.S. publicly traded corporations and their foreign affiliates, which are intended to prevent the diversion of corporate funds to the payment of bribes and other improper payments, and to prevent the establishment of “off books” slush funds from which such improper payments can be made. NTIC also is subject to similar anticorruption legislation implemented in Europe under the Organization for Economic Co-operation and Development’s Convention on Combating Bribery of Foreign Public Officials in International Business Transactions. NTIC and its joint ventures, distributors, independent representatives and agents operate in a number of jurisdictions that pose a high risk of potential violations of the FCPA and other anticorruption laws, based on measurements such as Transparency International’s Corruption Perception Index, and NTIC utilizes a number of joint ventures, distributors, independent representatives and agents for whose actions NTIC could be held liable under the FCPA. NTIC informs its personnel, joint ventures, distributors, independent representatives and agents of the requirements of the FCPA and other anticorruption laws, including, but not limited to their reporting requirements. NTIC also has developed and will continue to develop and implement systems for formalizing contracting processes, performing due diligence on agents and improving its recordkeeping and auditing practices regarding these regulations. However, there is no guarantee that NTIC’s employees, joint ventures, distributors, independent representatives or other agents have not or will not engage in conduct undetected by NTIC’s processes and for which NTIC might be held responsible under the FCPA or other anticorruption laws.</w:t>
      </w:r>
    </w:p>
    <w:p>
      <w:pPr>
        <w:spacing w:after="0" w:line="396"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If NTIC’s employees, joint ventures, distributors, third-party sales representatives or other agents are found to have engaged in such practices, NTIC could suffer severe penalties, including criminal and civil penalties, disgorgement and other remedial measures, including further changes or enhancements to its procedures, policies and controls, as well as potential personnel changes and disciplinary actions. The Securities and Exchange Commission has increased its enforcement of the FCPA during the past several years. Although NTIC does not believe it is currently a target in any such enforcement action, any investigation of any potential violations of the FCPA or other anticorruption laws by U.S. or foreign authorities also could have an adverse impact on NTIC’s business, financial condition and results of operations.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3" w:name="page24"/>
    <w:bookmarkEnd w:id="23"/>
    <w:p>
      <w:pPr>
        <w:ind w:right="320"/>
        <w:spacing w:after="0" w:line="271" w:lineRule="auto"/>
        <w:rPr>
          <w:sz w:val="20"/>
          <w:szCs w:val="20"/>
          <w:color w:val="auto"/>
        </w:rPr>
      </w:pPr>
      <w:r>
        <w:rPr>
          <w:rFonts w:ascii="Arial" w:cs="Arial" w:eastAsia="Arial" w:hAnsi="Arial"/>
          <w:sz w:val="17"/>
          <w:szCs w:val="17"/>
          <w:color w:val="auto"/>
        </w:rPr>
        <w:t>Certain private and foreign companies, including some of NTIC’s competitors, are not subject to prohibitions as strict as those under the FCPA or, even if subjected to strict prohibitions, such prohibitions may be laxly enforced in practice. If NTIC’s competitors engage in corruption, extortion, bribery, pay-offs, theft or other fraudulent practices, they may receive preferential treatment from personnel of some companies or from government officials, giving NTIC’s competitors an advantage in securing business and which would put NTIC at a disadvantage.</w:t>
      </w:r>
    </w:p>
    <w:p>
      <w:pPr>
        <w:spacing w:after="0" w:line="204" w:lineRule="exact"/>
        <w:rPr>
          <w:sz w:val="20"/>
          <w:szCs w:val="20"/>
          <w:color w:val="auto"/>
        </w:rPr>
      </w:pPr>
    </w:p>
    <w:p>
      <w:pPr>
        <w:ind w:right="860"/>
        <w:spacing w:after="0" w:line="265" w:lineRule="auto"/>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NTIC’s earnings and changes in NTIC’s foreign currency translation adjustments.</w:t>
      </w:r>
    </w:p>
    <w:p>
      <w:pPr>
        <w:spacing w:after="0" w:line="206"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Because the functional currency of NTIC’s foreign operations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its joint ventures and dividend distributions from these foreign entities are paid in foreign currencies; and thus, fluctuations in foreign currency exchange rates could result in declines in NTIC’s earnings. Any changes in foreign currency exchange rates would be reflected as a foreign currency translation adjustment and would not change NTIC’s equity in income of joint ventures reflected in its consolidated statements of operations. NTIC does not hedge against its foreign currency exchange rate risk.</w:t>
      </w:r>
    </w:p>
    <w:p>
      <w:pPr>
        <w:spacing w:after="0" w:line="17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NTIC’s business, properties and products are subject to governmental regulation and taxes, compliance with which may require NTIC to incur expenses or modify its products or operations, and which may expose NTIC to penalties for non-compliance. Governmental regulation also may adversely affect the demand for some of NTIC’s products and its operating results.</w:t>
      </w:r>
    </w:p>
    <w:p>
      <w:pPr>
        <w:spacing w:after="0" w:line="215"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NTIC’s business, properties and products are subject to a wide variety of international, federal, state and local laws, rules, taxes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NTIC’s financial condition and operating results. NTIC is also subject to other international, federal and state laws, rules and regulations, the future non-compliance with which may harm NTIC’s business or may adversely affect the demand for some of its</w:t>
      </w:r>
    </w:p>
    <w:p>
      <w:pPr>
        <w:spacing w:after="0" w:line="6"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products. Changes in laws and regulations, including changes in accounting standards and taxation changes, including tax rate changes, new tax laws, revised tax law interpretations, also may adversely affect NTIC’s operating results.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NTIC’s effective tax rate could have a significant impact on NTIC’s financial position, results of operations or cash flows.</w:t>
      </w:r>
    </w:p>
    <w:p>
      <w:pPr>
        <w:spacing w:after="0" w:line="255"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mix of pre-tax income or loss among the tax jurisdictions in which NTIC operates that have varying tax rates could impact NTIC’s effective tax rate. NTIC is subject to income taxes as well as non-income based taxes, in both the United States and various foreign jurisdictions. Judgment is required in determining the worldwide provision for income taxes, other tax liabilities, interest and penalties. Future events could change management’s assessment. NTIC operates within multiple taxing jurisdictions and is subject to tax audits in these jurisdictions. These audits can involve complex issues, which may require an extended period of time to resolve. NTIC also has made assumptions about the realization of deferred tax assets. Changes in these assumptions could result in a valuation allowance for these assets. Final determination of tax audits or tax disputes may be different from what is currently reflected by NTIC’s income tax provisions and accruals.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i w:val="1"/>
          <w:iCs w:val="1"/>
          <w:color w:val="auto"/>
        </w:rPr>
        <w:t>NTIC intends to grow its business through additional joint ventures, alliances and acquisitions, which could be risky and harm its business.</w:t>
      </w:r>
    </w:p>
    <w:p>
      <w:pPr>
        <w:spacing w:after="0" w:line="25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One of NTIC’s growth strategies is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218" w:lineRule="exact"/>
        <w:rPr>
          <w:sz w:val="20"/>
          <w:szCs w:val="20"/>
          <w:color w:val="auto"/>
        </w:rPr>
      </w:pPr>
    </w:p>
    <w:p>
      <w:pPr>
        <w:ind w:left="800" w:hanging="13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16" w:lineRule="exact"/>
        <w:rPr>
          <w:rFonts w:ascii="Arial" w:cs="Arial" w:eastAsia="Arial" w:hAnsi="Arial"/>
          <w:sz w:val="18"/>
          <w:szCs w:val="18"/>
          <w:color w:val="auto"/>
        </w:rPr>
      </w:pPr>
    </w:p>
    <w:p>
      <w:pPr>
        <w:ind w:left="800" w:hanging="131"/>
        <w:spacing w:after="0" w:line="245"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assimilating the operations and products of a new joint venture or acquired business or in realizing projected efficiencies, cost savings and revenue synergies;</w:t>
      </w:r>
    </w:p>
    <w:p>
      <w:pPr>
        <w:spacing w:after="0" w:line="1" w:lineRule="exact"/>
        <w:rPr>
          <w:rFonts w:ascii="Arial" w:cs="Arial" w:eastAsia="Arial" w:hAnsi="Arial"/>
          <w:sz w:val="18"/>
          <w:szCs w:val="18"/>
          <w:color w:val="auto"/>
        </w:rPr>
      </w:pPr>
    </w:p>
    <w:p>
      <w:pPr>
        <w:ind w:left="800" w:hanging="131"/>
        <w:spacing w:after="0" w:line="245"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new joint venture or acquired business or adverse effects on existing business relationships with suppliers and customers;</w:t>
      </w:r>
    </w:p>
    <w:p>
      <w:pPr>
        <w:spacing w:after="0" w:line="1" w:lineRule="exact"/>
        <w:rPr>
          <w:rFonts w:ascii="Arial" w:cs="Arial" w:eastAsia="Arial" w:hAnsi="Arial"/>
          <w:sz w:val="18"/>
          <w:szCs w:val="18"/>
          <w:color w:val="auto"/>
        </w:rPr>
      </w:pPr>
    </w:p>
    <w:p>
      <w:pPr>
        <w:ind w:left="800" w:hanging="131"/>
        <w:spacing w:after="0" w:line="245"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impact on overall profitability if the new joint venture or acquired business does not achieve the financial results projected in NTIC’s valuation models;</w:t>
      </w:r>
    </w:p>
    <w:p>
      <w:pPr>
        <w:spacing w:after="0" w:line="1" w:lineRule="exact"/>
        <w:rPr>
          <w:rFonts w:ascii="Arial" w:cs="Arial" w:eastAsia="Arial" w:hAnsi="Arial"/>
          <w:sz w:val="18"/>
          <w:szCs w:val="18"/>
          <w:color w:val="auto"/>
        </w:rPr>
      </w:pPr>
    </w:p>
    <w:p>
      <w:pPr>
        <w:jc w:val="both"/>
        <w:ind w:left="800" w:hanging="131"/>
        <w:spacing w:after="0" w:line="245"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NTIC’s leverage and debt service requirements to pay the joint venture capital contribution or the acquisition purchase price, which could in turn restrict NTIC’s ability to access additional capital when needed or to pursue other important elements of NTIC’s business strategy;</w:t>
      </w:r>
    </w:p>
    <w:p>
      <w:pPr>
        <w:spacing w:after="0" w:line="2" w:lineRule="exact"/>
        <w:rPr>
          <w:rFonts w:ascii="Arial" w:cs="Arial" w:eastAsia="Arial" w:hAnsi="Arial"/>
          <w:sz w:val="18"/>
          <w:szCs w:val="18"/>
          <w:color w:val="auto"/>
        </w:rPr>
      </w:pPr>
    </w:p>
    <w:p>
      <w:pPr>
        <w:ind w:left="800" w:hanging="131"/>
        <w:spacing w:after="0" w:line="245"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inaccurate assessment of undisclosed, contingent or other liabilities or problems and unanticipated costs associated with the new joint venture or acquisition; and</w:t>
      </w:r>
    </w:p>
    <w:p>
      <w:pPr>
        <w:spacing w:after="0" w:line="1" w:lineRule="exact"/>
        <w:rPr>
          <w:rFonts w:ascii="Arial" w:cs="Arial" w:eastAsia="Arial" w:hAnsi="Arial"/>
          <w:sz w:val="18"/>
          <w:szCs w:val="18"/>
          <w:color w:val="auto"/>
        </w:rPr>
      </w:pPr>
    </w:p>
    <w:p>
      <w:pPr>
        <w:ind w:left="800" w:hanging="131"/>
        <w:spacing w:after="0" w:line="251"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occurrence of non-recurring charges and write-off of significant amounts of goodwill that could adversely affect NTIC’s operating results.</w:t>
      </w:r>
    </w:p>
    <w:p>
      <w:pPr>
        <w:spacing w:after="0" w:line="219"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relies on its joint ventures, distributors, manufacturer’s sales representatives and other agents to market and sell its products.</w:t>
      </w:r>
    </w:p>
    <w:p>
      <w:pPr>
        <w:spacing w:after="0" w:line="244" w:lineRule="exact"/>
        <w:rPr>
          <w:sz w:val="20"/>
          <w:szCs w:val="20"/>
          <w:color w:val="auto"/>
        </w:rPr>
      </w:pPr>
    </w:p>
    <w:p>
      <w:pPr>
        <w:ind w:right="60"/>
        <w:spacing w:after="0" w:line="307" w:lineRule="auto"/>
        <w:rPr>
          <w:sz w:val="20"/>
          <w:szCs w:val="20"/>
          <w:color w:val="auto"/>
        </w:rPr>
      </w:pPr>
      <w:r>
        <w:rPr>
          <w:rFonts w:ascii="Arial" w:cs="Arial" w:eastAsia="Arial" w:hAnsi="Arial"/>
          <w:sz w:val="15"/>
          <w:szCs w:val="15"/>
          <w:color w:val="auto"/>
        </w:rPr>
        <w:t>In addition to its direct sales force, NTIC relies on its joint ventures, distributors, manufacturer’s sales representatives and other agents to market and sell its products in the United States and internationally. NTIC’s joint ventures, distributors, manufacturer’s sales representatives and other agents might terminate their relationship with NTIC, or devote insufficient sales efforts to NTIC’s products. NTIC does not control its joint ventures, distributors, manufacturer’s sales representatives and other agents and they may not be successful in implementing NTIC’s marketing plans. NTIC’s failure to maintain its existing relationships with these entities, or its failure to recruit and retain additional skilled joint venture partners, distributors, manufacturer’s sales representatives and other agents could have an adverse effect on NTIC’s operations. It is anticipated that several of NTIC’s joint venture partners will retire during the next several years which will require a transition on the part of the joint venture as well as NTIC and could harm NTIC’s relationship with the joint venture and NTIC’s business.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25" w:name="page26"/>
    <w:bookmarkEnd w:id="25"/>
    <w:p>
      <w:pPr>
        <w:ind w:right="140"/>
        <w:spacing w:after="0" w:line="215" w:lineRule="auto"/>
        <w:rPr>
          <w:sz w:val="20"/>
          <w:szCs w:val="20"/>
          <w:color w:val="auto"/>
        </w:rPr>
      </w:pPr>
      <w:r>
        <w:rPr>
          <w:rFonts w:ascii="Arial" w:cs="Arial" w:eastAsia="Arial" w:hAnsi="Arial"/>
          <w:sz w:val="17"/>
          <w:szCs w:val="17"/>
          <w:b w:val="1"/>
          <w:bCs w:val="1"/>
          <w:i w:val="1"/>
          <w:iCs w:val="1"/>
          <w:color w:val="auto"/>
        </w:rPr>
        <w:t>The sale of ZERUST</w:t>
      </w:r>
      <w:r>
        <w:rPr>
          <w:rFonts w:ascii="Arial" w:cs="Arial" w:eastAsia="Arial" w:hAnsi="Arial"/>
          <w:sz w:val="23"/>
          <w:szCs w:val="23"/>
          <w:b w:val="1"/>
          <w:bCs w:val="1"/>
          <w:i w:val="1"/>
          <w:iCs w:val="1"/>
          <w:color w:val="auto"/>
          <w:vertAlign w:val="superscript"/>
        </w:rPr>
        <w:t>®</w:t>
      </w:r>
      <w:r>
        <w:rPr>
          <w:rFonts w:ascii="Arial" w:cs="Arial" w:eastAsia="Arial" w:hAnsi="Arial"/>
          <w:sz w:val="17"/>
          <w:szCs w:val="17"/>
          <w:b w:val="1"/>
          <w:bCs w:val="1"/>
          <w:i w:val="1"/>
          <w:iCs w:val="1"/>
          <w:color w:val="auto"/>
        </w:rPr>
        <w:t xml:space="preserve"> rust and corrosion inhibiting products into the oil and gas industry is especially risky in light of the hazards typically associated with such operations and the significant amount of potential liability involved, which could adversely affect NTIC’s business if ZERUST</w:t>
      </w:r>
      <w:r>
        <w:rPr>
          <w:rFonts w:ascii="Arial" w:cs="Arial" w:eastAsia="Arial" w:hAnsi="Arial"/>
          <w:sz w:val="23"/>
          <w:szCs w:val="23"/>
          <w:b w:val="1"/>
          <w:bCs w:val="1"/>
          <w:i w:val="1"/>
          <w:iCs w:val="1"/>
          <w:color w:val="auto"/>
          <w:vertAlign w:val="superscript"/>
        </w:rPr>
        <w:t>®</w:t>
      </w:r>
      <w:r>
        <w:rPr>
          <w:rFonts w:ascii="Arial" w:cs="Arial" w:eastAsia="Arial" w:hAnsi="Arial"/>
          <w:sz w:val="17"/>
          <w:szCs w:val="17"/>
          <w:b w:val="1"/>
          <w:bCs w:val="1"/>
          <w:i w:val="1"/>
          <w:iCs w:val="1"/>
          <w:color w:val="auto"/>
        </w:rPr>
        <w:t xml:space="preserve"> rust and corrosion inhibiting products are involved, even if the cause of such events was not related to NTIC’s products.</w:t>
      </w:r>
    </w:p>
    <w:p>
      <w:pPr>
        <w:spacing w:after="0" w:line="22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Because NTIC sells its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rust and corrosion inhibiting products into the oil and gas industry, NTIC is subject to some of the risks and hazards typically associated with such operations, including hazards such as fire, explosion, blowouts, cratering, unplanned gas releases and spills, each of which could be claimed to be attributed to the failure of NTIC’s products to perform as anticipated. If such events occur and NTIC’s products are involved, NTIC’s business and operating results may suffer even if the cause of such events was not related to NTIC’s products.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has limited staffing and will continue to be dependent upon key employees.</w:t>
      </w:r>
    </w:p>
    <w:p>
      <w:pPr>
        <w:spacing w:after="0" w:line="244"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NTIC’s success is dependent upon the efforts of a small management team and group of employees. NTIC’s future success will depend in large part on its ability to retain its key employees and identify, attract and retain other highly qualified managerial, technical, research and development, sales and marketing and customer service personnel when needed. Competition for these individuals may be intense, especially in the markets in which NTIC operates. NTIC may not succeed in identifying, attracting and retaining these personnel. NTIC’s current management, other than its President and Chief Executive Officer, does not have any material stock ownership in NTIC. In addition, none of NTIC’s employees has any contractual obligation to maintain his or her employment with</w:t>
      </w:r>
    </w:p>
    <w:p>
      <w:pPr>
        <w:spacing w:after="0" w:line="1" w:lineRule="exact"/>
        <w:rPr>
          <w:sz w:val="20"/>
          <w:szCs w:val="20"/>
          <w:color w:val="auto"/>
        </w:rPr>
      </w:pPr>
    </w:p>
    <w:p>
      <w:pPr>
        <w:ind w:right="320"/>
        <w:spacing w:after="0" w:line="322" w:lineRule="auto"/>
        <w:rPr>
          <w:sz w:val="20"/>
          <w:szCs w:val="20"/>
          <w:color w:val="auto"/>
        </w:rPr>
      </w:pPr>
      <w:r>
        <w:rPr>
          <w:rFonts w:ascii="Arial" w:cs="Arial" w:eastAsia="Arial" w:hAnsi="Arial"/>
          <w:sz w:val="15"/>
          <w:szCs w:val="15"/>
          <w:color w:val="auto"/>
        </w:rPr>
        <w:t>NTIC. The loss or interruption of services of any of NTIC’s key personnel, including in particular its technical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financial condition and operating results.</w:t>
      </w:r>
    </w:p>
    <w:p>
      <w:pPr>
        <w:spacing w:after="0" w:line="168" w:lineRule="exact"/>
        <w:rPr>
          <w:sz w:val="20"/>
          <w:szCs w:val="20"/>
          <w:color w:val="auto"/>
        </w:rPr>
      </w:pPr>
    </w:p>
    <w:p>
      <w:pPr>
        <w:ind w:right="140"/>
        <w:spacing w:after="0" w:line="288" w:lineRule="auto"/>
        <w:rPr>
          <w:sz w:val="20"/>
          <w:szCs w:val="20"/>
          <w:color w:val="auto"/>
        </w:rPr>
      </w:pPr>
      <w:r>
        <w:rPr>
          <w:rFonts w:ascii="Arial" w:cs="Arial" w:eastAsia="Arial" w:hAnsi="Arial"/>
          <w:sz w:val="15"/>
          <w:szCs w:val="15"/>
          <w:b w:val="1"/>
          <w:bCs w:val="1"/>
          <w:i w:val="1"/>
          <w:iCs w:val="1"/>
          <w:color w:val="auto"/>
        </w:rPr>
        <w:t>NTIC expects to transition the manufacturing of certain select ZERUST</w:t>
      </w:r>
      <w:r>
        <w:rPr>
          <w:rFonts w:ascii="Arial" w:cs="Arial" w:eastAsia="Arial" w:hAnsi="Arial"/>
          <w:sz w:val="20"/>
          <w:szCs w:val="20"/>
          <w:b w:val="1"/>
          <w:bCs w:val="1"/>
          <w:i w:val="1"/>
          <w:iCs w:val="1"/>
          <w:color w:val="auto"/>
          <w:vertAlign w:val="superscript"/>
        </w:rPr>
        <w:t>®</w:t>
      </w:r>
      <w:r>
        <w:rPr>
          <w:rFonts w:ascii="Arial" w:cs="Arial" w:eastAsia="Arial" w:hAnsi="Arial"/>
          <w:sz w:val="15"/>
          <w:szCs w:val="15"/>
          <w:b w:val="1"/>
          <w:bCs w:val="1"/>
          <w:i w:val="1"/>
          <w:iCs w:val="1"/>
          <w:color w:val="auto"/>
        </w:rPr>
        <w:t xml:space="preserve"> rust and corrosion inhibiting products in house at its corporate headquarters location in Circle Pines, Minnesota during fiscal 2013 which could adversely affect the supply of such products if the transition does not proceed smoothly.</w:t>
      </w:r>
    </w:p>
    <w:p>
      <w:pPr>
        <w:spacing w:after="0" w:line="18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During fiscal 2013, NTIC expects to transition the manufacturing of certain select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rust and corrosion inhibiting products in house at its corporate headquarters location in Circle Pines, Minnesota in order to improve the speed and quality of product development and technical support. If such transition does not proceed smoothly, it could affect the supply of such products and adversely affect NTIC’s business and operating results.</w:t>
      </w:r>
    </w:p>
    <w:p>
      <w:pPr>
        <w:spacing w:after="0" w:line="230"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b w:val="1"/>
          <w:bCs w:val="1"/>
          <w:i w:val="1"/>
          <w:iCs w:val="1"/>
          <w:color w:val="auto"/>
        </w:rPr>
        <w:t>NTIC relies on its management information systems for inventory management, distribution and other functions. If these information systems fail to adequately perform these functions or if NTIC experiences an interruption in their operation, NTIC’s business and operating results could be adversely affected.</w:t>
      </w:r>
    </w:p>
    <w:p>
      <w:pPr>
        <w:spacing w:after="0" w:line="215"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terrorist attacks and attacks by computer viruses or hackers, or power loss or computer systems, Internet, telecommunications or data network failure. Any such interruption could adversely affect NTIC’s business and operating results.</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26" w:name="page27"/>
    <w:bookmarkEnd w:id="26"/>
    <w:p>
      <w:pPr>
        <w:ind w:right="300"/>
        <w:spacing w:after="0" w:line="265" w:lineRule="auto"/>
        <w:rPr>
          <w:sz w:val="20"/>
          <w:szCs w:val="20"/>
          <w:color w:val="auto"/>
        </w:rPr>
      </w:pPr>
      <w:r>
        <w:rPr>
          <w:rFonts w:ascii="Arial" w:cs="Arial" w:eastAsia="Arial" w:hAnsi="Arial"/>
          <w:sz w:val="18"/>
          <w:szCs w:val="18"/>
          <w:b w:val="1"/>
          <w:bCs w:val="1"/>
          <w:i w:val="1"/>
          <w:iCs w:val="1"/>
          <w:color w:val="auto"/>
        </w:rPr>
        <w:t>NTIC’s reliance upon patents, trademark laws, trade secrets and contractual provisions to protect its proprietary rights may not be sufficient to protect its intellectual property from others who may sell similar products.</w:t>
      </w:r>
    </w:p>
    <w:p>
      <w:pPr>
        <w:spacing w:after="0" w:line="206"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its patents or if it initiates any proceedings to protect its proprietary rights and if the outcome of any such litigation is unfavorable to NTIC, its business and operating results could be materially adversely affected.</w:t>
      </w:r>
    </w:p>
    <w:p>
      <w:pPr>
        <w:spacing w:after="0" w:line="182"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In addition, NTIC relies substantially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198"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b w:val="1"/>
          <w:bCs w:val="1"/>
          <w:i w:val="1"/>
          <w:iCs w:val="1"/>
          <w:color w:val="auto"/>
        </w:rPr>
        <w:t>NTIC may not achieve projected goals and objectives in the time periods that NTIC anticipates or announces publicly, which could have an adverse effect on NTIC’s business and could cause its stock price to decline.</w:t>
      </w:r>
    </w:p>
    <w:p>
      <w:pPr>
        <w:spacing w:after="0" w:line="206"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NTIC sets goals and objectives for, and makes public statements regarding, the timing of certain accomplishments and milestones regarding its business, such as its progress in selling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and services to customers in the oil and gas industry, the progress and timing of its various field trials with prospective customers in the oil and gas industry, its ability to increase sales of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and other developments and milestones. The actual timing of these events can vary dramatically due to a number of factors including without limitation delays or failures in current field trials, the amount of time, effort and resources committed to the sales and marketing of NTIC’s products and services by NTIC and its current and potential future distributors and agents and the uncertainties inherent in introducing new products and services. As a result, there can be no assurance that NTIC will succeed in achieving its projected goals and objectives in the time periods that NTIC anticipates or announces publicly. The failure to achieve such projected goals and objectives in the time periods that NTIC anticipates or announces publicly could have an adverse effect on NTIC’s business, disappoint investors and analysts and cause its stock price to decline.</w:t>
      </w:r>
    </w:p>
    <w:p>
      <w:pPr>
        <w:spacing w:after="0" w:line="2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NTIC also discloses from time to time projected financial information, including its anticipated annual net sales and net earnings. These financial projections are based on management’s current expectations and do not contain any margin of error or cushion for any specific uncertainties, or for the uncertainties inherent in all financial forecasting. The failure to achieve such financial projections could have an adverse effect on NTIC’s business, disappoint investors and analysts and cause its stock price to decline.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27" w:name="page28"/>
    <w:bookmarkEnd w:id="27"/>
    <w:p>
      <w:pPr>
        <w:spacing w:after="0"/>
        <w:rPr>
          <w:sz w:val="20"/>
          <w:szCs w:val="20"/>
          <w:color w:val="auto"/>
        </w:rPr>
      </w:pPr>
      <w:r>
        <w:rPr>
          <w:rFonts w:ascii="Arial" w:cs="Arial" w:eastAsia="Arial" w:hAnsi="Arial"/>
          <w:sz w:val="15"/>
          <w:szCs w:val="15"/>
          <w:b w:val="1"/>
          <w:bCs w:val="1"/>
          <w:i w:val="1"/>
          <w:iCs w:val="1"/>
          <w:color w:val="auto"/>
        </w:rPr>
        <w:t>NTIC is exposed to risks relating to its evaluation of its internal control over financial reporting as required by Section 404 of the Sarbanes-Oxley Act.</w:t>
      </w:r>
    </w:p>
    <w:p>
      <w:pPr>
        <w:spacing w:after="0" w:line="278"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Changing laws, regulations and standards relating to corporate governance and public disclosure, including the Dodd-Frank Wall Street Reform and Consumer Protection Act and the Sarbanes-Oxley Act of 2002 and related and other regulations implemented by the SEC and the NASDAQ Stock Market, are creating challenges for publicly-held companies, including NTIC. NTIC’s efforts to comply with evolving laws, regulations and standards have resulted in, and are likely to continue to result in, increased general and administrative expenses and a diversion of management time and attention from revenue-generating activities to compliance activities. In particular, NTIC’s efforts to comply with Section 404 of the Sarbanes-Oxley Act of 2002 and the related regulations regarding NTIC’s assessment of its internal control over financial reporting have required and will continue to require the expenditure of significant financial and managerial resources. Although NTIC’s management concluded that NTIC’s internal control over financial reporting was effective as of August 31, 2012, no assurance can be provided that NTIC’s management will reach a similar conclusion as of any later date or that NTIC’s independent registered public accounting firm will agree with management’s conclusions in the event NTIC becomes an “accelerated filer” under SEC rules and NTIC’s independent registered public accounting firm is required to attest to management’s report on its internal control over financial reporting.</w:t>
      </w:r>
    </w:p>
    <w:p>
      <w:pPr>
        <w:spacing w:after="0" w:line="400" w:lineRule="exact"/>
        <w:rPr>
          <w:sz w:val="20"/>
          <w:szCs w:val="20"/>
          <w:color w:val="auto"/>
        </w:rPr>
      </w:pPr>
    </w:p>
    <w:p>
      <w:pPr>
        <w:ind w:right="20"/>
        <w:spacing w:after="0" w:line="330" w:lineRule="auto"/>
        <w:rPr>
          <w:sz w:val="20"/>
          <w:szCs w:val="20"/>
          <w:color w:val="auto"/>
        </w:rPr>
      </w:pPr>
      <w:r>
        <w:rPr>
          <w:rFonts w:ascii="Arial" w:cs="Arial" w:eastAsia="Arial" w:hAnsi="Arial"/>
          <w:sz w:val="15"/>
          <w:szCs w:val="15"/>
          <w:b w:val="1"/>
          <w:bCs w:val="1"/>
          <w:i w:val="1"/>
          <w:iCs w:val="1"/>
          <w:color w:val="auto"/>
        </w:rPr>
        <w:t>NTIC’s compliance with accounting principles generally accepted in the United States of America and any changes in such principles might adversely affect NTIC’s operating results and financial condition. Any requirement to consolidate NTIC’s joint ventures or subject them to compliance with the internal control provisions of the Sarbanes-Oxley Act of 2002 could adversely affect NTIC’s operating results and financial condition.</w:t>
      </w:r>
    </w:p>
    <w:p>
      <w:pPr>
        <w:spacing w:after="0" w:line="16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If there were a change in accounting rules and NTIC were required to fully consolidate its joint ventures or if NTIC’s joint ventures otherwise would be required to be consolidated with NTIC or be in compliance with the internal control provisions of the Sarbanes-Oxley Act of 2002, NTIC and the individual joint venture would incur significant additional costs. In addition, other accounting pronouncements issued in the future could have a material cost associated with NTIC’s implementation of such new accounting pronouncements.</w:t>
      </w:r>
    </w:p>
    <w:p>
      <w:pPr>
        <w:spacing w:after="0" w:line="21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If NTIC becomes an “accelerated filer” under SEC rules, NTIC will be subject to additional burdensome SEC disclosure and other rules and regulations, which may cause NTIC to incur additional costs to comply with such rules and regulations and the non-compliance of which may have an adverse effect on NTIC’s operating results.</w:t>
      </w:r>
    </w:p>
    <w:p>
      <w:pPr>
        <w:spacing w:after="0" w:line="21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If NTIC becomes an “accelerated filer” under SEC rules, NTIC will be subject to additional burdensome SEC disclosure and other rules and regulations, such as additional financial statement requirements with respect to NTIC’s joint ventures, the requirement of NTIC’s independent registered public accounting firm to attest to NTIC’s management’s report on the effectiveness of NTIC’s internal control over financial reporting and the requirement of NTIC to comply with certain additional disclosures rules and regulations, including the requirement to include additional executive compensation disclosures in NTIC’s proxy statement in connection with its annual meeting of stockholders. If NTIC does not comply with such additional rules and regulations, the results may have an adverse effect on NTIC’s operating results.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i w:val="1"/>
          <w:iCs w:val="1"/>
          <w:color w:val="auto"/>
        </w:rPr>
        <w:t>NTIC’s business is subject to a number of other miscellaneous risks that may adversely affect NTIC’s operating results, financial condition or business.</w:t>
      </w:r>
    </w:p>
    <w:p>
      <w:pPr>
        <w:spacing w:after="0" w:line="278"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NTIC’s business is subject to a number of other miscellaneous risks that may adversely affect NTIC’s operating results, financial condition or business, such as natural or man-made disasters or global pandemics that may result in shortages of raw materials, higher commodity costs, an increase in insurance premiums and other adverse effects on NTIC’s business; the continued threat of terrorist acts and war that may result in heightened security and higher costs for import and export shipments of components or finished goods; and the ability of NTIC’s management to adapt to unplanned events.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NTIC’s Common Stock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volume of NTIC’s common stock is typically very low, leaving NTIC’s common stock open to risk of high volatility.</w:t>
      </w:r>
    </w:p>
    <w:p>
      <w:pPr>
        <w:spacing w:after="0" w:line="2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number of shares of NTIC’s common stock being traded on a daily basis is often very low and on some trading days, there is no trading volume at all. Any stockholder wishing to sell his, her or its stock may cause a significant fluctuation in the trading price of NTIC’s common stock. In addition, low trading volume of a stock increases the possibility that, despite rules against such activity, the price of the stock may be manipulated by persons acting in their own self-interest. NTIC may not have adequate market makers and market making activity to prevent manipulation in its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and trading volume of NTIC’s common stock has been, and may continue to be, volatile.</w:t>
      </w:r>
    </w:p>
    <w:p>
      <w:pPr>
        <w:spacing w:after="0" w:line="24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The market price and trading volume of NTIC’s common stock price has fluctuated over a wide range during the past year or so. During fiscal 2012, the sale price of NTIC’s common stock ranged from a low of $9.60 per share to a high of $16.48 per share, and the daily trading volume ranged from zero shares to 30,257 shares. It is likely that the price and trading volume of NTIC’s common stock will continue to fluctuate in the future. The securities of small capitalization companies, including NTIC, from time to time experience significant price and volume fluctuations, often unrelated to the operating performance of these companies. Securities class action litigation is sometimes brought against a company following periods of volatility in the market price of its securities or for other reasons. NTIC may become the target of similar litigation. Securities litigation, whether with or without merit, could result in substantial costs and divert management’s attention and resources, which could harm NTIC’s business, financial condition, and operating results, as well as the market price of its common stock.</w:t>
      </w:r>
    </w:p>
    <w:p>
      <w:pPr>
        <w:spacing w:after="0" w:line="225"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b w:val="1"/>
          <w:bCs w:val="1"/>
          <w:i w:val="1"/>
          <w:iCs w:val="1"/>
          <w:color w:val="auto"/>
        </w:rPr>
        <w:t>A large percentage of NTIC’s outstanding common stock is held by insiders, and, as a result, the trading market for NTIC’s common stock is not as liquid as the stock of other public companies.</w:t>
      </w:r>
    </w:p>
    <w:p>
      <w:pPr>
        <w:spacing w:after="0" w:line="20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of November 19, 2012, NTIC had 4,418,487 shares of common stock outstanding, of which 18.3% of these outstanding shares were beneficially owned by directors, executive officers, principal stockholders and their respective affiliates. The stock of companies with a substantial amount of stock held by insiders is usually not as liquid as the stock of other public companies where insider ownership is not as concentrated. Thus, the trading market for shares of NTIC’s common stock may not be as liquid as the stock of other public companies.</w:t>
      </w:r>
    </w:p>
    <w:p>
      <w:pPr>
        <w:spacing w:after="0" w:line="218" w:lineRule="exact"/>
        <w:rPr>
          <w:sz w:val="20"/>
          <w:szCs w:val="20"/>
          <w:color w:val="auto"/>
        </w:rPr>
      </w:pPr>
    </w:p>
    <w:p>
      <w:pPr>
        <w:ind w:right="320"/>
        <w:spacing w:after="0" w:line="26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NTIC’s business, or if they adversely change their recommendations regarding NTIC’s common stock, the market price for NTIC’s common stock and trading volume could decline.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29" w:name="page30"/>
    <w:bookmarkEnd w:id="29"/>
    <w:p>
      <w:pPr>
        <w:ind w:right="20"/>
        <w:spacing w:after="0" w:line="252" w:lineRule="auto"/>
        <w:rPr>
          <w:sz w:val="20"/>
          <w:szCs w:val="20"/>
          <w:color w:val="auto"/>
        </w:rPr>
      </w:pPr>
      <w:r>
        <w:rPr>
          <w:rFonts w:ascii="Arial" w:cs="Arial" w:eastAsia="Arial" w:hAnsi="Arial"/>
          <w:sz w:val="18"/>
          <w:szCs w:val="18"/>
          <w:color w:val="auto"/>
        </w:rPr>
        <w:t>The trading market for NTIC’s common stock has been influenced by research or reports that industry or securities analysts publish about NTIC or its business. If one or more analysts who cover NTIC downgrade NTIC’s common stock, the market price for NTIC’s common stock would likely decline. If one or more of these analysts cease coverage of NTIC or fail to regularly publish reports on NTIC, NTIC could lose visibility in the financial markets, which, in turn, could cause the market price or trading volume for NTIC’s common stock to decline.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does not intend to pay dividends for the foreseeable future.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Although in the past NTIC has paid dividends on its common stock, NTIC has not done so since fiscal 2005. The payment of any future dividends will be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determined by NTIC’s Board of Directors in light of conditions then existing, including NTIC’s earnings (if any), financial condition, cash requirements,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restrictions in financing agreements, business conditions and other factors. NTIC’s Board of Directors currently does not anticipate paying a dividend on NTIC’s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common stock in the near future, but rather intends to retain all of its earnings for the foreseeable future to finance the operation and expansion of its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business. As a result, NTIC’s stockholders will only receive a return on their investment in NTIC’s common stock if the market price of NTIC’s common stock</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increases.</w:t>
      </w:r>
    </w:p>
    <w:p>
      <w:pPr>
        <w:spacing w:after="0" w:line="232" w:lineRule="exact"/>
        <w:rPr>
          <w:sz w:val="20"/>
          <w:szCs w:val="20"/>
          <w:color w:val="auto"/>
        </w:rPr>
      </w:pPr>
    </w:p>
    <w:p>
      <w:pPr>
        <w:ind w:right="340"/>
        <w:spacing w:after="0" w:line="330" w:lineRule="auto"/>
        <w:rPr>
          <w:sz w:val="20"/>
          <w:szCs w:val="20"/>
          <w:color w:val="auto"/>
        </w:rPr>
      </w:pPr>
      <w:r>
        <w:rPr>
          <w:rFonts w:ascii="Arial" w:cs="Arial" w:eastAsia="Arial" w:hAnsi="Arial"/>
          <w:sz w:val="15"/>
          <w:szCs w:val="15"/>
          <w:b w:val="1"/>
          <w:bCs w:val="1"/>
          <w:i w:val="1"/>
          <w:iCs w:val="1"/>
          <w:color w:val="auto"/>
        </w:rPr>
        <w:t>One of NTIC’s principal stockholders beneficially owns a significant percentage of NTIC’s outstanding common stock and is affiliated with NTIC’s President and Chief Executive Officer and thus may be able to influence matters requiring stockholder approval, including the election of directors, and could discourage or otherwise impede a transaction in which a third party wishes to purchase NTIC’s outstanding shares at a premium.</w:t>
      </w:r>
    </w:p>
    <w:p>
      <w:pPr>
        <w:spacing w:after="0" w:line="164" w:lineRule="exact"/>
        <w:rPr>
          <w:sz w:val="20"/>
          <w:szCs w:val="20"/>
          <w:color w:val="auto"/>
        </w:rPr>
      </w:pPr>
    </w:p>
    <w:p>
      <w:pPr>
        <w:ind w:right="100"/>
        <w:spacing w:after="0" w:line="303" w:lineRule="auto"/>
        <w:rPr>
          <w:sz w:val="20"/>
          <w:szCs w:val="20"/>
          <w:color w:val="auto"/>
        </w:rPr>
      </w:pPr>
      <w:r>
        <w:rPr>
          <w:rFonts w:ascii="Arial" w:cs="Arial" w:eastAsia="Arial" w:hAnsi="Arial"/>
          <w:sz w:val="15"/>
          <w:szCs w:val="15"/>
          <w:color w:val="auto"/>
        </w:rPr>
        <w:t>As of November 19, 2012, Inter Alia Holding Company, or Inter Alia, beneficially owned approximately 13.6% of NTIC’s outstanding common stock. Inter Alia is an entity partially owned by G. Patrick Lynch, NTIC’s President and Chief Executive Officer and a director, as well as three other members of the Lynch family. Mr. Lynch shares voting and dispositive power of shares of NTIC’s common stock held by Inter Alia with the other owners. As a result of his share ownership through Inter Alia and his position as President and Chief Executive Officer and a director of NTIC, Mr. Lynch may be able to influence the affairs and actions of NTIC, including matters requiring stockholder approval, such as the election of directors and approval of significant corporate transactions. The interests of Mr. Lynch and Inter Alia may differ from the interests of NTIC’s other stockholders. This concentration of ownership may have the effect of delaying, preventing or deterring a change in control of NTIC,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equity issuances by NTIC may have dilutive and other effects on NTIC’s existing stockholders.</w:t>
      </w:r>
    </w:p>
    <w:p>
      <w:pPr>
        <w:spacing w:after="0" w:line="244"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As of November 19, 2012 there were 4,418,487 shares of NTIC’s common stock outstanding, and in addition, security holders held options, which, if vested and exercised, would obligate NTIC to issue up to 297,896 additional shares of common stock. It is expected that such shares, when NTIC issues them upon exercise, will be available for immediate resale in the public market. The market price of NTIC’s common stock could fall as a result of sales of these shares of common stock due to the increased number of shares available for sale in the market. Any issuances by NTIC of equity securities may be at or below the prevailing market price of NTIC’s common stock and may have a dilutive impact on NTIC’s existing stockholders. These issuances or other dilutive issuances also would cause NTIC’s net income per share, if any, to decrease in future periods. As a result, the market price of NTIC’s common stock could decrease.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30" w:name="page31"/>
    <w:bookmarkEnd w:id="30"/>
    <w:p>
      <w:pPr>
        <w:spacing w:after="0"/>
        <w:tabs>
          <w:tab w:leader="none" w:pos="11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This Item 1B is inapplicable to NTIC as a smaller reporting company.</w:t>
      </w:r>
    </w:p>
    <w:p>
      <w:pPr>
        <w:spacing w:after="0" w:line="23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0" w:lineRule="exact"/>
        <w:rPr>
          <w:sz w:val="20"/>
          <w:szCs w:val="20"/>
          <w:color w:val="auto"/>
        </w:rPr>
      </w:pPr>
    </w:p>
    <w:p>
      <w:pPr>
        <w:jc w:val="both"/>
        <w:ind w:right="220"/>
        <w:spacing w:after="0" w:line="252" w:lineRule="auto"/>
        <w:rPr>
          <w:sz w:val="20"/>
          <w:szCs w:val="20"/>
          <w:color w:val="auto"/>
        </w:rPr>
      </w:pPr>
      <w:r>
        <w:rPr>
          <w:rFonts w:ascii="Arial" w:cs="Arial" w:eastAsia="Arial" w:hAnsi="Arial"/>
          <w:sz w:val="18"/>
          <w:szCs w:val="18"/>
          <w:color w:val="auto"/>
        </w:rPr>
        <w:t>NTIC’s principal executive offices, production facilities and domestic research and development operations are located at 4201 Woodland Road, Circle Pines, Minnesota 55014. In purchasing the real estate and 40,000 square feet building in which its corporate headquarters is located, Northern Technologies Holding Company, LLC (NTI LLC) obtained a term loan, which is secured by a first lien on the real estate and building and all of the assets of NTIC and is guaranteed by NTIC.</w:t>
      </w:r>
    </w:p>
    <w:p>
      <w:pPr>
        <w:spacing w:after="0" w:line="21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A subsidiary of NTIC, NTI Facilities, Inc., leases approximately 17,000 square feet of office, manufacturing, laboratory and warehouse space located at 23205 Mercantile Road, Beachwood, Ohio. The monthly rental payments are $17,500, which are adjusted annually according to the annual consumer price index, through November 2014. Additionally, NTIC has contract warehousing agreements in place in California and Indiana to hold and release stock products to customers.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NTIC’s management considers NTIC’s current properties suitable and adequate for its current and foreseeable needs.</w:t>
      </w:r>
    </w:p>
    <w:p>
      <w:pPr>
        <w:spacing w:after="0" w:line="23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3" w:lineRule="exact"/>
        <w:rPr>
          <w:sz w:val="20"/>
          <w:szCs w:val="20"/>
          <w:color w:val="auto"/>
        </w:rPr>
      </w:pPr>
    </w:p>
    <w:p>
      <w:pPr>
        <w:ind w:right="620"/>
        <w:spacing w:after="0" w:line="265" w:lineRule="auto"/>
        <w:rPr>
          <w:sz w:val="20"/>
          <w:szCs w:val="20"/>
          <w:color w:val="auto"/>
        </w:rPr>
      </w:pPr>
      <w:r>
        <w:rPr>
          <w:rFonts w:ascii="Arial" w:cs="Arial" w:eastAsia="Arial" w:hAnsi="Arial"/>
          <w:sz w:val="18"/>
          <w:szCs w:val="18"/>
          <w:color w:val="auto"/>
        </w:rPr>
        <w:t>From time to time, NTIC is subject to various claims and legal actions in the ordinary course of its business. NTIC is not currently involved in any legal proceeding in which NTIC believes that there is a reasonable possibility of a material loss.</w:t>
      </w:r>
    </w:p>
    <w:p>
      <w:pPr>
        <w:spacing w:after="0" w:line="20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EXECUTIVE OFFICERS OF THE REGISTRANT</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The two individuals named below have been designated by NTIC’s Board of Directors as “executive officers” of NTIC. Their ages and the offices held, as of</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November 19, 2012,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Name</w:t>
            </w:r>
          </w:p>
        </w:tc>
        <w:tc>
          <w:tcPr>
            <w:tcW w:w="5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Age</w:t>
            </w:r>
          </w:p>
        </w:tc>
        <w:tc>
          <w:tcPr>
            <w:tcW w:w="560" w:type="dxa"/>
            <w:vAlign w:val="bottom"/>
          </w:tcPr>
          <w:p>
            <w:pPr>
              <w:spacing w:after="0"/>
              <w:rPr>
                <w:sz w:val="20"/>
                <w:szCs w:val="20"/>
                <w:color w:val="auto"/>
              </w:rPr>
            </w:pPr>
          </w:p>
        </w:tc>
        <w:tc>
          <w:tcPr>
            <w:tcW w:w="5700" w:type="dxa"/>
            <w:vAlign w:val="bottom"/>
            <w:tcBorders>
              <w:bottom w:val="single" w:sz="8" w:color="auto"/>
            </w:tcBorders>
          </w:tcPr>
          <w:p>
            <w:pPr>
              <w:ind w:left="2120"/>
              <w:spacing w:after="0"/>
              <w:rPr>
                <w:sz w:val="20"/>
                <w:szCs w:val="20"/>
                <w:color w:val="auto"/>
              </w:rPr>
            </w:pPr>
            <w:r>
              <w:rPr>
                <w:rFonts w:ascii="Arial" w:cs="Arial" w:eastAsia="Arial" w:hAnsi="Arial"/>
                <w:sz w:val="18"/>
                <w:szCs w:val="18"/>
                <w:b w:val="1"/>
                <w:bCs w:val="1"/>
                <w:color w:val="auto"/>
              </w:rPr>
              <w:t>Position with NTIC</w:t>
            </w: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 Patrick Lynch</w:t>
            </w:r>
          </w:p>
        </w:tc>
        <w:tc>
          <w:tcPr>
            <w:tcW w:w="5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45</w:t>
            </w:r>
          </w:p>
        </w:tc>
        <w:tc>
          <w:tcPr>
            <w:tcW w:w="5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12"/>
        </w:trPr>
        <w:tc>
          <w:tcPr>
            <w:tcW w:w="3440" w:type="dxa"/>
            <w:vAlign w:val="bottom"/>
            <w:gridSpan w:val="2"/>
          </w:tcPr>
          <w:p>
            <w:pPr>
              <w:spacing w:after="0"/>
              <w:rPr>
                <w:sz w:val="20"/>
                <w:szCs w:val="20"/>
                <w:color w:val="auto"/>
              </w:rPr>
            </w:pPr>
            <w:r>
              <w:rPr>
                <w:rFonts w:ascii="Arial" w:cs="Arial" w:eastAsia="Arial" w:hAnsi="Arial"/>
                <w:sz w:val="18"/>
                <w:szCs w:val="18"/>
                <w:color w:val="auto"/>
              </w:rPr>
              <w:t>Matthew C. Wolsfeld</w:t>
            </w:r>
          </w:p>
        </w:tc>
        <w:tc>
          <w:tcPr>
            <w:tcW w:w="1720" w:type="dxa"/>
            <w:vAlign w:val="bottom"/>
            <w:gridSpan w:val="2"/>
          </w:tcPr>
          <w:p>
            <w:pPr>
              <w:jc w:val="center"/>
              <w:ind w:left="472"/>
              <w:spacing w:after="0"/>
              <w:rPr>
                <w:sz w:val="20"/>
                <w:szCs w:val="20"/>
                <w:color w:val="auto"/>
              </w:rPr>
            </w:pPr>
            <w:r>
              <w:rPr>
                <w:rFonts w:ascii="Arial" w:cs="Arial" w:eastAsia="Arial" w:hAnsi="Arial"/>
                <w:sz w:val="18"/>
                <w:szCs w:val="18"/>
                <w:color w:val="auto"/>
                <w:w w:val="79"/>
              </w:rPr>
              <w:t>38</w:t>
            </w:r>
          </w:p>
        </w:tc>
        <w:tc>
          <w:tcPr>
            <w:tcW w:w="6260" w:type="dxa"/>
            <w:vAlign w:val="bottom"/>
            <w:gridSpan w:val="2"/>
          </w:tcPr>
          <w:p>
            <w:pPr>
              <w:ind w:left="560"/>
              <w:spacing w:after="0"/>
              <w:rPr>
                <w:sz w:val="20"/>
                <w:szCs w:val="20"/>
                <w:color w:val="auto"/>
              </w:rPr>
            </w:pPr>
            <w:r>
              <w:rPr>
                <w:rFonts w:ascii="Arial" w:cs="Arial" w:eastAsia="Arial" w:hAnsi="Arial"/>
                <w:sz w:val="18"/>
                <w:szCs w:val="18"/>
                <w:color w:val="auto"/>
              </w:rPr>
              <w:t>Chief Financial Officer and Corporate Secretary</w:t>
            </w:r>
          </w:p>
        </w:tc>
      </w:tr>
    </w:tbl>
    <w:p>
      <w:pPr>
        <w:spacing w:after="0" w:line="227"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G. Patrick Lynch, an employee of NTIC since 1995, has been President since July 2005 and Chief Executive Officer since January 2006 and was appointed a director of NTIC in February 2004. From July 2005 to January 2006, Mr. Lynch served as Chief Operating Officer of NTIC. Mr. Lynch served as President of North American Operations of NTIC from May 2004 to July 2005. Prior to May 2004, Mr. Lynch held various positions with NTIC, including Vice President of Strategic Planning, Corporate Secretary and Project Manager. Mr. Lynch is also an officer and director of Inter Alia Holding Company, a holding company that is a significant stockholder of NTIC. Prior to joining NTIC, Mr. Lynch held positions in sales management for Fuji Electric Co., Ltd. in Tokyo, Japan and programming project management for BMW AG in Munich, Germany. Mr. Lynch received an M.B.A. degree from the University of Michigan Business School in Ann Arbor, Michigan.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31" w:name="page32"/>
    <w:bookmarkEnd w:id="31"/>
    <w:p>
      <w:pPr>
        <w:ind w:right="60"/>
        <w:spacing w:after="0" w:line="318" w:lineRule="auto"/>
        <w:rPr>
          <w:sz w:val="20"/>
          <w:szCs w:val="20"/>
          <w:color w:val="auto"/>
        </w:rPr>
      </w:pPr>
      <w:r>
        <w:rPr>
          <w:rFonts w:ascii="Arial" w:cs="Arial" w:eastAsia="Arial" w:hAnsi="Arial"/>
          <w:sz w:val="15"/>
          <w:szCs w:val="15"/>
          <w:color w:val="auto"/>
        </w:rPr>
        <w:t>Matthew C. Wolsfeld, an employee of NTIC since February 2001, has been NTIC’s Chief Financial Officer since November 2001 and Corporate Secretary since November 2004. Mr. Wolsfeld was Controller of NTIC from May 2001 through November 2001. Prior to joining NTIC, Mr. Wolsfeld held an auditing position with PricewaterhouseCoopers LLP in Minneapolis, Minnesota from 1997 to 2001. Mr. Wolsfeld received a B.A. degree in Accounting from the University of Notre Dame and received his M.B.A. degree at the University of Minnesota, Carlson School of Business. Mr. Wolsfeld is a Certified Public Accountant.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Other corporate officers of NTIC, their ages and the offices held, as of November 19, 2012,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Name</w:t>
            </w:r>
          </w:p>
        </w:tc>
        <w:tc>
          <w:tcPr>
            <w:tcW w:w="5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Age</w:t>
            </w:r>
          </w:p>
        </w:tc>
        <w:tc>
          <w:tcPr>
            <w:tcW w:w="560" w:type="dxa"/>
            <w:vAlign w:val="bottom"/>
          </w:tcPr>
          <w:p>
            <w:pPr>
              <w:spacing w:after="0"/>
              <w:rPr>
                <w:sz w:val="20"/>
                <w:szCs w:val="20"/>
                <w:color w:val="auto"/>
              </w:rPr>
            </w:pPr>
          </w:p>
        </w:tc>
        <w:tc>
          <w:tcPr>
            <w:tcW w:w="5700" w:type="dxa"/>
            <w:vAlign w:val="bottom"/>
            <w:tcBorders>
              <w:bottom w:val="single" w:sz="8" w:color="auto"/>
            </w:tcBorders>
          </w:tcPr>
          <w:p>
            <w:pPr>
              <w:ind w:left="2120"/>
              <w:spacing w:after="0"/>
              <w:rPr>
                <w:sz w:val="20"/>
                <w:szCs w:val="20"/>
                <w:color w:val="auto"/>
              </w:rPr>
            </w:pPr>
            <w:r>
              <w:rPr>
                <w:rFonts w:ascii="Arial" w:cs="Arial" w:eastAsia="Arial" w:hAnsi="Arial"/>
                <w:sz w:val="18"/>
                <w:szCs w:val="18"/>
                <w:b w:val="1"/>
                <w:bCs w:val="1"/>
                <w:color w:val="auto"/>
              </w:rPr>
              <w:t>Position with NTIC</w:t>
            </w: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Prof. Efim Ya. Lyublinski</w:t>
            </w:r>
          </w:p>
        </w:tc>
        <w:tc>
          <w:tcPr>
            <w:tcW w:w="5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74</w:t>
            </w:r>
          </w:p>
        </w:tc>
        <w:tc>
          <w:tcPr>
            <w:tcW w:w="5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0"/>
              </w:rPr>
              <w:t>Vice President and Director of New Technologies and Applications Engineering</w:t>
            </w:r>
          </w:p>
        </w:tc>
      </w:tr>
      <w:tr>
        <w:trPr>
          <w:trHeight w:val="508"/>
        </w:trPr>
        <w:tc>
          <w:tcPr>
            <w:tcW w:w="3440" w:type="dxa"/>
            <w:vAlign w:val="bottom"/>
            <w:gridSpan w:val="2"/>
          </w:tcPr>
          <w:p>
            <w:pPr>
              <w:spacing w:after="0"/>
              <w:rPr>
                <w:sz w:val="20"/>
                <w:szCs w:val="20"/>
                <w:color w:val="auto"/>
              </w:rPr>
            </w:pPr>
            <w:r>
              <w:rPr>
                <w:rFonts w:ascii="Arial" w:cs="Arial" w:eastAsia="Arial" w:hAnsi="Arial"/>
                <w:sz w:val="18"/>
                <w:szCs w:val="18"/>
                <w:color w:val="auto"/>
              </w:rPr>
              <w:t>Vineet R. Dalal</w:t>
            </w:r>
          </w:p>
        </w:tc>
        <w:tc>
          <w:tcPr>
            <w:tcW w:w="1720" w:type="dxa"/>
            <w:vAlign w:val="bottom"/>
            <w:gridSpan w:val="2"/>
          </w:tcPr>
          <w:p>
            <w:pPr>
              <w:jc w:val="center"/>
              <w:ind w:left="472"/>
              <w:spacing w:after="0"/>
              <w:rPr>
                <w:sz w:val="20"/>
                <w:szCs w:val="20"/>
                <w:color w:val="auto"/>
              </w:rPr>
            </w:pPr>
            <w:r>
              <w:rPr>
                <w:rFonts w:ascii="Arial" w:cs="Arial" w:eastAsia="Arial" w:hAnsi="Arial"/>
                <w:sz w:val="18"/>
                <w:szCs w:val="18"/>
                <w:color w:val="auto"/>
                <w:w w:val="79"/>
              </w:rPr>
              <w:t>42</w:t>
            </w:r>
          </w:p>
        </w:tc>
        <w:tc>
          <w:tcPr>
            <w:tcW w:w="6260" w:type="dxa"/>
            <w:vAlign w:val="bottom"/>
            <w:gridSpan w:val="2"/>
          </w:tcPr>
          <w:p>
            <w:pPr>
              <w:ind w:left="560"/>
              <w:spacing w:after="0"/>
              <w:rPr>
                <w:sz w:val="20"/>
                <w:szCs w:val="20"/>
                <w:color w:val="auto"/>
              </w:rPr>
            </w:pPr>
            <w:r>
              <w:rPr>
                <w:rFonts w:ascii="Arial" w:cs="Arial" w:eastAsia="Arial" w:hAnsi="Arial"/>
                <w:sz w:val="18"/>
                <w:szCs w:val="18"/>
                <w:color w:val="auto"/>
                <w:w w:val="98"/>
              </w:rPr>
              <w:t>Vice President and Director – Global Market Development – Natur-Tec</w:t>
            </w:r>
            <w:r>
              <w:rPr>
                <w:rFonts w:ascii="Arial" w:cs="Arial" w:eastAsia="Arial" w:hAnsi="Arial"/>
                <w:sz w:val="24"/>
                <w:szCs w:val="24"/>
                <w:color w:val="auto"/>
                <w:w w:val="98"/>
                <w:vertAlign w:val="superscript"/>
              </w:rPr>
              <w:t>®</w:t>
            </w:r>
          </w:p>
        </w:tc>
      </w:tr>
      <w:tr>
        <w:trPr>
          <w:trHeight w:val="328"/>
        </w:trPr>
        <w:tc>
          <w:tcPr>
            <w:tcW w:w="3440" w:type="dxa"/>
            <w:vAlign w:val="bottom"/>
            <w:gridSpan w:val="2"/>
          </w:tcPr>
          <w:p>
            <w:pPr>
              <w:spacing w:after="0"/>
              <w:rPr>
                <w:sz w:val="20"/>
                <w:szCs w:val="20"/>
                <w:color w:val="auto"/>
              </w:rPr>
            </w:pPr>
            <w:r>
              <w:rPr>
                <w:rFonts w:ascii="Arial" w:cs="Arial" w:eastAsia="Arial" w:hAnsi="Arial"/>
                <w:sz w:val="18"/>
                <w:szCs w:val="18"/>
                <w:color w:val="auto"/>
              </w:rPr>
              <w:t>Gautam Ramdas</w:t>
            </w:r>
          </w:p>
        </w:tc>
        <w:tc>
          <w:tcPr>
            <w:tcW w:w="1720" w:type="dxa"/>
            <w:vAlign w:val="bottom"/>
            <w:gridSpan w:val="2"/>
          </w:tcPr>
          <w:p>
            <w:pPr>
              <w:jc w:val="center"/>
              <w:ind w:left="472"/>
              <w:spacing w:after="0"/>
              <w:rPr>
                <w:sz w:val="20"/>
                <w:szCs w:val="20"/>
                <w:color w:val="auto"/>
              </w:rPr>
            </w:pPr>
            <w:r>
              <w:rPr>
                <w:rFonts w:ascii="Arial" w:cs="Arial" w:eastAsia="Arial" w:hAnsi="Arial"/>
                <w:sz w:val="18"/>
                <w:szCs w:val="18"/>
                <w:color w:val="auto"/>
                <w:w w:val="79"/>
              </w:rPr>
              <w:t>38</w:t>
            </w:r>
          </w:p>
        </w:tc>
        <w:tc>
          <w:tcPr>
            <w:tcW w:w="6260" w:type="dxa"/>
            <w:vAlign w:val="bottom"/>
            <w:gridSpan w:val="2"/>
          </w:tcPr>
          <w:p>
            <w:pPr>
              <w:ind w:left="560"/>
              <w:spacing w:after="0"/>
              <w:rPr>
                <w:sz w:val="20"/>
                <w:szCs w:val="20"/>
                <w:color w:val="auto"/>
              </w:rPr>
            </w:pPr>
            <w:r>
              <w:rPr>
                <w:rFonts w:ascii="Arial" w:cs="Arial" w:eastAsia="Arial" w:hAnsi="Arial"/>
                <w:sz w:val="18"/>
                <w:szCs w:val="18"/>
                <w:color w:val="auto"/>
                <w:w w:val="99"/>
              </w:rPr>
              <w:t>Vice President and Director – Global Market Development –   Oil &amp; Gas</w:t>
            </w:r>
          </w:p>
        </w:tc>
      </w:tr>
    </w:tbl>
    <w:p>
      <w:pPr>
        <w:spacing w:after="0" w:line="201"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Prof. Efim Ya. Lyublinski has been employed by NTIC since March 2000 in the position of Vice President and Director of New Technologies and Applications Engineering. Prof. Lyublinski is a Member of the Russian Academy of Natural Sciences and NACE International the Corrosion Society. From 1984 to 1999, Prof. Lyublinski was Head of Laboratory of Complex Methods of Corrosion Protection at the Central Research Institute of Structural Materials, St. Petersburg, Russia. Prof. Lyublinski also held a Senior Consulting Position with Osmos Technology, Boston, Massachusetts from 1995 to 1999. Prof. Lyublinski holds several patents, is responsible for several inventions and has authored several books and articles and lectured at more than 100 symposiums, conferences and congresses in the areas of materials science and corrosion.</w:t>
      </w:r>
    </w:p>
    <w:p>
      <w:pPr>
        <w:spacing w:after="0" w:line="205"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Vineet R. Dalal, an employee of NTIC since 2004, has served as Vice President and Director – Global Market Development – Natur-Tec</w:t>
      </w:r>
      <w:r>
        <w:rPr>
          <w:rFonts w:ascii="Arial" w:cs="Arial" w:eastAsia="Arial" w:hAnsi="Arial"/>
          <w:sz w:val="23"/>
          <w:szCs w:val="23"/>
          <w:color w:val="auto"/>
          <w:vertAlign w:val="superscript"/>
        </w:rPr>
        <w:t>®</w:t>
      </w:r>
      <w:r>
        <w:rPr>
          <w:rFonts w:ascii="Arial" w:cs="Arial" w:eastAsia="Arial" w:hAnsi="Arial"/>
          <w:sz w:val="17"/>
          <w:szCs w:val="17"/>
          <w:color w:val="auto"/>
        </w:rPr>
        <w:t xml:space="preserve"> since November 2005. Prior to joining NTIC, Mr. Dalal was a Principal in the Worldwide Product Development Practice of PRTM, a management consultancy to technology based companies (now part of PricewaterhouseCoopers Management Consulting). In this position, Mr. Dalal consulted to several Fortune 500 companies, in the areas of product strategy, Product Lifecycle Management (PLM) and technology management. Prior to that, Mr. Dalal held positions in program management and design engineering at National Semiconductor Corporation in Santa Clara, California. Mr. Dalal received an M.B.A. degree from the University of Michigan Business School in Ann Arbor, Michigan. He also holds an M.S. degree in Electrical and Computer Engineering from Oregon State University, and a B.Eng. degree in Electronics Engineering from Karnatak University, India.</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32" w:name="page33"/>
    <w:bookmarkEnd w:id="32"/>
    <w:p>
      <w:pPr>
        <w:spacing w:after="0" w:line="265" w:lineRule="auto"/>
        <w:rPr>
          <w:sz w:val="20"/>
          <w:szCs w:val="20"/>
          <w:color w:val="auto"/>
        </w:rPr>
      </w:pPr>
      <w:r>
        <w:rPr>
          <w:rFonts w:ascii="Arial" w:cs="Arial" w:eastAsia="Arial" w:hAnsi="Arial"/>
          <w:sz w:val="17"/>
          <w:szCs w:val="17"/>
          <w:color w:val="auto"/>
        </w:rPr>
        <w:t>Gautam Ramdas, an employee of NTIC since 2005, has served as Vice President and Director – Global Market Development – Oil &amp; Gas since 2005. Prior to joining NTIC, Mr. Ramdas was a Manager in the Strategic Change group of IBM Business Consulting Services. In this position, Mr. Ramdas led consulting engagements at several Fortune 500 companies, in the areas of service strategy, global supplier relationship management and supply chain streamlining. Mr. Ramdas held positions in the E-Commerce and Supply Chain strategy groups at PricewaterhouseCoopers Management Consulting, again providing consulting services for Fortune 500 clients. Prior to management consulting, Mr. Ramdas worked as a program manager and design engineer with Kinhill Engineers in Australia. He has also been involved in the start-up stage of successful small businesses in the U.S. and in India. Mr. Ramdas received an M.B.A. from the University of Michigan Business School in Ann Arbor, Michigan. He also holds a bachelor’s degree in Mechanical Engineering from the College of Engineering, Guindy (Chennai), India.</w:t>
      </w:r>
    </w:p>
    <w:p>
      <w:pPr>
        <w:spacing w:after="0" w:line="3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220"/>
          </w:cols>
          <w:pgMar w:left="240" w:top="273" w:right="4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w:t>
      </w:r>
    </w:p>
    <w:p>
      <w:pPr>
        <w:spacing w:after="0" w:line="244" w:lineRule="exact"/>
        <w:rPr>
          <w:sz w:val="20"/>
          <w:szCs w:val="20"/>
          <w:color w:val="auto"/>
        </w:rPr>
      </w:pPr>
    </w:p>
    <w:p>
      <w:pPr>
        <w:ind w:left="1120" w:right="320" w:hanging="1113"/>
        <w:spacing w:after="0" w:line="272" w:lineRule="auto"/>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0" w:lineRule="exact"/>
        <w:rPr>
          <w:sz w:val="20"/>
          <w:szCs w:val="20"/>
          <w:color w:val="auto"/>
        </w:rPr>
      </w:pPr>
    </w:p>
    <w:p>
      <w:pPr>
        <w:ind w:right="340"/>
        <w:spacing w:after="0" w:line="265" w:lineRule="auto"/>
        <w:rPr>
          <w:sz w:val="20"/>
          <w:szCs w:val="20"/>
          <w:color w:val="auto"/>
        </w:rPr>
      </w:pPr>
      <w:r>
        <w:rPr>
          <w:rFonts w:ascii="Arial" w:cs="Arial" w:eastAsia="Arial" w:hAnsi="Arial"/>
          <w:sz w:val="18"/>
          <w:szCs w:val="18"/>
          <w:color w:val="auto"/>
        </w:rPr>
        <w:t>NTIC’s common stock is listed for trading on the NASDAQ Global Market under the symbol “NTIC.” The following table sets forth the high and low daily sales prices for NTIC’s common stock, as reported by the NASDAQ Global Market, for the fiscal quarter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Fiscal 2012</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05"/>
        </w:trPr>
        <w:tc>
          <w:tcPr>
            <w:tcW w:w="92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Third Quarter</w:t>
            </w:r>
          </w:p>
        </w:tc>
        <w:tc>
          <w:tcPr>
            <w:tcW w:w="18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First Quarter</w:t>
            </w:r>
          </w:p>
        </w:tc>
        <w:tc>
          <w:tcPr>
            <w:tcW w:w="18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b w:val="1"/>
                <w:bCs w:val="1"/>
                <w:color w:val="auto"/>
              </w:rPr>
              <w:t>Fiscal 2011</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20.87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Third Quarter</w:t>
            </w:r>
          </w:p>
        </w:tc>
        <w:tc>
          <w:tcPr>
            <w:tcW w:w="18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First Quarter</w:t>
            </w:r>
          </w:p>
        </w:tc>
        <w:tc>
          <w:tcPr>
            <w:tcW w:w="18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0"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Although NTIC’s Board of Directors has declared cash dividends to NTIC’s stockholders in the past, the payment of any future dividends will be determined by NTIC’s Board of Directors in light of conditions then existing, including NTIC’s earnings, financial condition, cash requirements, restrictions in financing agreements, business conditions and other factors. The Board of Directors currently does not anticipate paying a dividend on NTIC’s common stock in the near future, but rather intends to retain all of its earnings for the foreseeable future to finance the operation and expansion of its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Record Holders</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As of August 31, 2012, there were 263 record holders of NTIC’s common stock. This does not include shares held in “street name” or beneficially owned.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50"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NTIC did not issue any shares of its common stock or any other equity securities of NTIC that were not registered under the Securities Act of 1933, as amended, during the fourth quarter of fiscal year ended August 31, 2012.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0" w:lineRule="exact"/>
        <w:rPr>
          <w:sz w:val="20"/>
          <w:szCs w:val="20"/>
          <w:color w:val="auto"/>
        </w:rPr>
      </w:pPr>
    </w:p>
    <w:p>
      <w:pPr>
        <w:jc w:val="center"/>
        <w:ind w:right="300"/>
        <w:spacing w:after="0" w:line="434" w:lineRule="auto"/>
        <w:rPr>
          <w:sz w:val="20"/>
          <w:szCs w:val="20"/>
          <w:color w:val="auto"/>
        </w:rPr>
      </w:pPr>
      <w:r>
        <w:rPr>
          <w:rFonts w:ascii="Arial" w:cs="Arial" w:eastAsia="Arial" w:hAnsi="Arial"/>
          <w:sz w:val="18"/>
          <w:szCs w:val="18"/>
          <w:color w:val="auto"/>
        </w:rPr>
        <w:t>NTIC did not purchase any shares of its common stock or any other equity securities of NTIC during the fourth quarter of fiscal year ended August 31, 2012.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wp:posOffset>
            </wp:positionV>
            <wp:extent cx="725360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34" w:name="page35"/>
    <w:bookmarkEnd w:id="34"/>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This Item 6 is inapplicable to NTIC as a smaller reporting company and has been omitted pursuant to Item 301(c) of SEC Regulation S-K.</w:t>
      </w:r>
    </w:p>
    <w:p>
      <w:pPr>
        <w:spacing w:after="0" w:line="23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3"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1. Business—Forward-Looking Statements” and under the heading “Part I. Item 1A. Risk Factors.” The following discussion of the results of the operations and financial condition of NTIC should be read in conjunction with NTIC’s consolidated financial statements and the related notes thereto included under “Part II. Item 8. Financial Statements and Supplementary Data.”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This Management’s Discussion and Analysis is organized in the following major sections:</w:t>
      </w:r>
    </w:p>
    <w:p>
      <w:pPr>
        <w:spacing w:after="0" w:line="238" w:lineRule="exact"/>
        <w:rPr>
          <w:sz w:val="20"/>
          <w:szCs w:val="20"/>
          <w:color w:val="auto"/>
        </w:rPr>
      </w:pPr>
    </w:p>
    <w:p>
      <w:pPr>
        <w:ind w:left="800" w:hanging="131"/>
        <w:spacing w:after="0" w:line="272"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Business Overview</w:t>
      </w:r>
      <w:r>
        <w:rPr>
          <w:rFonts w:ascii="Arial" w:cs="Arial" w:eastAsia="Arial" w:hAnsi="Arial"/>
          <w:sz w:val="18"/>
          <w:szCs w:val="18"/>
          <w:color w:val="auto"/>
        </w:rPr>
        <w:t>. This section provides a brief overview description of NTIC’s business, focusing in particular on developments during the most</w:t>
      </w:r>
      <w:r>
        <w:rPr>
          <w:rFonts w:ascii="Arial" w:cs="Arial" w:eastAsia="Arial" w:hAnsi="Arial"/>
          <w:sz w:val="18"/>
          <w:szCs w:val="18"/>
          <w:b w:val="1"/>
          <w:bCs w:val="1"/>
          <w:color w:val="auto"/>
        </w:rPr>
        <w:t xml:space="preserve"> </w:t>
      </w:r>
      <w:r>
        <w:rPr>
          <w:rFonts w:ascii="Arial" w:cs="Arial" w:eastAsia="Arial" w:hAnsi="Arial"/>
          <w:sz w:val="18"/>
          <w:szCs w:val="18"/>
          <w:color w:val="auto"/>
        </w:rPr>
        <w:t>recent fiscal year.</w:t>
      </w:r>
    </w:p>
    <w:p>
      <w:pPr>
        <w:spacing w:after="0" w:line="193" w:lineRule="exact"/>
        <w:rPr>
          <w:rFonts w:ascii="Arial" w:cs="Arial" w:eastAsia="Arial" w:hAnsi="Arial"/>
          <w:sz w:val="18"/>
          <w:szCs w:val="18"/>
          <w:color w:val="auto"/>
        </w:rPr>
      </w:pPr>
    </w:p>
    <w:p>
      <w:pPr>
        <w:ind w:left="800" w:hanging="131"/>
        <w:spacing w:after="0" w:line="302" w:lineRule="auto"/>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NTIC’s Joint Venture Network</w:t>
      </w:r>
      <w:r>
        <w:rPr>
          <w:rFonts w:ascii="Arial" w:cs="Arial" w:eastAsia="Arial" w:hAnsi="Arial"/>
          <w:sz w:val="17"/>
          <w:szCs w:val="17"/>
          <w:color w:val="auto"/>
        </w:rPr>
        <w:t>. This section provides a brief overview of NTIC’s joint venture network, the joint ventures which are considered</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individually significant to NTIC’s consolidated assets and income and how NTIC’s joint ventures are accounted for by NTIC.</w:t>
      </w:r>
    </w:p>
    <w:p>
      <w:pPr>
        <w:spacing w:after="0" w:line="170" w:lineRule="exact"/>
        <w:rPr>
          <w:rFonts w:ascii="Arial" w:cs="Arial" w:eastAsia="Arial" w:hAnsi="Arial"/>
          <w:sz w:val="17"/>
          <w:szCs w:val="17"/>
          <w:color w:val="auto"/>
        </w:rPr>
      </w:pPr>
    </w:p>
    <w:p>
      <w:pPr>
        <w:ind w:left="800" w:hanging="13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Financial Overview</w:t>
      </w:r>
      <w:r>
        <w:rPr>
          <w:rFonts w:ascii="Arial" w:cs="Arial" w:eastAsia="Arial" w:hAnsi="Arial"/>
          <w:sz w:val="18"/>
          <w:szCs w:val="18"/>
          <w:color w:val="auto"/>
        </w:rPr>
        <w:t>. This section provides a brief summary of NTIC’s financial results and financial condition for fiscal 2012.</w:t>
      </w:r>
    </w:p>
    <w:p>
      <w:pPr>
        <w:spacing w:after="0" w:line="243" w:lineRule="exact"/>
        <w:rPr>
          <w:rFonts w:ascii="Arial" w:cs="Arial" w:eastAsia="Arial" w:hAnsi="Arial"/>
          <w:sz w:val="18"/>
          <w:szCs w:val="18"/>
          <w:color w:val="auto"/>
        </w:rPr>
      </w:pPr>
    </w:p>
    <w:p>
      <w:pPr>
        <w:ind w:left="800" w:hanging="131"/>
        <w:spacing w:after="0" w:line="272"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Sales and Expense Components</w:t>
      </w:r>
      <w:r>
        <w:rPr>
          <w:rFonts w:ascii="Arial" w:cs="Arial" w:eastAsia="Arial" w:hAnsi="Arial"/>
          <w:sz w:val="18"/>
          <w:szCs w:val="18"/>
          <w:color w:val="auto"/>
        </w:rPr>
        <w:t>. This section provides a brief description of the significant line items in NTIC’s consolidated statements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w:t>
      </w:r>
    </w:p>
    <w:p>
      <w:pPr>
        <w:spacing w:after="0" w:line="193" w:lineRule="exact"/>
        <w:rPr>
          <w:rFonts w:ascii="Arial" w:cs="Arial" w:eastAsia="Arial" w:hAnsi="Arial"/>
          <w:sz w:val="18"/>
          <w:szCs w:val="18"/>
          <w:color w:val="auto"/>
        </w:rPr>
      </w:pPr>
    </w:p>
    <w:p>
      <w:pPr>
        <w:ind w:left="800" w:hanging="131"/>
        <w:spacing w:after="0"/>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Results of Operations</w:t>
      </w:r>
      <w:r>
        <w:rPr>
          <w:rFonts w:ascii="Arial" w:cs="Arial" w:eastAsia="Arial" w:hAnsi="Arial"/>
          <w:sz w:val="17"/>
          <w:szCs w:val="17"/>
          <w:color w:val="auto"/>
        </w:rPr>
        <w:t>. This section provides an analysis of the significant line items in NTIC’s consolidated statements of operations.</w:t>
      </w:r>
    </w:p>
    <w:p>
      <w:pPr>
        <w:spacing w:after="0" w:line="255" w:lineRule="exact"/>
        <w:rPr>
          <w:rFonts w:ascii="Arial" w:cs="Arial" w:eastAsia="Arial" w:hAnsi="Arial"/>
          <w:sz w:val="17"/>
          <w:szCs w:val="17"/>
          <w:color w:val="auto"/>
        </w:rPr>
      </w:pPr>
    </w:p>
    <w:p>
      <w:pPr>
        <w:ind w:left="800" w:hanging="131"/>
        <w:spacing w:after="0" w:line="272"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This section provides an analysis of NTIC’s liquidity and cash flows and a discussion of NTIC’s outstanding debt</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commitments.</w:t>
      </w:r>
    </w:p>
    <w:p>
      <w:pPr>
        <w:spacing w:after="0" w:line="193" w:lineRule="exact"/>
        <w:rPr>
          <w:rFonts w:ascii="Arial" w:cs="Arial" w:eastAsia="Arial" w:hAnsi="Arial"/>
          <w:sz w:val="18"/>
          <w:szCs w:val="18"/>
          <w:color w:val="auto"/>
        </w:rPr>
      </w:pPr>
    </w:p>
    <w:p>
      <w:pPr>
        <w:ind w:left="800" w:hanging="13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 This section describes NTIC’s material off-balance sheet arrangements.</w:t>
      </w:r>
    </w:p>
    <w:p>
      <w:pPr>
        <w:spacing w:after="0" w:line="243" w:lineRule="exact"/>
        <w:rPr>
          <w:rFonts w:ascii="Arial" w:cs="Arial" w:eastAsia="Arial" w:hAnsi="Arial"/>
          <w:sz w:val="18"/>
          <w:szCs w:val="18"/>
          <w:color w:val="auto"/>
        </w:rPr>
      </w:pPr>
    </w:p>
    <w:p>
      <w:pPr>
        <w:ind w:left="800" w:hanging="131"/>
        <w:spacing w:after="0"/>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Inflation and Seasonality</w:t>
      </w:r>
      <w:r>
        <w:rPr>
          <w:rFonts w:ascii="Arial" w:cs="Arial" w:eastAsia="Arial" w:hAnsi="Arial"/>
          <w:sz w:val="17"/>
          <w:szCs w:val="17"/>
          <w:color w:val="auto"/>
        </w:rPr>
        <w:t>. This section describes the effects of inflation and seasonality, if any, on NTIC’s business and operating results.</w:t>
      </w:r>
    </w:p>
    <w:p>
      <w:pPr>
        <w:spacing w:after="0" w:line="255" w:lineRule="exact"/>
        <w:rPr>
          <w:rFonts w:ascii="Arial" w:cs="Arial" w:eastAsia="Arial" w:hAnsi="Arial"/>
          <w:sz w:val="17"/>
          <w:szCs w:val="17"/>
          <w:color w:val="auto"/>
        </w:rPr>
      </w:pPr>
    </w:p>
    <w:p>
      <w:pPr>
        <w:ind w:left="800" w:hanging="13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Market Risk</w:t>
      </w:r>
      <w:r>
        <w:rPr>
          <w:rFonts w:ascii="Arial" w:cs="Arial" w:eastAsia="Arial" w:hAnsi="Arial"/>
          <w:sz w:val="18"/>
          <w:szCs w:val="18"/>
          <w:color w:val="auto"/>
        </w:rPr>
        <w:t>. This section describes material market risks to which NTIC is subject.</w:t>
      </w:r>
    </w:p>
    <w:p>
      <w:pPr>
        <w:spacing w:after="0" w:line="243" w:lineRule="exact"/>
        <w:rPr>
          <w:rFonts w:ascii="Arial" w:cs="Arial" w:eastAsia="Arial" w:hAnsi="Arial"/>
          <w:sz w:val="18"/>
          <w:szCs w:val="18"/>
          <w:color w:val="auto"/>
        </w:rPr>
      </w:pPr>
    </w:p>
    <w:p>
      <w:pPr>
        <w:ind w:left="800" w:hanging="13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Related Party Transactions</w:t>
      </w:r>
      <w:r>
        <w:rPr>
          <w:rFonts w:ascii="Arial" w:cs="Arial" w:eastAsia="Arial" w:hAnsi="Arial"/>
          <w:sz w:val="18"/>
          <w:szCs w:val="18"/>
          <w:color w:val="auto"/>
        </w:rPr>
        <w:t>. This section describes any material related party transactions to which NTIC is a party.</w:t>
      </w:r>
    </w:p>
    <w:p>
      <w:pPr>
        <w:spacing w:after="0" w:line="243" w:lineRule="exact"/>
        <w:rPr>
          <w:rFonts w:ascii="Arial" w:cs="Arial" w:eastAsia="Arial" w:hAnsi="Arial"/>
          <w:sz w:val="18"/>
          <w:szCs w:val="18"/>
          <w:color w:val="auto"/>
        </w:rPr>
      </w:pPr>
    </w:p>
    <w:p>
      <w:pPr>
        <w:jc w:val="both"/>
        <w:ind w:left="800" w:hanging="131"/>
        <w:spacing w:after="0" w:line="334" w:lineRule="auto"/>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b w:val="1"/>
          <w:bCs w:val="1"/>
          <w:color w:val="auto"/>
        </w:rPr>
        <w:t>Critical Accounting Policies and Estimates</w:t>
      </w:r>
      <w:r>
        <w:rPr>
          <w:rFonts w:ascii="Arial" w:cs="Arial" w:eastAsia="Arial" w:hAnsi="Arial"/>
          <w:sz w:val="15"/>
          <w:szCs w:val="15"/>
          <w:color w:val="auto"/>
        </w:rPr>
        <w:t>. This section discusses the accounting policies and estimates that are considered important to NTIC’s</w:t>
      </w:r>
      <w:r>
        <w:rPr>
          <w:rFonts w:ascii="Arial" w:cs="Arial" w:eastAsia="Arial" w:hAnsi="Arial"/>
          <w:sz w:val="15"/>
          <w:szCs w:val="15"/>
          <w:b w:val="1"/>
          <w:bCs w:val="1"/>
          <w:color w:val="auto"/>
        </w:rPr>
        <w:t xml:space="preserve"> </w:t>
      </w:r>
      <w:r>
        <w:rPr>
          <w:rFonts w:ascii="Arial" w:cs="Arial" w:eastAsia="Arial" w:hAnsi="Arial"/>
          <w:sz w:val="15"/>
          <w:szCs w:val="15"/>
          <w:color w:val="auto"/>
        </w:rPr>
        <w:t>financial condition and results of operations and require NTIC to exercise subjective or complex judgments in their application. All of NTIC’s significant accounting policies, including its critical accounting estimates, are summarized in Note 1 to NTIC’s consolidated financial statements.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35" w:name="page36"/>
    <w:bookmarkEnd w:id="35"/>
    <w:p>
      <w:pPr>
        <w:ind w:left="800" w:hanging="131"/>
        <w:spacing w:after="0" w:line="374" w:lineRule="auto"/>
        <w:tabs>
          <w:tab w:leader="none" w:pos="800" w:val="left"/>
        </w:tabs>
        <w:numPr>
          <w:ilvl w:val="0"/>
          <w:numId w:val="10"/>
        </w:numPr>
        <w:rPr>
          <w:rFonts w:ascii="Arial" w:cs="Arial" w:eastAsia="Arial" w:hAnsi="Arial"/>
          <w:sz w:val="15"/>
          <w:szCs w:val="15"/>
          <w:color w:val="auto"/>
        </w:rPr>
      </w:pPr>
      <w:r>
        <w:rPr>
          <w:rFonts w:ascii="Arial" w:cs="Arial" w:eastAsia="Arial" w:hAnsi="Arial"/>
          <w:sz w:val="15"/>
          <w:szCs w:val="15"/>
          <w:b w:val="1"/>
          <w:bCs w:val="1"/>
          <w:color w:val="auto"/>
        </w:rPr>
        <w:t>Recent Accounting Pronouncements</w:t>
      </w:r>
      <w:r>
        <w:rPr>
          <w:rFonts w:ascii="Arial" w:cs="Arial" w:eastAsia="Arial" w:hAnsi="Arial"/>
          <w:sz w:val="15"/>
          <w:szCs w:val="15"/>
          <w:color w:val="auto"/>
        </w:rPr>
        <w:t>. This section discusses recently issued accounting pronouncements that have had or may affect NTIC’s results</w:t>
      </w:r>
      <w:r>
        <w:rPr>
          <w:rFonts w:ascii="Arial" w:cs="Arial" w:eastAsia="Arial" w:hAnsi="Arial"/>
          <w:sz w:val="15"/>
          <w:szCs w:val="15"/>
          <w:b w:val="1"/>
          <w:bCs w:val="1"/>
          <w:color w:val="auto"/>
        </w:rPr>
        <w:t xml:space="preserve"> </w:t>
      </w:r>
      <w:r>
        <w:rPr>
          <w:rFonts w:ascii="Arial" w:cs="Arial" w:eastAsia="Arial" w:hAnsi="Arial"/>
          <w:sz w:val="15"/>
          <w:szCs w:val="15"/>
          <w:color w:val="auto"/>
        </w:rPr>
        <w:t>of operations and financial condition and references Note 2 to NTIC’s consolidated financial statements, which summarizes such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0"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NTIC develops and markets proprietary environmentally beneficial products and services in over 55 countries either directly or via a network of joint ventures, independent distributors and agents. NTIC’s primary business is corrosion prevention marketed mainly under the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brand. NTIC has been selling its proprietary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rust and corrosion inhibiting products and services to the automotive, electronics, electrical, mechanical, military and retail consumer markets for over 35 years, and more recently, has targeted and expanded into the oil and gas industry. NTIC also sells a portfolio of bio-based and biodegradable (compostable) polymer resin compounds and finished products marketed under the Natur-Tec</w:t>
      </w:r>
      <w:r>
        <w:rPr>
          <w:rFonts w:ascii="Arial" w:cs="Arial" w:eastAsia="Arial" w:hAnsi="Arial"/>
          <w:sz w:val="23"/>
          <w:szCs w:val="23"/>
          <w:color w:val="auto"/>
          <w:vertAlign w:val="superscript"/>
        </w:rPr>
        <w:t>®</w:t>
      </w:r>
      <w:r>
        <w:rPr>
          <w:rFonts w:ascii="Arial" w:cs="Arial" w:eastAsia="Arial" w:hAnsi="Arial"/>
          <w:sz w:val="17"/>
          <w:szCs w:val="17"/>
          <w:color w:val="auto"/>
        </w:rPr>
        <w:t xml:space="preserve"> brand. These products are intended to reduce NTIC’s customers’ carbon footprint and provide environmentally sound disposal options.</w:t>
      </w:r>
    </w:p>
    <w:p>
      <w:pPr>
        <w:spacing w:after="0" w:line="228" w:lineRule="exact"/>
        <w:rPr>
          <w:sz w:val="20"/>
          <w:szCs w:val="20"/>
          <w:color w:val="auto"/>
        </w:rPr>
      </w:pPr>
    </w:p>
    <w:p>
      <w:pPr>
        <w:ind w:right="40"/>
        <w:spacing w:after="0" w:line="208" w:lineRule="auto"/>
        <w:rPr>
          <w:sz w:val="20"/>
          <w:szCs w:val="20"/>
          <w:color w:val="auto"/>
        </w:rPr>
      </w:pPr>
      <w:r>
        <w:rPr>
          <w:rFonts w:ascii="Arial" w:cs="Arial" w:eastAsia="Arial" w:hAnsi="Arial"/>
          <w:sz w:val="18"/>
          <w:szCs w:val="18"/>
          <w:color w:val="auto"/>
        </w:rPr>
        <w:t>NTIC’s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rust and corrosion inhibiting products include plastic and paper packaging, liquids and coatings, rust removers and cleaners, diffusers and variations of these products designed specifically for the oil and gas industry. NTIC’s also offers worldwide on-site technical consulting for rust and corrosion prevention issues. NTIC’s technical service consultants work directly with the end users of NTIC’s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rust and corrosion inhibiting products to analyze their specific needs and develop systems to meet their technical requirements. In North America, NTIC sells its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corrosion prevention solutions through a direct sales force as well as a network of independent distributors and agents. Internationally, NTIC sells its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corrosion prevention solutions through its majority owned Brazilian subsidiary, Zerust Prevenção de Corrosão S.A. (Zerust Brazil), and joint venture arrangements in North America, Europe and Asia.</w:t>
      </w:r>
    </w:p>
    <w:p>
      <w:pPr>
        <w:spacing w:after="0" w:line="229"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One of NTIC’s strategic initiatives is to expand into and penetrate other markets for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prevention solutions. For the past several years, NTIC has focused its sales and marketing efforts on the oil and gas industry since the infrastructure that supports that industry is typically constructed using metals that are highly susceptible to corrosion. NTIC believes that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prevention solutions will minimize maintenance downtime on critical oil and gas industry infrastructure, extend the life of such infrastructure and reduce the risk of environmental pollution due to corrosion leaks.</w:t>
      </w:r>
    </w:p>
    <w:p>
      <w:pPr>
        <w:spacing w:after="0" w:line="228" w:lineRule="exact"/>
        <w:rPr>
          <w:sz w:val="20"/>
          <w:szCs w:val="20"/>
          <w:color w:val="auto"/>
        </w:rPr>
      </w:pPr>
    </w:p>
    <w:p>
      <w:pPr>
        <w:ind w:right="20"/>
        <w:spacing w:after="0" w:line="217" w:lineRule="auto"/>
        <w:rPr>
          <w:sz w:val="20"/>
          <w:szCs w:val="20"/>
          <w:color w:val="auto"/>
        </w:rPr>
      </w:pPr>
      <w:r>
        <w:rPr>
          <w:rFonts w:ascii="Arial" w:cs="Arial" w:eastAsia="Arial" w:hAnsi="Arial"/>
          <w:sz w:val="18"/>
          <w:szCs w:val="18"/>
          <w:color w:val="auto"/>
        </w:rPr>
        <w:t>Petroleo Brasileiro S.A. (Petrobras), an oil company located in Brazil, has conducted extensive multi-year product field trials of NTIC’s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rust and corrosion inhibiting products against competitive alternatives. During fiscal 2010, Zerust Brazil received a Phase 1 contract for an initial implementation of $1.4 million (BRL$ 2.5 million) in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which was delivered in fiscal 2010 and fiscal 2011. During fiscal 2011, Zerust Brazil signed a Phase 2 contract with Petrobras to supply $2.4 million (BRL$ 4.21 million) in ZERUST® products. During fiscal 2012, Petrobras expanded this Phase 2 contract to supply an additional $657,000 (BRL$ 1.15 million) in ZERUST® products, bringing the total Phase 2 contract value to $3.1 million (BRL$ 5.36 million) in ZERUST® products. During early fiscal 2013, Zerust Brazil signed a Phase 3 contract with Petrobras to supply $3.7 million (BRL$ 7.5 million) in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36" w:name="page37"/>
    <w:bookmarkEnd w:id="36"/>
    <w:p>
      <w:pPr>
        <w:ind w:right="100"/>
        <w:spacing w:after="0" w:line="214" w:lineRule="auto"/>
        <w:rPr>
          <w:sz w:val="20"/>
          <w:szCs w:val="20"/>
          <w:color w:val="auto"/>
        </w:rPr>
      </w:pPr>
      <w:r>
        <w:rPr>
          <w:rFonts w:ascii="Arial" w:cs="Arial" w:eastAsia="Arial" w:hAnsi="Arial"/>
          <w:sz w:val="18"/>
          <w:szCs w:val="18"/>
          <w:color w:val="auto"/>
        </w:rPr>
        <w:t>NTIC is also pursuing opportunities to market its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rust and corrosion prevention solutions to other targeted potential customers in the oil and gas industry across several countries through NTIC’s joint venture partners and other strategic partners. NTIC believes the sale of its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corrosion prevention solutions to customers in the oil and gas industry will involve a long sales cycle, likely including a one- to multi-year trial period with each customer and a slow integration process thereafter.</w:t>
      </w:r>
    </w:p>
    <w:p>
      <w:pPr>
        <w:spacing w:after="0" w:line="226"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Natur-Tec</w:t>
      </w:r>
      <w:r>
        <w:rPr>
          <w:rFonts w:ascii="Arial" w:cs="Arial" w:eastAsia="Arial" w:hAnsi="Arial"/>
          <w:sz w:val="23"/>
          <w:szCs w:val="23"/>
          <w:color w:val="auto"/>
          <w:vertAlign w:val="superscript"/>
        </w:rPr>
        <w:t>®</w:t>
      </w:r>
      <w:r>
        <w:rPr>
          <w:rFonts w:ascii="Arial" w:cs="Arial" w:eastAsia="Arial" w:hAnsi="Arial"/>
          <w:sz w:val="17"/>
          <w:szCs w:val="17"/>
          <w:color w:val="auto"/>
        </w:rPr>
        <w:t xml:space="preserve"> bio-based and biodegradable plastics are manufactured using NTIC’s patented and/or proprietary technologies and are intended to replace conventional petroleum-based plastics. The Natur-Tec</w:t>
      </w:r>
      <w:r>
        <w:rPr>
          <w:rFonts w:ascii="Arial" w:cs="Arial" w:eastAsia="Arial" w:hAnsi="Arial"/>
          <w:sz w:val="23"/>
          <w:szCs w:val="23"/>
          <w:color w:val="auto"/>
          <w:vertAlign w:val="superscript"/>
        </w:rPr>
        <w:t>®</w:t>
      </w:r>
      <w:r>
        <w:rPr>
          <w:rFonts w:ascii="Arial" w:cs="Arial" w:eastAsia="Arial" w:hAnsi="Arial"/>
          <w:sz w:val="17"/>
          <w:szCs w:val="17"/>
          <w:color w:val="auto"/>
        </w:rPr>
        <w:t xml:space="preserve"> bioplastics portfolio includes biopolymer resin compounds which are available in several grades tailored for a variety of applications, such as blown-film extrusion, extrusion coating, injection molding and rigid, engineered plastics, and finished products, including shopping and grocery bags, lawn and leaf bags, can liners, pet waste collection bags, cutlery, packaging foam and coated paper products, which are engineered to be fully biodegradable in a composting environment. In North America, NTIC primarily markets its Natur-Tec</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resin compounds and finished products through a network of national and regional distributors and independent agents. NTIC continues to see significant opportunities for finished bioplastic products and, therefore, continues to strengthen and expand its North American distribution network for finished Natur-Tec</w:t>
      </w:r>
      <w:r>
        <w:rPr>
          <w:rFonts w:ascii="Arial" w:cs="Arial" w:eastAsia="Arial" w:hAnsi="Arial"/>
          <w:sz w:val="23"/>
          <w:szCs w:val="23"/>
          <w:color w:val="auto"/>
          <w:vertAlign w:val="superscript"/>
        </w:rPr>
        <w:t>®</w:t>
      </w:r>
      <w:r>
        <w:rPr>
          <w:rFonts w:ascii="Arial" w:cs="Arial" w:eastAsia="Arial" w:hAnsi="Arial"/>
          <w:sz w:val="17"/>
          <w:szCs w:val="17"/>
          <w:color w:val="auto"/>
        </w:rPr>
        <w:t xml:space="preserve"> bioplastic products. Internationally, NTIC sells its Natur-Tec</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resin compounds and finished products both directly and through some of its joint venture arrangements, including in particular its joint venture in India, Harita NTI Limited (HNTI).</w:t>
      </w:r>
    </w:p>
    <w:p>
      <w:pPr>
        <w:spacing w:after="0" w:line="23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During fiscal 2012, HNTI and a major global apparel brand entered into an agreement for the supply by HNTI of compostable packaging for branded garments. In addition, HNTI is pursuing applications for bioplastics in food and personal care product packaging through alliances with several local partners in India. During fiscal 2011, NTIC entered into an agreement with Italy-based Naturfuels s.r.l. to distribute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bioplastic materials and products in the Italian market. Under the terms of the distribution agreement, NTIC supplies Naturfuels with NTIC’s patented high-strength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compostable film grade resin compounds to be used for the production of bio-plastic shopping and garbage bags on conventional plastic film production equipment. In 2011, the Italian government passed legislation banning the use of non-biodegradable plastic shopping bags. However, enforcement of this law has recently been delayed to allow Italian bag manufacturers to exhaust their current supply of conventional polyolefinic resins before completely changing to certified compostable resins. As a result, resin sales to Naturfuels are not expected to have a material effect on NTIC’s operating results until mid-fiscal 2013.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Joint Venture Network</w:t>
      </w:r>
    </w:p>
    <w:p>
      <w:pPr>
        <w:spacing w:after="0" w:line="250" w:lineRule="exact"/>
        <w:rPr>
          <w:sz w:val="20"/>
          <w:szCs w:val="20"/>
          <w:color w:val="auto"/>
        </w:rPr>
      </w:pPr>
    </w:p>
    <w:p>
      <w:pPr>
        <w:ind w:right="220"/>
        <w:spacing w:after="0" w:line="230" w:lineRule="auto"/>
        <w:rPr>
          <w:sz w:val="20"/>
          <w:szCs w:val="20"/>
          <w:color w:val="auto"/>
        </w:rPr>
      </w:pPr>
      <w:r>
        <w:rPr>
          <w:rFonts w:ascii="Arial" w:cs="Arial" w:eastAsia="Arial" w:hAnsi="Arial"/>
          <w:sz w:val="18"/>
          <w:szCs w:val="18"/>
          <w:color w:val="auto"/>
        </w:rPr>
        <w:t>NTIC participates, either directly or indirectly, in 23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sell NTIC’s Natur-Tec</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resin compounds. NTIC historically has funded its joint venture investments with cash generated from operations.</w:t>
      </w:r>
    </w:p>
    <w:p>
      <w:pPr>
        <w:spacing w:after="0" w:line="22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NTIC’s receipt of funds from its joint ventures is dependent upon fees for services that NTIC provides to its joint ventures, based primarily on the revenues of the joint ventures, and NTIC’s receipt of dividend distributions from the joint ventures. NTIC receives fees for services provided to its joint ventures based primarily on the net sales of the individual joint ventures. The fees for services provided to joint ventures are determined based on either a flat fee or a percentage of sales depending on local laws and tax regulations. With respect to NTIC’s primary joint venture in Germany (EXCOR), NTIC recognizes an agreed upon quarterly fee for such services. With respect to NTIC’s ASEAN joint venture holding company (NTI ASEAN), NTIC does not receive a fee for such services, but rather receives a bi-annual dividend based on available cash.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owns only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37" w:name="page38"/>
    <w:bookmarkEnd w:id="37"/>
    <w:p>
      <w:pPr>
        <w:ind w:right="60"/>
        <w:spacing w:after="0" w:line="252" w:lineRule="auto"/>
        <w:rPr>
          <w:sz w:val="20"/>
          <w:szCs w:val="20"/>
          <w:color w:val="auto"/>
        </w:rPr>
      </w:pPr>
      <w:r>
        <w:rPr>
          <w:rFonts w:ascii="Arial" w:cs="Arial" w:eastAsia="Arial" w:hAnsi="Arial"/>
          <w:sz w:val="18"/>
          <w:szCs w:val="18"/>
          <w:color w:val="auto"/>
        </w:rPr>
        <w:t>NTIC does not consolidate the results of its joint ventures in its consolidated financial statements. NTIC’s investments in its joint ventures are accounted for using the equity method. Although Zerust Brazil originated as a joint venture of NTIC, it is no longer considered a joint venture, but rather it is a majority owned subsidiary of NTIC and thus, unlike NTIC’s joint ventures, its results are consolidated in NTIC’s consolidated financial statements. NTIC holds 85% of the equity and 85% of the voting rights of Zerust Brazil.</w:t>
      </w:r>
    </w:p>
    <w:p>
      <w:pPr>
        <w:spacing w:after="0" w:line="218" w:lineRule="exact"/>
        <w:rPr>
          <w:sz w:val="20"/>
          <w:szCs w:val="20"/>
          <w:color w:val="auto"/>
        </w:rPr>
      </w:pPr>
    </w:p>
    <w:p>
      <w:pPr>
        <w:ind w:right="200"/>
        <w:spacing w:after="0" w:line="294" w:lineRule="auto"/>
        <w:rPr>
          <w:sz w:val="20"/>
          <w:szCs w:val="20"/>
          <w:color w:val="auto"/>
        </w:rPr>
      </w:pPr>
      <w:r>
        <w:rPr>
          <w:rFonts w:ascii="Arial" w:cs="Arial" w:eastAsia="Arial" w:hAnsi="Arial"/>
          <w:sz w:val="17"/>
          <w:szCs w:val="17"/>
          <w:color w:val="auto"/>
        </w:rPr>
        <w:t>NTIC considers EXCOR and NTI ASEAN to be individually significant to NTIC’s consolidated assets and income; and therefore, provides certain additional information regarding these entities in the notes to NTIC’s consolidated financial statements and in this section of this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0" w:lineRule="exact"/>
        <w:rPr>
          <w:sz w:val="20"/>
          <w:szCs w:val="20"/>
          <w:color w:val="auto"/>
        </w:rPr>
      </w:pPr>
    </w:p>
    <w:p>
      <w:pPr>
        <w:jc w:val="both"/>
        <w:ind w:right="560"/>
        <w:spacing w:after="0" w:line="375" w:lineRule="auto"/>
        <w:rPr>
          <w:sz w:val="20"/>
          <w:szCs w:val="20"/>
          <w:color w:val="auto"/>
        </w:rPr>
      </w:pPr>
      <w:r>
        <w:rPr>
          <w:rFonts w:ascii="Arial" w:cs="Arial" w:eastAsia="Arial" w:hAnsi="Arial"/>
          <w:sz w:val="15"/>
          <w:szCs w:val="15"/>
          <w:color w:val="auto"/>
        </w:rPr>
        <w:t>NTIC’s management, including its chief executive officer who is NTIC’s chief operating decision maker, reports and manages NTIC’s operations in two reportable business segments based on products sold, customer base and distribution center: ZERUST</w:t>
      </w:r>
      <w:r>
        <w:rPr>
          <w:rFonts w:ascii="Arial" w:cs="Arial" w:eastAsia="Arial" w:hAnsi="Arial"/>
          <w:sz w:val="20"/>
          <w:szCs w:val="20"/>
          <w:color w:val="auto"/>
          <w:vertAlign w:val="superscript"/>
        </w:rPr>
        <w:t>®</w:t>
      </w:r>
      <w:r>
        <w:rPr>
          <w:rFonts w:ascii="Arial" w:cs="Arial" w:eastAsia="Arial" w:hAnsi="Arial"/>
          <w:sz w:val="15"/>
          <w:szCs w:val="15"/>
          <w:color w:val="auto"/>
        </w:rPr>
        <w:t xml:space="preserve"> products and services and Natur-Tec</w:t>
      </w:r>
      <w:r>
        <w:rPr>
          <w:rFonts w:ascii="Arial" w:cs="Arial" w:eastAsia="Arial" w:hAnsi="Arial"/>
          <w:sz w:val="20"/>
          <w:szCs w:val="20"/>
          <w:color w:val="auto"/>
          <w:vertAlign w:val="superscript"/>
        </w:rPr>
        <w:t>®</w:t>
      </w:r>
      <w:r>
        <w:rPr>
          <w:rFonts w:ascii="Arial" w:cs="Arial" w:eastAsia="Arial" w:hAnsi="Arial"/>
          <w:sz w:val="15"/>
          <w:szCs w:val="15"/>
          <w:color w:val="auto"/>
        </w:rPr>
        <w:t xml:space="preserve"> products.</w:t>
      </w:r>
    </w:p>
    <w:p>
      <w:pPr>
        <w:spacing w:after="0" w:line="34"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NTIC’s consolidated net sales increased 16.7% during the fiscal 2012 compared to fiscal 2011. This increase was primarily a result of increased sales made by Zerust Brazil and increased sales of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packaging products and services. During fiscal 2012,</w:t>
      </w:r>
    </w:p>
    <w:p>
      <w:pPr>
        <w:spacing w:after="0" w:line="1"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auto"/>
        </w:rPr>
        <w:t>92.1% of NTIC’s consolidated net sales were derived from sales of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which increased 13.1% to $20,971,275 during fiscal 2012 compared to $18,542,523 during fiscal 2011 due to increased demand from existing customers and the addition of new customers. NTIC has focused its sales efforts of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by strategically targeting customers with specific corrosion issues in new market areas, including the oil and gas industry and other industrial sectors that offer sizable growth opportunities. NTIC’s consolidated net sales for fiscal 2012 included $4,543,982 of sales made by Zerust Brazil, and of those sales, $2,466,000 in sales were made to the oil and gas industry sector in Brazil. Overall demand for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depends heavily on the overall health of the markets in which NTIC sells its products, including in particular the automotive market.</w:t>
      </w:r>
    </w:p>
    <w:p>
      <w:pPr>
        <w:spacing w:after="0" w:line="229" w:lineRule="exact"/>
        <w:rPr>
          <w:sz w:val="20"/>
          <w:szCs w:val="20"/>
          <w:color w:val="auto"/>
        </w:rPr>
      </w:pPr>
    </w:p>
    <w:p>
      <w:pPr>
        <w:spacing w:after="0" w:line="203" w:lineRule="auto"/>
        <w:rPr>
          <w:sz w:val="20"/>
          <w:szCs w:val="20"/>
          <w:color w:val="auto"/>
        </w:rPr>
      </w:pPr>
      <w:r>
        <w:rPr>
          <w:rFonts w:ascii="Arial" w:cs="Arial" w:eastAsia="Arial" w:hAnsi="Arial"/>
          <w:sz w:val="18"/>
          <w:szCs w:val="18"/>
          <w:color w:val="auto"/>
        </w:rPr>
        <w:t>During fiscal 2012, 7.9% of NTIC’s consolidated net sales were derived from sales of Natur-Tec</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compared to 5.0% during fiscal 2011. Net sales of Natur-Tec</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increased 84.0% during fiscal 2012 compared to fiscal 2011. This increase was due to increased sales to Natur-Tec</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distributors in the United States. NTIC has continued to strengthen and expand its West Coast distribution network in California, as well as expand its industrial distribution reach to geographical “green” hotspots such as Oregon, Washington, Minnesota and New England. Additionally, NTIC has continued to target key national and regional retailers utilizing independent sales agents. Demand for the Natur-Tec</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depends primarily on market acceptance and the extent of NTIC’s distribution network</w:t>
      </w:r>
    </w:p>
    <w:p>
      <w:pPr>
        <w:spacing w:after="0" w:line="229"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Cost of goods sold as a percentage of net sales decreased to 63.8% during fiscal 2012 compared to 65.4% during fiscal 2011 primarily as a result of increased sales by Zerust Brazil of higher average gross margin products.</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340"/>
          </w:cols>
          <w:pgMar w:left="240" w:top="273" w:right="319" w:bottom="1440" w:gutter="0" w:footer="0" w:header="0"/>
        </w:sectPr>
      </w:pPr>
    </w:p>
    <w:bookmarkStart w:id="38" w:name="page39"/>
    <w:bookmarkEnd w:id="38"/>
    <w:p>
      <w:pPr>
        <w:ind w:right="60"/>
        <w:spacing w:after="0" w:line="265" w:lineRule="auto"/>
        <w:rPr>
          <w:sz w:val="20"/>
          <w:szCs w:val="20"/>
          <w:color w:val="auto"/>
        </w:rPr>
      </w:pPr>
      <w:r>
        <w:rPr>
          <w:rFonts w:ascii="Arial" w:cs="Arial" w:eastAsia="Arial" w:hAnsi="Arial"/>
          <w:sz w:val="17"/>
          <w:szCs w:val="17"/>
          <w:color w:val="auto"/>
        </w:rPr>
        <w:t>NTIC’s equity in income of joint ventures decreased 0.3% to $5,519,795 during fiscal 2012 compared to $5,536,243 during fiscal 2011. During fiscal 2012, the shareholders of NTIC’s joint venture in India, Harita NTI Limited, waived past due fees for services from both fiscal 2011 and fiscal 2012 in the aggregate amount of $985,204. Since the waiver of fees was taken by all shareholders mutually, such action did not directly impact the earnings of either NTIC or HNTI. However, as a result of such action, NTIC recognized a reversal of fees for services provided to joint ventures of $492,602 and a corresponding increase in equity in income of joint ventures during fiscal 2012. The primary purpose of the waiver of fees was to strengthen HNTI’s working capital going forward. In addition, in fiscal 2012, HNTI experienced write downs of an aggregate of $905,000 related to the write down to market value of a Polymer Energy unit that HNTI was previously attempting to sell. As a result, during fiscal 2012, NTIC absorbed 50% of this loss and, accordingly, recognized a decrease in equity in income of $452,500 during fiscal 2012.</w:t>
      </w:r>
    </w:p>
    <w:p>
      <w:pPr>
        <w:spacing w:after="0" w:line="20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NTIC recognized a 24.6% decrease in fees for services provided to joint ventures during fiscal 2012 compared to fiscal 2011. This decrease was primarily a result of the waiver of fees by the shareholders of HNTI as described previously and a 6.2% decrease in total net sales of NTIC’s joint ventures to $111,830,961 during fiscal 2012 compared to $119,276,553 for fiscal 2011. Total net sales of NTIC’s joint ventures were adversely affected in part by the European sovereign debt crises, which NTIC believes adversely affected the net sales of NTIC’s European joint ventures as well as certain of NTIC’s other non-European joint ventures, and the weakening of the EURO and other currencies compared to the U.S. dollar.</w:t>
      </w:r>
    </w:p>
    <w:p>
      <w:pPr>
        <w:spacing w:after="0" w:line="204" w:lineRule="exact"/>
        <w:rPr>
          <w:sz w:val="20"/>
          <w:szCs w:val="20"/>
          <w:color w:val="auto"/>
        </w:rPr>
      </w:pPr>
    </w:p>
    <w:p>
      <w:pPr>
        <w:ind w:right="160"/>
        <w:spacing w:after="0" w:line="330" w:lineRule="auto"/>
        <w:rPr>
          <w:sz w:val="20"/>
          <w:szCs w:val="20"/>
          <w:color w:val="auto"/>
        </w:rPr>
      </w:pPr>
      <w:r>
        <w:rPr>
          <w:rFonts w:ascii="Arial" w:cs="Arial" w:eastAsia="Arial" w:hAnsi="Arial"/>
          <w:sz w:val="15"/>
          <w:szCs w:val="15"/>
          <w:color w:val="auto"/>
        </w:rPr>
        <w:t>NTIC’s total operating expenses increased slightly 0.2% or $27,134 to $13,825,806 during fiscal 2012 compared to $13,798,672 for fiscal 2011 primarily as a result of an increase in selling expenses, general and administrative expenses and expenses incurred in support of joint ventures, partially offset by decreases in research and development expenses, and reflected NTIC’s efforts to hold expenses stable given the uncertainties in the global economy.</w:t>
      </w:r>
    </w:p>
    <w:p>
      <w:pPr>
        <w:spacing w:after="0" w:line="164"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NTIC expenses all costs related to product research and development as incurred. NTIC incurred $3,875,581 and $4,364,109 of expense during fiscal 2012 and 2011, respectively, in connection with its research and development activities. These represent net amounts after being reduced by reimbursements related to certain research and development contracts. Such reimbursements totaled $365,940 and $219,175 for fiscal 2012 and fiscal 2011, respectively. NTIC anticipates that it will spend between $3,500,000 and $3,800,000 in total during fiscal 2013 on research and development activities related to its new technologies. This estimate is a net range after being reduced by anticipated reimbursements related to certain research and development contracts.</w:t>
      </w:r>
    </w:p>
    <w:p>
      <w:pPr>
        <w:spacing w:after="0" w:line="178"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Net income attributable to NTIC decreased 11.6% to $3,448,196, or $0.78 per diluted common share, for fiscal 2012 compared to $3,900,120, or $0.89 per diluted common share, for fiscal 2011. This decrease was primarily the result of increased sales and earnings of NTIC’s North American businesses as well as the increase in sales and earnings of NTIC’s subsidiary in Brazil, partially offset by decreases in income from NTIC’s joint ventures. NTIC anticipates that its quarterly net income will remain subject to significant volatility primarily due to the financial performance of its joint ventures and sales of its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services into the oil and gas industry and Natur-Tec</w:t>
      </w:r>
      <w:r>
        <w:rPr>
          <w:rFonts w:ascii="Arial" w:cs="Arial" w:eastAsia="Arial" w:hAnsi="Arial"/>
          <w:sz w:val="24"/>
          <w:szCs w:val="24"/>
          <w:color w:val="auto"/>
          <w:vertAlign w:val="superscript"/>
        </w:rPr>
        <w:t>®</w:t>
      </w:r>
      <w:r>
        <w:rPr>
          <w:rFonts w:ascii="Arial" w:cs="Arial" w:eastAsia="Arial" w:hAnsi="Arial"/>
          <w:sz w:val="18"/>
          <w:szCs w:val="18"/>
          <w:color w:val="auto"/>
        </w:rPr>
        <w:t xml:space="preserve"> bioplastics products, which sales fluctuate more on a quarterly basis than the traditional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business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NTIC’s working capital was $10,061,081 for fiscal 2012, including $4,137,547 in cash and cash equivalents compared to $9,085,748 in fiscal 2011, including</w:t>
      </w:r>
    </w:p>
    <w:p>
      <w:pPr>
        <w:spacing w:after="0" w:line="5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$3,266,362 in cash and cash equivalents. NTIC expects to meet its future liquidity requirements during at least the next 12 months by using its existing cash and cash equivalents, forecasted cash flows from future operations, distributions of earnings and service fees to NTIC from its joint ventures and funds available through existing or anticipated financing arrangements. NTIC also may decide to raise additional financing to help fund its new businesses through the issuance of debt or equity securities.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Sales and Expense Components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primary components of net sales and expenses:</w:t>
      </w:r>
    </w:p>
    <w:p>
      <w:pPr>
        <w:spacing w:after="0" w:line="24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b w:val="1"/>
          <w:bCs w:val="1"/>
          <w:i w:val="1"/>
          <w:iCs w:val="1"/>
          <w:color w:val="auto"/>
        </w:rPr>
        <w:t>Net Sales, Excluding Joint Ventures</w:t>
      </w:r>
      <w:r>
        <w:rPr>
          <w:rFonts w:ascii="Arial" w:cs="Arial" w:eastAsia="Arial" w:hAnsi="Arial"/>
          <w:sz w:val="16"/>
          <w:szCs w:val="16"/>
          <w:color w:val="auto"/>
        </w:rPr>
        <w:t>. NTIC derives net sales from the sale of its ZERUST</w:t>
      </w:r>
      <w:r>
        <w:rPr>
          <w:rFonts w:ascii="Arial" w:cs="Arial" w:eastAsia="Arial" w:hAnsi="Arial"/>
          <w:sz w:val="22"/>
          <w:szCs w:val="22"/>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and services and its Natur-Tec</w:t>
      </w:r>
      <w:r>
        <w:rPr>
          <w:rFonts w:ascii="Arial" w:cs="Arial" w:eastAsia="Arial" w:hAnsi="Arial"/>
          <w:sz w:val="22"/>
          <w:szCs w:val="22"/>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NTIC sells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and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either directly or via a network of joint ventures, independent distributors and agents. Net sales, excluding joint ventures represents net sales by NTIC either directly to end users or to distributors worldwide, but not sales to NTIC’s joint ventures and not sales by NTIC’s joint ventures. NTIC recognizes revenue from the sale of its products either directly or to distributors when persuasive evidence of an arrangement exists, the product has been delivered, the fee is fixed and determinable and collection of the resulting receivable is reasonably assured, all of which criteria are generally met upon shipment when risk of loss and title passes to the customer or distributor. NTIC records all amounts billed to customers and distributors in a sales transaction related to shipping and handling as sales and records costs related to shipping and handling in cost of goods sold.</w:t>
      </w:r>
    </w:p>
    <w:p>
      <w:pPr>
        <w:spacing w:after="0" w:line="22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b w:val="1"/>
          <w:bCs w:val="1"/>
          <w:i w:val="1"/>
          <w:iCs w:val="1"/>
          <w:color w:val="auto"/>
        </w:rPr>
        <w:t>Net Sales, To Joint Ventures</w:t>
      </w:r>
      <w:r>
        <w:rPr>
          <w:rFonts w:ascii="Arial" w:cs="Arial" w:eastAsia="Arial" w:hAnsi="Arial"/>
          <w:sz w:val="18"/>
          <w:szCs w:val="18"/>
          <w:color w:val="auto"/>
        </w:rPr>
        <w:t>. Net sales, to joint ventures represents net sales by NTIC to NTIC’s joint ventures, but not sales by NTIC either directly to 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users or to distributors or sales by NTIC’s joint ventures. NTIC’s revenue recognition policy for sales to its joint ventures is the same as NTIC’s policy for sales to unaffiliated customers. NTIC recognizes revenue from the sale of its products to joint ventures when persuasive evidence of an arrangement exists, the product has been delivered, the fee is fixed and determinable and collection of the resulting receivable is reasonably assured, all of which criteria are generally met upon shipment when risk of loss and title passes to the joint venture.</w:t>
      </w:r>
    </w:p>
    <w:p>
      <w:pPr>
        <w:spacing w:after="0" w:line="22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b w:val="1"/>
          <w:bCs w:val="1"/>
          <w:i w:val="1"/>
          <w:iCs w:val="1"/>
          <w:color w:val="auto"/>
        </w:rPr>
        <w:t>Cost of Goods Sold</w:t>
      </w:r>
      <w:r>
        <w:rPr>
          <w:rFonts w:ascii="Arial" w:cs="Arial" w:eastAsia="Arial" w:hAnsi="Arial"/>
          <w:sz w:val="17"/>
          <w:szCs w:val="17"/>
          <w:color w:val="auto"/>
        </w:rPr>
        <w:t>. Most of NTIC’s products are manufactured by third parties and its cost of goods sold for those products consists primarily of the price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invoiced by its third-party vendors. For the small portion of products that NTIC manufactures, NTIC’s cost of goods sold for those products consists primarily of direct labor, allocated manufacturing overhead, raw materials and components. NTIC’s margins on its Natur-Tec</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resin compounds and finished products are generally smaller than its margins on its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products and services, and NTIC’s margins on its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products and services sold into the oil and gas industry are generally greater than its margins on its traditional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products and services.</w:t>
      </w:r>
    </w:p>
    <w:p>
      <w:pPr>
        <w:spacing w:after="0" w:line="135"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i w:val="1"/>
          <w:iCs w:val="1"/>
          <w:color w:val="auto"/>
        </w:rPr>
        <w:t>Equity in Income of Joint Ventures</w:t>
      </w:r>
      <w:r>
        <w:rPr>
          <w:rFonts w:ascii="Arial" w:cs="Arial" w:eastAsia="Arial" w:hAnsi="Arial"/>
          <w:sz w:val="17"/>
          <w:szCs w:val="17"/>
          <w:color w:val="auto"/>
        </w:rPr>
        <w:t>. NTIC’s equity in income of joint ventures consists of NTIC’s share of equity in income of its joint ventures based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overall profitability of the joint ventures. Such profitability is subject to variability from quarter to quarter which, in turn, subjects NTIC’s earnings to variability from quarter to quarter. Traditionally, a portion of the equity income recorded in a given fiscal year is paid to the owners of the joint venture entity during the following fiscal year through a dividend. The payment of a dividend by a joint venture entity is determined by a vote of the joint venture owners and is not at the sole discretion of NTIC. NTIC typically owns only 50% or less of its joint venture entities and thus does not control the decisions of these entities regarding whether to pay dividends and, if paid, how much they should be in a given year.</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Fees for Services Provided To Joint Ventures</w:t>
      </w:r>
      <w:r>
        <w:rPr>
          <w:rFonts w:ascii="Arial" w:cs="Arial" w:eastAsia="Arial" w:hAnsi="Arial"/>
          <w:sz w:val="15"/>
          <w:szCs w:val="15"/>
          <w:color w:val="auto"/>
        </w:rPr>
        <w:t>. NTIC provides certain services to its joint ventures including technical consulting, travel, insurance, technical</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and marketing services. NTIC receives fees for these services it provides to its joint ventures based primarily on the net sales by NTIC’s joint ventures, the latter</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of which are not included in NTIC’s net sales reflected on NTIC’s consolidated statements of operations. The fees for services received by NTIC from its joint</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ventures are generally determined based on either a flat fee or a percentage of net sales by NTIC’s joint ventures depending on local laws and tax</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regulations. With respect to EXCOR, NTIC receives an agreed upon fixed quarterly fee for such services. With respect to NTI ASEAN, NTIC does not receive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 fee for such services, but rather receives a bi-annual dividend based on available cash. NTIC records revenue related to fees for services provided to joint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ventures when earned, amounts are determinable and collectability is reasonably assured. Under NTIC’s agreements with its joint ventures in which the fees for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services is described, fees are earned when the joint venture recognizes the revenue.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40" w:name="page41"/>
    <w:bookmarkEnd w:id="40"/>
    <w:p>
      <w:pPr>
        <w:ind w:right="60"/>
        <w:spacing w:after="0" w:line="312" w:lineRule="auto"/>
        <w:rPr>
          <w:sz w:val="20"/>
          <w:szCs w:val="20"/>
          <w:color w:val="auto"/>
        </w:rPr>
      </w:pPr>
      <w:r>
        <w:rPr>
          <w:rFonts w:ascii="Arial" w:cs="Arial" w:eastAsia="Arial" w:hAnsi="Arial"/>
          <w:sz w:val="15"/>
          <w:szCs w:val="15"/>
          <w:color w:val="auto"/>
        </w:rPr>
        <w:t>NTIC sponsors a worldwide joint venture conference periodically every few years in which all of NTIC’s joint ventures are invited to participate. The next joint venture conference is scheduled to be held in the summer of 2013. NTIC defers a portion of its fees for services provided to joint ventures in each accounting period leading up to the next conference, reflecting that NTIC has not fully earned the payments received during that period. The amount deferred is based on the historical experience of NTIC, current conditions and the intentions of NTIC’s management. The costs associated with these joint venture conferences are offset against the deferral as incurred, generally in the period in which the conference is held and immediately before.</w:t>
      </w:r>
    </w:p>
    <w:p>
      <w:pPr>
        <w:spacing w:after="0" w:line="178"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In prior years, fees for services provided to joint ventures also included license fees received by Polymer Energy LLC and distributed by Polymer Energy LLC to NTIC.</w:t>
      </w:r>
    </w:p>
    <w:p>
      <w:pPr>
        <w:spacing w:after="0" w:line="206" w:lineRule="exact"/>
        <w:rPr>
          <w:sz w:val="20"/>
          <w:szCs w:val="20"/>
          <w:color w:val="auto"/>
        </w:rPr>
      </w:pPr>
    </w:p>
    <w:p>
      <w:pPr>
        <w:ind w:right="420"/>
        <w:spacing w:after="0" w:line="265" w:lineRule="auto"/>
        <w:rPr>
          <w:sz w:val="20"/>
          <w:szCs w:val="20"/>
          <w:color w:val="auto"/>
        </w:rPr>
      </w:pP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Selling expenses consist primarily of sales commissions and support costs for NTIC’s direct sale and distribution system,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w:t>
      </w:r>
    </w:p>
    <w:p>
      <w:pPr>
        <w:spacing w:after="0" w:line="206"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b w:val="1"/>
          <w:bCs w:val="1"/>
          <w:i w:val="1"/>
          <w:iCs w:val="1"/>
          <w:color w:val="auto"/>
        </w:rPr>
        <w:t>General and Administrative Expenses</w:t>
      </w:r>
      <w:r>
        <w:rPr>
          <w:rFonts w:ascii="Arial" w:cs="Arial" w:eastAsia="Arial" w:hAnsi="Arial"/>
          <w:sz w:val="18"/>
          <w:szCs w:val="18"/>
          <w:color w:val="auto"/>
        </w:rPr>
        <w:t>. General and administrative expenses consist primarily of salaries and benefits, and other costs for NTIC’s executives,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stock based compensation, finance, legal, information technology and human resources functions.</w:t>
      </w:r>
    </w:p>
    <w:p>
      <w:pPr>
        <w:spacing w:after="0" w:line="20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Expenses Incurred in Support of Joint Ventures</w:t>
      </w:r>
      <w:r>
        <w:rPr>
          <w:rFonts w:ascii="Arial" w:cs="Arial" w:eastAsia="Arial" w:hAnsi="Arial"/>
          <w:sz w:val="18"/>
          <w:szCs w:val="18"/>
          <w:color w:val="auto"/>
        </w:rPr>
        <w:t>. NTIC incurs direct expenses related to its joint ventures and in connection with NTIC’s provision of support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services to its joint ventures. Such expenses include items such as employee compensation and benefits, travel, consulting, legal and laboratory supplies and testing expenses.</w:t>
      </w:r>
    </w:p>
    <w:p>
      <w:pPr>
        <w:spacing w:after="0" w:line="215" w:lineRule="exact"/>
        <w:rPr>
          <w:sz w:val="20"/>
          <w:szCs w:val="20"/>
          <w:color w:val="auto"/>
        </w:rPr>
      </w:pPr>
    </w:p>
    <w:p>
      <w:pPr>
        <w:jc w:val="both"/>
        <w:ind w:right="80"/>
        <w:spacing w:after="0" w:line="312" w:lineRule="auto"/>
        <w:rPr>
          <w:sz w:val="20"/>
          <w:szCs w:val="20"/>
          <w:color w:val="auto"/>
        </w:rPr>
      </w:pPr>
      <w:r>
        <w:rPr>
          <w:rFonts w:ascii="Arial" w:cs="Arial" w:eastAsia="Arial" w:hAnsi="Arial"/>
          <w:sz w:val="15"/>
          <w:szCs w:val="15"/>
          <w:b w:val="1"/>
          <w:bCs w:val="1"/>
          <w:i w:val="1"/>
          <w:iCs w:val="1"/>
          <w:color w:val="auto"/>
        </w:rPr>
        <w:t>Research and Development Expenses</w:t>
      </w:r>
      <w:r>
        <w:rPr>
          <w:rFonts w:ascii="Arial" w:cs="Arial" w:eastAsia="Arial" w:hAnsi="Arial"/>
          <w:sz w:val="15"/>
          <w:szCs w:val="15"/>
          <w:color w:val="auto"/>
        </w:rPr>
        <w:t>. Research and development expenses include costs associated with the design, development, market analysis, lab testing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field trials and enhancements of NTIC’s products and services. NTIC expenses all costs related to product research and development as incurred. Research and development expenses reflect the net amount after being reduced by reimbursements related to certain research and development contracts. With respect to such research and development contracts, NTIC accrues proceeds received under the contracts and offsets research and development expenses incurred in equal installments over the timelines associated with completion of the contracts’ specific objectives and milestones.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Income</w:t>
      </w:r>
      <w:r>
        <w:rPr>
          <w:rFonts w:ascii="Arial" w:cs="Arial" w:eastAsia="Arial" w:hAnsi="Arial"/>
          <w:sz w:val="15"/>
          <w:szCs w:val="15"/>
          <w:color w:val="auto"/>
        </w:rPr>
        <w:t>. Interest income consists of interest earned on investments in investment-grade, interest-bearing securities and money market accounts.</w:t>
      </w:r>
    </w:p>
    <w:p>
      <w:pPr>
        <w:spacing w:after="0" w:line="278"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results primarily from interest associated with NTIC’s term loan with PNC Bank and any borrowings under NTIC’s line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 with PNC Bank.</w:t>
      </w:r>
    </w:p>
    <w:p>
      <w:pPr>
        <w:spacing w:after="0" w:line="206"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b w:val="1"/>
          <w:bCs w:val="1"/>
          <w:i w:val="1"/>
          <w:iCs w:val="1"/>
          <w:color w:val="auto"/>
        </w:rPr>
        <w:t>Income Tax Expense</w:t>
      </w:r>
      <w:r>
        <w:rPr>
          <w:rFonts w:ascii="Arial" w:cs="Arial" w:eastAsia="Arial" w:hAnsi="Arial"/>
          <w:sz w:val="15"/>
          <w:szCs w:val="15"/>
          <w:color w:val="auto"/>
        </w:rPr>
        <w:t>. Income tax expense includes federal income taxes, income tax in foreign jurisdictions, state income tax and changes to NTIC’s deferred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tax valuation allowance. NTIC utilizes the liability method of accounting for income taxes which requires an asset and 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NTIC records a tax valuation allowance when it is more likely than not that some portion or all of its deferred tax assets will not be realized. NTIC makes this determination based on all available evidence, including historical data and projections of future results. Income tax expense is the tax payable or refundable for the period plus or minus the change during the period in deferred tax assets and liabilities.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2012 Compared to Fiscal Year 2011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fiscal 2012 and fiscal 2011.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32"/>
              <w:spacing w:after="0"/>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32"/>
              <w:spacing w:after="0"/>
              <w:rPr>
                <w:sz w:val="20"/>
                <w:szCs w:val="20"/>
                <w:color w:val="auto"/>
              </w:rPr>
            </w:pPr>
            <w:r>
              <w:rPr>
                <w:rFonts w:ascii="Arial" w:cs="Arial" w:eastAsia="Arial" w:hAnsi="Arial"/>
                <w:sz w:val="18"/>
                <w:szCs w:val="18"/>
                <w:b w:val="1"/>
                <w:bCs w:val="1"/>
                <w:color w:val="auto"/>
              </w:rPr>
              <w:t>% of</w:t>
            </w:r>
          </w:p>
        </w:tc>
        <w:tc>
          <w:tcPr>
            <w:tcW w:w="112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492"/>
              <w:spacing w:after="0"/>
              <w:rPr>
                <w:sz w:val="20"/>
                <w:szCs w:val="20"/>
                <w:color w:val="auto"/>
              </w:rPr>
            </w:pPr>
            <w:r>
              <w:rPr>
                <w:rFonts w:ascii="Arial" w:cs="Arial" w:eastAsia="Arial" w:hAnsi="Arial"/>
                <w:sz w:val="18"/>
                <w:szCs w:val="18"/>
                <w:b w:val="1"/>
                <w:bCs w:val="1"/>
                <w:color w:val="auto"/>
              </w:rPr>
              <w:t>%</w:t>
            </w:r>
          </w:p>
        </w:tc>
      </w:tr>
      <w:tr>
        <w:trPr>
          <w:trHeight w:val="230"/>
        </w:trPr>
        <w:tc>
          <w:tcPr>
            <w:tcW w:w="3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7"/>
              </w:rPr>
              <w:t>Fiscal 2012</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6"/>
              </w:rPr>
              <w:t>Net Sales</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7"/>
              </w:rPr>
              <w:t>Fiscal 2011</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6"/>
              </w:rPr>
              <w:t>Net Sales</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Change</w:t>
            </w:r>
          </w:p>
        </w:tc>
      </w:tr>
      <w:tr>
        <w:trPr>
          <w:trHeight w:val="206"/>
        </w:trPr>
        <w:tc>
          <w:tcPr>
            <w:tcW w:w="39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sales, excluding joint ventures</w:t>
            </w:r>
          </w:p>
        </w:tc>
        <w:tc>
          <w:tcPr>
            <w:tcW w:w="1700" w:type="dxa"/>
            <w:vAlign w:val="bottom"/>
            <w:gridSpan w:val="2"/>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rPr>
              <w:t>$20,227,719</w:t>
            </w:r>
          </w:p>
        </w:tc>
        <w:tc>
          <w:tcPr>
            <w:tcW w:w="11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88.8%</w:t>
            </w:r>
          </w:p>
        </w:tc>
        <w:tc>
          <w:tcPr>
            <w:tcW w:w="1120" w:type="dxa"/>
            <w:vAlign w:val="bottom"/>
            <w:gridSpan w:val="2"/>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99"/>
              </w:rPr>
              <w:t>$16,594,004</w:t>
            </w:r>
          </w:p>
        </w:tc>
        <w:tc>
          <w:tcPr>
            <w:tcW w:w="11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85.0%</w:t>
            </w:r>
          </w:p>
        </w:tc>
        <w:tc>
          <w:tcPr>
            <w:tcW w:w="1120" w:type="dxa"/>
            <w:vAlign w:val="bottom"/>
            <w:gridSpan w:val="2"/>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rPr>
              <w:t>$ 3,633,715</w:t>
            </w:r>
          </w:p>
        </w:tc>
        <w:tc>
          <w:tcPr>
            <w:tcW w:w="12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21.9%</w:t>
            </w:r>
          </w:p>
        </w:tc>
      </w:tr>
      <w:tr>
        <w:trPr>
          <w:trHeight w:val="212"/>
        </w:trPr>
        <w:tc>
          <w:tcPr>
            <w:tcW w:w="394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700" w:type="dxa"/>
            <w:vAlign w:val="bottom"/>
            <w:gridSpan w:val="2"/>
          </w:tcPr>
          <w:p>
            <w:pPr>
              <w:jc w:val="right"/>
              <w:ind w:right="12"/>
              <w:spacing w:after="0"/>
              <w:rPr>
                <w:sz w:val="20"/>
                <w:szCs w:val="20"/>
                <w:color w:val="auto"/>
              </w:rPr>
            </w:pPr>
            <w:r>
              <w:rPr>
                <w:rFonts w:ascii="Arial" w:cs="Arial" w:eastAsia="Arial" w:hAnsi="Arial"/>
                <w:sz w:val="18"/>
                <w:szCs w:val="18"/>
                <w:color w:val="auto"/>
              </w:rPr>
              <w:t>2,553,934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120" w:type="dxa"/>
            <w:vAlign w:val="bottom"/>
            <w:gridSpan w:val="2"/>
          </w:tcPr>
          <w:p>
            <w:pPr>
              <w:jc w:val="right"/>
              <w:ind w:right="12"/>
              <w:spacing w:after="0"/>
              <w:rPr>
                <w:sz w:val="20"/>
                <w:szCs w:val="20"/>
                <w:color w:val="auto"/>
              </w:rPr>
            </w:pPr>
            <w:r>
              <w:rPr>
                <w:rFonts w:ascii="Arial" w:cs="Arial" w:eastAsia="Arial" w:hAnsi="Arial"/>
                <w:sz w:val="18"/>
                <w:szCs w:val="18"/>
                <w:color w:val="auto"/>
              </w:rPr>
              <w:t>2,932,523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(378,589)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(12.9)%</w:t>
            </w:r>
          </w:p>
        </w:tc>
      </w:tr>
      <w:tr>
        <w:trPr>
          <w:trHeight w:val="212"/>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14,528,785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1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12,768,640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1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1,760,145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12"/>
        </w:trPr>
        <w:tc>
          <w:tcPr>
            <w:tcW w:w="394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700" w:type="dxa"/>
            <w:vAlign w:val="bottom"/>
            <w:gridSpan w:val="2"/>
          </w:tcPr>
          <w:p>
            <w:pPr>
              <w:jc w:val="right"/>
              <w:ind w:right="12"/>
              <w:spacing w:after="0"/>
              <w:rPr>
                <w:sz w:val="20"/>
                <w:szCs w:val="20"/>
                <w:color w:val="auto"/>
              </w:rPr>
            </w:pPr>
            <w:r>
              <w:rPr>
                <w:rFonts w:ascii="Arial" w:cs="Arial" w:eastAsia="Arial" w:hAnsi="Arial"/>
                <w:sz w:val="18"/>
                <w:szCs w:val="18"/>
                <w:color w:val="auto"/>
              </w:rPr>
              <w:t>5,519,795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1120" w:type="dxa"/>
            <w:vAlign w:val="bottom"/>
            <w:gridSpan w:val="2"/>
          </w:tcPr>
          <w:p>
            <w:pPr>
              <w:jc w:val="right"/>
              <w:ind w:right="12"/>
              <w:spacing w:after="0"/>
              <w:rPr>
                <w:sz w:val="20"/>
                <w:szCs w:val="20"/>
                <w:color w:val="auto"/>
              </w:rPr>
            </w:pPr>
            <w:r>
              <w:rPr>
                <w:rFonts w:ascii="Arial" w:cs="Arial" w:eastAsia="Arial" w:hAnsi="Arial"/>
                <w:sz w:val="18"/>
                <w:szCs w:val="18"/>
                <w:color w:val="auto"/>
              </w:rPr>
              <w:t>5,536,243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(16,448)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12"/>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4,622,912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1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6,129,979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(1,507,067)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12"/>
        </w:trPr>
        <w:tc>
          <w:tcPr>
            <w:tcW w:w="3940" w:type="dxa"/>
            <w:vAlign w:val="bottom"/>
          </w:tcPr>
          <w:p>
            <w:pPr>
              <w:spacing w:after="0"/>
              <w:rPr>
                <w:sz w:val="20"/>
                <w:szCs w:val="20"/>
                <w:color w:val="auto"/>
              </w:rPr>
            </w:pPr>
            <w:r>
              <w:rPr>
                <w:rFonts w:ascii="Arial" w:cs="Arial" w:eastAsia="Arial" w:hAnsi="Arial"/>
                <w:sz w:val="18"/>
                <w:szCs w:val="18"/>
                <w:color w:val="auto"/>
              </w:rPr>
              <w:t>Selling expenses</w:t>
            </w:r>
          </w:p>
        </w:tc>
        <w:tc>
          <w:tcPr>
            <w:tcW w:w="1700" w:type="dxa"/>
            <w:vAlign w:val="bottom"/>
            <w:gridSpan w:val="2"/>
          </w:tcPr>
          <w:p>
            <w:pPr>
              <w:jc w:val="right"/>
              <w:ind w:right="12"/>
              <w:spacing w:after="0"/>
              <w:rPr>
                <w:sz w:val="20"/>
                <w:szCs w:val="20"/>
                <w:color w:val="auto"/>
              </w:rPr>
            </w:pPr>
            <w:r>
              <w:rPr>
                <w:rFonts w:ascii="Arial" w:cs="Arial" w:eastAsia="Arial" w:hAnsi="Arial"/>
                <w:sz w:val="18"/>
                <w:szCs w:val="18"/>
                <w:color w:val="auto"/>
              </w:rPr>
              <w:t>4,585,901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1120" w:type="dxa"/>
            <w:vAlign w:val="bottom"/>
            <w:gridSpan w:val="2"/>
          </w:tcPr>
          <w:p>
            <w:pPr>
              <w:jc w:val="right"/>
              <w:ind w:right="12"/>
              <w:spacing w:after="0"/>
              <w:rPr>
                <w:sz w:val="20"/>
                <w:szCs w:val="20"/>
                <w:color w:val="auto"/>
              </w:rPr>
            </w:pPr>
            <w:r>
              <w:rPr>
                <w:rFonts w:ascii="Arial" w:cs="Arial" w:eastAsia="Arial" w:hAnsi="Arial"/>
                <w:sz w:val="18"/>
                <w:szCs w:val="18"/>
                <w:color w:val="auto"/>
              </w:rPr>
              <w:t>4,090,704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1120" w:type="dxa"/>
            <w:vAlign w:val="bottom"/>
            <w:gridSpan w:val="2"/>
          </w:tcPr>
          <w:p>
            <w:pPr>
              <w:jc w:val="right"/>
              <w:ind w:right="12"/>
              <w:spacing w:after="0"/>
              <w:rPr>
                <w:sz w:val="20"/>
                <w:szCs w:val="20"/>
                <w:color w:val="auto"/>
              </w:rPr>
            </w:pPr>
            <w:r>
              <w:rPr>
                <w:rFonts w:ascii="Arial" w:cs="Arial" w:eastAsia="Arial" w:hAnsi="Arial"/>
                <w:sz w:val="18"/>
                <w:szCs w:val="18"/>
                <w:color w:val="auto"/>
              </w:rPr>
              <w:t>495,197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12.1%</w:t>
            </w:r>
          </w:p>
        </w:tc>
      </w:tr>
      <w:tr>
        <w:trPr>
          <w:trHeight w:val="212"/>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4,309,410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1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4,343,283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(33,873)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2"/>
        </w:trPr>
        <w:tc>
          <w:tcPr>
            <w:tcW w:w="394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1700" w:type="dxa"/>
            <w:vAlign w:val="bottom"/>
            <w:gridSpan w:val="2"/>
          </w:tcPr>
          <w:p>
            <w:pPr>
              <w:jc w:val="right"/>
              <w:ind w:right="12"/>
              <w:spacing w:after="0"/>
              <w:rPr>
                <w:sz w:val="20"/>
                <w:szCs w:val="20"/>
                <w:color w:val="auto"/>
              </w:rPr>
            </w:pPr>
            <w:r>
              <w:rPr>
                <w:rFonts w:ascii="Arial" w:cs="Arial" w:eastAsia="Arial" w:hAnsi="Arial"/>
                <w:sz w:val="18"/>
                <w:szCs w:val="18"/>
                <w:color w:val="auto"/>
              </w:rPr>
              <w:t>1,054,914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120" w:type="dxa"/>
            <w:vAlign w:val="bottom"/>
            <w:gridSpan w:val="2"/>
          </w:tcPr>
          <w:p>
            <w:pPr>
              <w:jc w:val="right"/>
              <w:ind w:right="12"/>
              <w:spacing w:after="0"/>
              <w:rPr>
                <w:sz w:val="20"/>
                <w:szCs w:val="20"/>
                <w:color w:val="auto"/>
              </w:rPr>
            </w:pPr>
            <w:r>
              <w:rPr>
                <w:rFonts w:ascii="Arial" w:cs="Arial" w:eastAsia="Arial" w:hAnsi="Arial"/>
                <w:sz w:val="18"/>
                <w:szCs w:val="18"/>
                <w:color w:val="auto"/>
              </w:rPr>
              <w:t>1,000,576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120" w:type="dxa"/>
            <w:vAlign w:val="bottom"/>
            <w:gridSpan w:val="2"/>
          </w:tcPr>
          <w:p>
            <w:pPr>
              <w:jc w:val="right"/>
              <w:ind w:right="12"/>
              <w:spacing w:after="0"/>
              <w:rPr>
                <w:sz w:val="20"/>
                <w:szCs w:val="20"/>
                <w:color w:val="auto"/>
              </w:rPr>
            </w:pPr>
            <w:r>
              <w:rPr>
                <w:rFonts w:ascii="Arial" w:cs="Arial" w:eastAsia="Arial" w:hAnsi="Arial"/>
                <w:sz w:val="18"/>
                <w:szCs w:val="18"/>
                <w:color w:val="auto"/>
              </w:rPr>
              <w:t>54,338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12"/>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3,875,581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1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4,364,109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(488,528)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r>
    </w:tbl>
    <w:p>
      <w:pPr>
        <w:spacing w:after="0" w:line="226"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NTIC’s consolidated net sales increased 16.7% to $22,781,653 during fiscal 2012 compared to fiscal 2011. NTIC’s consolidated net sales to</w:t>
      </w:r>
      <w:r>
        <w:rPr>
          <w:rFonts w:ascii="Arial" w:cs="Arial" w:eastAsia="Arial" w:hAnsi="Arial"/>
          <w:sz w:val="18"/>
          <w:szCs w:val="18"/>
          <w:i w:val="1"/>
          <w:iCs w:val="1"/>
          <w:color w:val="auto"/>
        </w:rPr>
        <w:t xml:space="preserve"> </w:t>
      </w:r>
      <w:r>
        <w:rPr>
          <w:rFonts w:ascii="Arial" w:cs="Arial" w:eastAsia="Arial" w:hAnsi="Arial"/>
          <w:sz w:val="18"/>
          <w:szCs w:val="18"/>
          <w:color w:val="auto"/>
        </w:rPr>
        <w:t>unaffiliated customers excluding NTIC’s joint ventures increased 21.9% to $20,227,719 during fiscal 2012 compared to fiscal 2011. These increases were primarily a result of increased sales made by Zerust Brazil and increased sales of Natur-Tec® products and ZERUST® rust and corrosion inhibiting packaging products and services. Net sales to joint ventures decreased 12.9% to $2,553,934 in fiscal 2012 compared to fiscal 2011. These decreases were due primarily to the decreases in sales of the joint ventures.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by product segment for fiscal 2012 and fiscal 2011: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32"/>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w:t>
            </w: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Fiscal 2012</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7"/>
              </w:rPr>
              <w:t>Fiscal 2011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Change</w:t>
            </w:r>
          </w:p>
        </w:tc>
      </w:tr>
      <w:tr>
        <w:trPr>
          <w:trHeight w:val="206"/>
        </w:trPr>
        <w:tc>
          <w:tcPr>
            <w:tcW w:w="20" w:type="dxa"/>
            <w:vAlign w:val="bottom"/>
          </w:tcPr>
          <w:p>
            <w:pPr>
              <w:spacing w:after="0"/>
              <w:rPr>
                <w:sz w:val="17"/>
                <w:szCs w:val="17"/>
                <w:color w:val="auto"/>
              </w:rPr>
            </w:pPr>
          </w:p>
        </w:tc>
        <w:tc>
          <w:tcPr>
            <w:tcW w:w="4200" w:type="dxa"/>
            <w:vAlign w:val="bottom"/>
            <w:shd w:val="clear" w:color="auto" w:fill="CCEEFF"/>
          </w:tcPr>
          <w:p>
            <w:pPr>
              <w:spacing w:after="0" w:line="205" w:lineRule="exact"/>
              <w:rPr>
                <w:sz w:val="20"/>
                <w:szCs w:val="20"/>
                <w:color w:val="auto"/>
              </w:rPr>
            </w:pPr>
            <w:r>
              <w:rPr>
                <w:rFonts w:ascii="Arial" w:cs="Arial" w:eastAsia="Arial" w:hAnsi="Arial"/>
                <w:sz w:val="17"/>
                <w:szCs w:val="17"/>
                <w:color w:val="auto"/>
              </w:rPr>
              <w:t>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net sales</w:t>
            </w:r>
          </w:p>
        </w:tc>
        <w:tc>
          <w:tcPr>
            <w:tcW w:w="3800" w:type="dxa"/>
            <w:vAlign w:val="bottom"/>
            <w:gridSpan w:val="2"/>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$ 20,971,275</w:t>
            </w:r>
          </w:p>
        </w:tc>
        <w:tc>
          <w:tcPr>
            <w:tcW w:w="1120" w:type="dxa"/>
            <w:vAlign w:val="bottom"/>
            <w:gridSpan w:val="2"/>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99"/>
              </w:rPr>
              <w:t>$18,542,523</w:t>
            </w:r>
          </w:p>
        </w:tc>
        <w:tc>
          <w:tcPr>
            <w:tcW w:w="240" w:type="dxa"/>
            <w:vAlign w:val="bottom"/>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w w:val="92"/>
              </w:rPr>
              <w:t>2,428,752</w:t>
            </w:r>
          </w:p>
        </w:tc>
        <w:tc>
          <w:tcPr>
            <w:tcW w:w="11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13.1%</w:t>
            </w:r>
          </w:p>
        </w:tc>
      </w:tr>
      <w:tr>
        <w:trPr>
          <w:trHeight w:val="239"/>
        </w:trPr>
        <w:tc>
          <w:tcPr>
            <w:tcW w:w="20" w:type="dxa"/>
            <w:vAlign w:val="bottom"/>
          </w:tcPr>
          <w:p>
            <w:pPr>
              <w:spacing w:after="0"/>
              <w:rPr>
                <w:sz w:val="20"/>
                <w:szCs w:val="20"/>
                <w:color w:val="auto"/>
              </w:rPr>
            </w:pPr>
          </w:p>
        </w:tc>
        <w:tc>
          <w:tcPr>
            <w:tcW w:w="4200" w:type="dxa"/>
            <w:vAlign w:val="bottom"/>
            <w:tcBorders>
              <w:bottom w:val="single" w:sz="8" w:color="auto"/>
            </w:tcBorders>
          </w:tcPr>
          <w:p>
            <w:pPr>
              <w:spacing w:after="0" w:line="239" w:lineRule="exact"/>
              <w:rPr>
                <w:sz w:val="20"/>
                <w:szCs w:val="20"/>
                <w:color w:val="auto"/>
              </w:rPr>
            </w:pPr>
            <w:r>
              <w:rPr>
                <w:rFonts w:ascii="Arial" w:cs="Arial" w:eastAsia="Arial" w:hAnsi="Arial"/>
                <w:sz w:val="18"/>
                <w:szCs w:val="18"/>
                <w:color w:val="auto"/>
              </w:rPr>
              <w:t>Natur-Tec</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sales</w:t>
            </w:r>
          </w:p>
        </w:tc>
        <w:tc>
          <w:tcPr>
            <w:tcW w:w="38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color w:val="auto"/>
              </w:rPr>
              <w:t>1,810,378</w:t>
            </w:r>
          </w:p>
        </w:tc>
        <w:tc>
          <w:tcPr>
            <w:tcW w:w="11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984,004</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826,374</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84.0%</w:t>
            </w:r>
          </w:p>
        </w:tc>
      </w:tr>
      <w:tr>
        <w:trPr>
          <w:trHeight w:val="205"/>
        </w:trPr>
        <w:tc>
          <w:tcPr>
            <w:tcW w:w="20" w:type="dxa"/>
            <w:vAlign w:val="bottom"/>
          </w:tcPr>
          <w:p>
            <w:pPr>
              <w:spacing w:after="0"/>
              <w:rPr>
                <w:sz w:val="17"/>
                <w:szCs w:val="17"/>
                <w:color w:val="auto"/>
              </w:rPr>
            </w:pPr>
          </w:p>
        </w:tc>
        <w:tc>
          <w:tcPr>
            <w:tcW w:w="42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Total net sales</w:t>
            </w:r>
          </w:p>
        </w:tc>
        <w:tc>
          <w:tcPr>
            <w:tcW w:w="3800" w:type="dxa"/>
            <w:vAlign w:val="bottom"/>
            <w:gridSpan w:val="2"/>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$ 22,781,653</w:t>
            </w:r>
          </w:p>
        </w:tc>
        <w:tc>
          <w:tcPr>
            <w:tcW w:w="1120" w:type="dxa"/>
            <w:vAlign w:val="bottom"/>
            <w:gridSpan w:val="2"/>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99"/>
              </w:rPr>
              <w:t>$19,526,527</w:t>
            </w:r>
          </w:p>
        </w:tc>
        <w:tc>
          <w:tcPr>
            <w:tcW w:w="240" w:type="dxa"/>
            <w:vAlign w:val="bottom"/>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w w:val="92"/>
              </w:rPr>
              <w:t>3,255,126</w:t>
            </w:r>
          </w:p>
        </w:tc>
        <w:tc>
          <w:tcPr>
            <w:tcW w:w="11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16.7%</w:t>
            </w:r>
          </w:p>
        </w:tc>
      </w:tr>
    </w:tbl>
    <w:p>
      <w:pPr>
        <w:spacing w:after="0" w:line="225" w:lineRule="exact"/>
        <w:rPr>
          <w:sz w:val="20"/>
          <w:szCs w:val="20"/>
          <w:color w:val="auto"/>
        </w:rPr>
      </w:pPr>
    </w:p>
    <w:p>
      <w:pPr>
        <w:ind w:right="60"/>
        <w:spacing w:after="0" w:line="224" w:lineRule="auto"/>
        <w:rPr>
          <w:sz w:val="20"/>
          <w:szCs w:val="20"/>
          <w:color w:val="auto"/>
        </w:rPr>
      </w:pPr>
      <w:r>
        <w:rPr>
          <w:rFonts w:ascii="Arial" w:cs="Arial" w:eastAsia="Arial" w:hAnsi="Arial"/>
          <w:sz w:val="17"/>
          <w:szCs w:val="17"/>
          <w:color w:val="auto"/>
        </w:rPr>
        <w:t>During fiscal 2012, 92.1% of NTIC’s consolidated net sales were derived from sales of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products and services, which increased 13.1% to $20,971,275 during fiscal 2012 compared to $18,542,523 during fiscal 2011, due primarily from increased demand from existing customers and the addition of new customers. NTIC has focused its sales efforts of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products and services by strategically targeting customers with specific corrosion issues in new market areas, including the oil and gas industry and other industrial sectors that offer sizable growth opportunities.</w:t>
      </w:r>
    </w:p>
    <w:p>
      <w:pPr>
        <w:spacing w:after="0" w:line="230"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NTIC’s consolidated net sales during fiscal 2012 included $4,543,982 of sales made by Zerust Brazil, and of those sales, $2,466,000 in sales were made to the oil and gas industry sector in Brazil compared to $3,359,463 of sales made by Zerust Brazil during fiscal 2011, including sales of $997,426 to the oil and gas industry sector in Brazil. NTIC anticipates that its sales of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services into the oil and gas industry will remain subject to significant volatility from quarter to quarter as sales are converted and purchase orders are filled.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42" w:name="page43"/>
    <w:bookmarkEnd w:id="42"/>
    <w:p>
      <w:pPr>
        <w:spacing w:after="0" w:line="251" w:lineRule="auto"/>
        <w:rPr>
          <w:sz w:val="20"/>
          <w:szCs w:val="20"/>
          <w:color w:val="auto"/>
        </w:rPr>
      </w:pPr>
      <w:r>
        <w:rPr>
          <w:rFonts w:ascii="Arial" w:cs="Arial" w:eastAsia="Arial" w:hAnsi="Arial"/>
          <w:sz w:val="16"/>
          <w:szCs w:val="16"/>
          <w:color w:val="auto"/>
        </w:rPr>
        <w:t>During fiscal 2012, 7.9% of NTIC’s consolidated net sales were derived from sales of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which increased 84.0% to $1,810,378 during fiscal 2012 compared to $984,004 in fiscal 2011. This increase was due to increased sales to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distributors on the West Coast of the United States. NTIC has continued to strengthen and expand its West Coast distribution network in California, as well as expand its industrial distribution reach to geographical “green” hotspots such as Oregon, Washington, Minnesota and New England. Additionally, NTIC has continued to target key national and regional retailers utilizing independent sales agents. Demand for the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depends primarily on market acceptance and the extent of NTIC’s distribution network.</w:t>
      </w:r>
    </w:p>
    <w:p>
      <w:pPr>
        <w:spacing w:after="0" w:line="123"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increased 13.8% in fiscal 2012 compared to fiscal 2011 primarily as a result of the increase in net sales as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above. Cost of goods sold as a percentage of net sales decreased to 63.8% during fiscal 2012 compared to 65.4% during fiscal 2011 primarily as a result of increased sales by Zerust Brazil of higher average gross margin products.</w:t>
      </w:r>
    </w:p>
    <w:p>
      <w:pPr>
        <w:spacing w:after="0" w:line="215" w:lineRule="exact"/>
        <w:rPr>
          <w:sz w:val="20"/>
          <w:szCs w:val="20"/>
          <w:color w:val="auto"/>
        </w:rPr>
      </w:pPr>
    </w:p>
    <w:p>
      <w:pPr>
        <w:ind w:right="40"/>
        <w:spacing w:after="0" w:line="307" w:lineRule="auto"/>
        <w:rPr>
          <w:sz w:val="20"/>
          <w:szCs w:val="20"/>
          <w:color w:val="auto"/>
        </w:rPr>
      </w:pPr>
      <w:r>
        <w:rPr>
          <w:rFonts w:ascii="Arial" w:cs="Arial" w:eastAsia="Arial" w:hAnsi="Arial"/>
          <w:sz w:val="15"/>
          <w:szCs w:val="15"/>
          <w:i w:val="1"/>
          <w:iCs w:val="1"/>
          <w:color w:val="auto"/>
        </w:rPr>
        <w:t>Equity in Income of Joint Ventures</w:t>
      </w:r>
      <w:r>
        <w:rPr>
          <w:rFonts w:ascii="Arial" w:cs="Arial" w:eastAsia="Arial" w:hAnsi="Arial"/>
          <w:sz w:val="15"/>
          <w:szCs w:val="15"/>
          <w:color w:val="auto"/>
        </w:rPr>
        <w:t>. NTIC’s equity in income of joint ventures decreased 0.3% to $5,519,795 during fiscal 2012 compared to equity in income of</w:t>
      </w:r>
      <w:r>
        <w:rPr>
          <w:rFonts w:ascii="Arial" w:cs="Arial" w:eastAsia="Arial" w:hAnsi="Arial"/>
          <w:sz w:val="15"/>
          <w:szCs w:val="15"/>
          <w:i w:val="1"/>
          <w:iCs w:val="1"/>
          <w:color w:val="auto"/>
        </w:rPr>
        <w:t xml:space="preserve"> </w:t>
      </w:r>
      <w:r>
        <w:rPr>
          <w:rFonts w:ascii="Arial" w:cs="Arial" w:eastAsia="Arial" w:hAnsi="Arial"/>
          <w:sz w:val="15"/>
          <w:szCs w:val="15"/>
          <w:color w:val="auto"/>
        </w:rPr>
        <w:t>joint ventures of $5,536,243 during fiscal 2011. Of the total equity in income of joint ventures, NTIC had equity in income of joint ventures of $3,318,213 attributable to EXCOR during fiscal 2012 compared to $3,274,333 attributable to EXCOR during fiscal 2011. Of the total equity in income of joint ventures, NTIC had equity in income of joint ventures of $1,414,248 attributable to NTI ASEAN during fiscal 2012 compared to $1,212,250 attributable to NTI ASEAN during fiscal 2011. NTIC had equity in income of all other joint ventures of $787,334 during fiscal 2012 compared to $1,049,660 during fiscal 2011. As previously described, NTIC’s equity in income of joint ventures for fiscal 2012 was positively affected by the waiver of fees for services by the shareholders of NTIC’s joint venture in India, but negatively affected by the loss associated with the write down by HNTI of a Polymer Energy unit.</w:t>
      </w:r>
    </w:p>
    <w:p>
      <w:pPr>
        <w:spacing w:after="0" w:line="179"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i w:val="1"/>
          <w:iCs w:val="1"/>
          <w:color w:val="auto"/>
        </w:rPr>
        <w:t>Fees for Services Provided to Joint Ventures</w:t>
      </w:r>
      <w:r>
        <w:rPr>
          <w:rFonts w:ascii="Arial" w:cs="Arial" w:eastAsia="Arial" w:hAnsi="Arial"/>
          <w:sz w:val="17"/>
          <w:szCs w:val="17"/>
          <w:color w:val="auto"/>
        </w:rPr>
        <w:t>. NTIC recognized fee income for services provided to joint ventures of $4,622,912 during fiscal 2012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$6,129,979 during fiscal 2011, representing a decrease of 24.6%. This decrease was primarily a result of the waiver of fees for services provided to joint ventures by NTIC during fiscal 2012 as described previously and a 6.2% decrease in total net sales of NTIC’s joint ventures to $111,830,961 during fiscal 2012, compared to $119,276,553 for fiscal 2011. Total net sales of NTIC’s joint ventures were adversely affected in part by the European sovereign debt crises, which NTIC believes also adversely affected net sales of certain of NTIC’s other non-European joint ventures, as well as the weakening of the EURO and other currencies compared to the U.S. dollar. Sales of NTIC’s joint ventures are not included in NTIC’s product sales and are not combined with NTIC’s sales in NTIC’s consolidated financial statements or in any description of NTIC’s sales.</w:t>
      </w:r>
    </w:p>
    <w:p>
      <w:pPr>
        <w:spacing w:after="0" w:line="207"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Of the total fee income for services provided to its joint ventures, fees of $994,347 were attributable to EXCOR during fiscal 2012 compared to $1,066,659 attributable to EXCOR during fiscal 2011. This decrease was the result of foreign currency exchange rate fluctuations. NTIC does not receive fees attributable to NTI ASEAN. NTIC receives dividend payments based on fees paid from the joint ventures that comprise the NTI ASEAN investments. NTIC received fee income for services provided to all of its other joint ventures of $3,628,565 during fiscal 2012 compared to $5,063,320 during fiscal 2011.</w:t>
      </w:r>
    </w:p>
    <w:p>
      <w:pPr>
        <w:spacing w:after="0" w:line="17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i w:val="1"/>
          <w:iCs w:val="1"/>
          <w:color w:val="auto"/>
        </w:rPr>
        <w:t>Selling Expenses</w:t>
      </w:r>
      <w:r>
        <w:rPr>
          <w:rFonts w:ascii="Arial" w:cs="Arial" w:eastAsia="Arial" w:hAnsi="Arial"/>
          <w:sz w:val="17"/>
          <w:szCs w:val="17"/>
          <w:color w:val="auto"/>
        </w:rPr>
        <w:t>. NTIC’s selling expenses increased 12.1% in fiscal 2012 compared to fiscal 2011 due to increases in compensation and employee benefits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the number of employees in the sales function, lab testing related expenses, commissions expenses, travel and related expenses, consulting expenses and selling expenses incurred at Zerust Brazil. Selling expenses as a percentage of net sales decreased to 20.1% in fiscal 2012 compared to 21.0% in fiscal 2011 primarily due to the increase in net sales, partially offset by the increase in selling expenses as previously described.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43" w:name="page44"/>
    <w:bookmarkEnd w:id="43"/>
    <w:p>
      <w:pPr>
        <w:ind w:right="520"/>
        <w:spacing w:after="0" w:line="366" w:lineRule="auto"/>
        <w:rPr>
          <w:sz w:val="20"/>
          <w:szCs w:val="20"/>
          <w:color w:val="auto"/>
        </w:rPr>
      </w:pPr>
      <w:r>
        <w:rPr>
          <w:rFonts w:ascii="Arial" w:cs="Arial" w:eastAsia="Arial" w:hAnsi="Arial"/>
          <w:sz w:val="15"/>
          <w:szCs w:val="15"/>
          <w:i w:val="1"/>
          <w:iCs w:val="1"/>
          <w:color w:val="auto"/>
        </w:rPr>
        <w:t>General and Administrative Expenses</w:t>
      </w:r>
      <w:r>
        <w:rPr>
          <w:rFonts w:ascii="Arial" w:cs="Arial" w:eastAsia="Arial" w:hAnsi="Arial"/>
          <w:sz w:val="15"/>
          <w:szCs w:val="15"/>
          <w:color w:val="auto"/>
        </w:rPr>
        <w:t>. NTIC’s general and administrative expenses decreased by an immaterial amount in fiscal 2012 compared to fiscal</w:t>
      </w:r>
      <w:r>
        <w:rPr>
          <w:rFonts w:ascii="Arial" w:cs="Arial" w:eastAsia="Arial" w:hAnsi="Arial"/>
          <w:sz w:val="15"/>
          <w:szCs w:val="15"/>
          <w:i w:val="1"/>
          <w:iCs w:val="1"/>
          <w:color w:val="auto"/>
        </w:rPr>
        <w:t xml:space="preserve"> </w:t>
      </w:r>
      <w:r>
        <w:rPr>
          <w:rFonts w:ascii="Arial" w:cs="Arial" w:eastAsia="Arial" w:hAnsi="Arial"/>
          <w:sz w:val="15"/>
          <w:szCs w:val="15"/>
          <w:color w:val="auto"/>
        </w:rPr>
        <w:t>2011. As a percentage of net sales, general and administrative expenses decreased to 18.9% for fiscal 2012 from 22.2% in fiscal 2011.</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Expenses Incurred in Support of Joint Ventures</w:t>
      </w:r>
      <w:r>
        <w:rPr>
          <w:rFonts w:ascii="Arial" w:cs="Arial" w:eastAsia="Arial" w:hAnsi="Arial"/>
          <w:sz w:val="17"/>
          <w:szCs w:val="17"/>
          <w:color w:val="auto"/>
        </w:rPr>
        <w:t>. Expenses incurred in support of NTIC’s joint ventures were $1,054,914 during fiscal 2012 compared to</w:t>
      </w:r>
    </w:p>
    <w:p>
      <w:pPr>
        <w:spacing w:after="0" w:line="28"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$1,000,576 during fiscal 2011, representing an increase of 5.4%. This increase was due primarily to increased compensation and benefits expenses associated with increased headcount.</w:t>
      </w:r>
    </w:p>
    <w:p>
      <w:pPr>
        <w:spacing w:after="0" w:line="219" w:lineRule="exact"/>
        <w:rPr>
          <w:sz w:val="20"/>
          <w:szCs w:val="20"/>
          <w:color w:val="auto"/>
        </w:rPr>
      </w:pPr>
    </w:p>
    <w:p>
      <w:pPr>
        <w:ind w:right="60"/>
        <w:spacing w:after="0" w:line="366" w:lineRule="auto"/>
        <w:rPr>
          <w:sz w:val="20"/>
          <w:szCs w:val="20"/>
          <w:color w:val="auto"/>
        </w:rPr>
      </w:pPr>
      <w:r>
        <w:rPr>
          <w:rFonts w:ascii="Arial" w:cs="Arial" w:eastAsia="Arial" w:hAnsi="Arial"/>
          <w:sz w:val="15"/>
          <w:szCs w:val="15"/>
          <w:i w:val="1"/>
          <w:iCs w:val="1"/>
          <w:color w:val="auto"/>
        </w:rPr>
        <w:t>Research and Development Expenses</w:t>
      </w:r>
      <w:r>
        <w:rPr>
          <w:rFonts w:ascii="Arial" w:cs="Arial" w:eastAsia="Arial" w:hAnsi="Arial"/>
          <w:sz w:val="15"/>
          <w:szCs w:val="15"/>
          <w:color w:val="auto"/>
        </w:rPr>
        <w:t>. NTIC’s research and development expenses decreased 11.2% in fiscal 2012 compared to fiscal 2011. This decrease was</w:t>
      </w:r>
      <w:r>
        <w:rPr>
          <w:rFonts w:ascii="Arial" w:cs="Arial" w:eastAsia="Arial" w:hAnsi="Arial"/>
          <w:sz w:val="15"/>
          <w:szCs w:val="15"/>
          <w:i w:val="1"/>
          <w:iCs w:val="1"/>
          <w:color w:val="auto"/>
        </w:rPr>
        <w:t xml:space="preserve"> </w:t>
      </w:r>
      <w:r>
        <w:rPr>
          <w:rFonts w:ascii="Arial" w:cs="Arial" w:eastAsia="Arial" w:hAnsi="Arial"/>
          <w:sz w:val="15"/>
          <w:szCs w:val="15"/>
          <w:color w:val="auto"/>
        </w:rPr>
        <w:t>primarily due to decreases in consulting expenses partially offset by increased reimbursements related to certain research and development contracts.</w:t>
      </w:r>
    </w:p>
    <w:p>
      <w:pPr>
        <w:spacing w:after="0" w:line="137"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$54,652 in fiscal 2012 compared to $108,692 in fiscal 2011 primarily due to the lower investment returns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cash balances during the most recent periods.</w:t>
      </w:r>
    </w:p>
    <w:p>
      <w:pPr>
        <w:spacing w:after="0" w:line="206"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$29,388 in fiscal 2012 compared to $59,541 in fiscal 2011 primarily due to lower average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debt levels during the most recent periods.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Income Before Income Tax Expense</w:t>
      </w:r>
      <w:r>
        <w:rPr>
          <w:rFonts w:ascii="Arial" w:cs="Arial" w:eastAsia="Arial" w:hAnsi="Arial"/>
          <w:sz w:val="15"/>
          <w:szCs w:val="15"/>
          <w:color w:val="auto"/>
        </w:rPr>
        <w:t>. Income before income tax expense increased to $4,616,646 for fiscal 2012 compared to $4,768,155 for fiscal 2011.</w:t>
      </w:r>
    </w:p>
    <w:p>
      <w:pPr>
        <w:spacing w:after="0" w:line="278" w:lineRule="exact"/>
        <w:rPr>
          <w:sz w:val="20"/>
          <w:szCs w:val="20"/>
          <w:color w:val="auto"/>
        </w:rPr>
      </w:pPr>
    </w:p>
    <w:p>
      <w:pPr>
        <w:spacing w:after="0" w:line="263"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was $1,041,000 for fiscal 2012 compared to $706,000 during fiscal 2011 for an effective rate of 22.3 percent and 15.0</w:t>
      </w:r>
      <w:r>
        <w:rPr>
          <w:rFonts w:ascii="Arial" w:cs="Arial" w:eastAsia="Arial" w:hAnsi="Arial"/>
          <w:sz w:val="17"/>
          <w:szCs w:val="17"/>
          <w:i w:val="1"/>
          <w:iCs w:val="1"/>
          <w:color w:val="auto"/>
        </w:rPr>
        <w:t xml:space="preserve"> </w:t>
      </w:r>
      <w:r>
        <w:rPr>
          <w:rFonts w:ascii="Arial" w:cs="Arial" w:eastAsia="Arial" w:hAnsi="Arial"/>
          <w:sz w:val="17"/>
          <w:szCs w:val="17"/>
          <w:color w:val="auto"/>
        </w:rPr>
        <w:t>percent respectively. NTIC’s annual effective income tax rate during fiscal 2012 and 2011 was lower than the statutory rate primarily due to NTIC’s equity in income of joint ventures being recognized based on after-tax earnings of these entities. To the extent undistributed earnings of NTIC’s joint ventures are distributed to NTIC, it is not expected to result in any material additional income tax liability after the application of foreign tax credits. NTIC records a tax valuation allowance when it is more likely than not that some portion or all of its deferred tax assets will not be realized to reduce deferred tax assets to the amount expected to be realized. NTIC determined based on all available evidence, including historical data and projections of future results, that it is more likely than not that all of its deferred tax assets, except for its foreign tax credit carryforwards and federal and Minnesota research and development credit carryforwards, will be fully realized. During fiscal 2012, based upon all available evidence, including new IRS guidance, historical results, projected future taxable income and foreign tax credit utilization, it became evident that it was not more likely than not that the federal research and development credits would be utilized during the carryforward period and as a result, a valuation allowance was recorded against all of NTIC’s federal research and development credits. In addition, NTIC continues to believe that its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21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on the basis of estimates that future domestic cash generation will be sufficient to meet future domestic cash needs. As a result, U.S. income and foreign withholding taxes have not been recognized on the cumulative undistributed earnings of $18.1 million and $17.9 million at August 31, 2012 and 2011, respectively. To the extent undistributed earnings of NTIC’s joint ventures are distributed in the future, they are not expected to result in any material additional income tax liability after the application of foreign tax credits.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380"/>
          </w:cols>
          <w:pgMar w:left="240" w:top="273" w:right="279" w:bottom="1440" w:gutter="0" w:footer="0" w:header="0"/>
        </w:sectPr>
      </w:pPr>
    </w:p>
    <w:bookmarkStart w:id="44" w:name="page45"/>
    <w:bookmarkEnd w:id="44"/>
    <w:p>
      <w:pPr>
        <w:ind w:right="620"/>
        <w:spacing w:after="0" w:line="294" w:lineRule="auto"/>
        <w:rPr>
          <w:sz w:val="20"/>
          <w:szCs w:val="20"/>
          <w:color w:val="auto"/>
        </w:rPr>
      </w:pPr>
      <w:r>
        <w:rPr>
          <w:rFonts w:ascii="Arial" w:cs="Arial" w:eastAsia="Arial" w:hAnsi="Arial"/>
          <w:sz w:val="17"/>
          <w:szCs w:val="17"/>
          <w:i w:val="1"/>
          <w:iCs w:val="1"/>
          <w:color w:val="auto"/>
        </w:rPr>
        <w:t xml:space="preserve">Other Comprehensive Income - Foreign Currency Translations Adjustment. </w:t>
      </w:r>
      <w:r>
        <w:rPr>
          <w:rFonts w:ascii="Arial" w:cs="Arial" w:eastAsia="Arial" w:hAnsi="Arial"/>
          <w:sz w:val="17"/>
          <w:szCs w:val="17"/>
          <w:color w:val="auto"/>
        </w:rPr>
        <w:t>The volatility of the foreign currency translations adjustment was due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strengthening of the U.S. Dollar compared to the Euro and other foreign currencies during fiscal 2012 compared to fiscal 2011</w:t>
      </w:r>
      <w:r>
        <w:rPr>
          <w:rFonts w:ascii="Arial" w:cs="Arial" w:eastAsia="Arial" w:hAnsi="Arial"/>
          <w:sz w:val="17"/>
          <w:szCs w:val="17"/>
          <w:i w:val="1"/>
          <w:iCs w:val="1"/>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0" w:lineRule="exact"/>
        <w:rPr>
          <w:sz w:val="20"/>
          <w:szCs w:val="20"/>
          <w:color w:val="auto"/>
        </w:rPr>
      </w:pPr>
    </w:p>
    <w:p>
      <w:pPr>
        <w:ind w:right="320"/>
        <w:spacing w:after="0" w:line="265"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August 31, 2012, NTIC’s working capital was $10,060,081, including $4,137,547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working capital of $9,085,748, including $3,266,362 in cash and cash equivalents, as of August 31, 2011.</w:t>
      </w:r>
    </w:p>
    <w:p>
      <w:pPr>
        <w:spacing w:after="0" w:line="206"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As of August 31, 2012, NTIC had a term loan with a principal amount of $1,009,533 outstanding that Northern Technologies Holding Company, LLC (NTI LLC) obtained from PNC Bank, National Association (PNC Bank) in connection with the purchase of NTIC’s corporate headquarters in September 2006. The term loan matures on January 10, 2016, bears interest at an annual rate based on the daily LIBOR rate plus 2.15% and is payable in consecutive monthly installments equal to approximately $6,343 (inclusive of principal but exclusive of interest). The term loan is secured by a first lien on the real estate and building owned by NTI LLC and all of the assets of NTIC and is guaranteed by NTIC.</w:t>
      </w:r>
    </w:p>
    <w:p>
      <w:pPr>
        <w:spacing w:after="0" w:line="20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As of August 31, 2012, NTIC also had a revolving line of credit with PNC Bank of $3,000,000 with no amounts outstanding as of such date.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standby letters of credit issued under the subfacility are subject to customary fees and charges payable by NTIC. At the option of NTIC, outstanding advances under the line of credit bear interest at either (a) an annual rate based on LIBOR plus 2.15% for the applicable LIBOR interest period selected by NTIC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As of August 31, 2012, the interest rate on the line of credit was 3.20%.</w:t>
      </w:r>
    </w:p>
    <w:p>
      <w:pPr>
        <w:spacing w:after="0" w:line="2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term loan and the line of credit are governed under two separate loan agreements. The loan agreements contain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agreements, NTIC is subject to a minimum fixed charge coverage ratio of 1.10:1.00.</w:t>
      </w:r>
    </w:p>
    <w:p>
      <w:pPr>
        <w:spacing w:after="0" w:line="204"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On January 10, 2012, NTIC and PNC Bank entered into a Waiver and First Amendment to Loan Documents pursuant to which NTIC and PNC Bank amended the loan agreement and other documents evidencing NTIC’s $3,000,000 line of credit with PNC Bank effective as of January 11, 2012 to extend the maturity date of the line of credit from January 10, 2012 to January 9, 2013, and waive a technical covenant default by NTIC to deliver a compliance certificate for the period ended November 30, 2011. All other terms of the line of credit and the loan agreement and other documents evidencing the line of credit remain the same. It is anticipated that NTIC will renew the line of credit prior to the January 9, 2013 expiration date.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45" w:name="page46"/>
    <w:bookmarkEnd w:id="45"/>
    <w:p>
      <w:pPr>
        <w:spacing w:after="0" w:line="269" w:lineRule="auto"/>
        <w:rPr>
          <w:sz w:val="20"/>
          <w:szCs w:val="20"/>
          <w:color w:val="auto"/>
        </w:rPr>
      </w:pPr>
      <w:r>
        <w:rPr>
          <w:rFonts w:ascii="Arial" w:cs="Arial" w:eastAsia="Arial" w:hAnsi="Arial"/>
          <w:sz w:val="16"/>
          <w:szCs w:val="16"/>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capital expenditures, debt repayments and any stock repurchases for at least the next 12 months. During fiscal 2013, NTIC expects to continue to invest in research and development and in marketing efforts and resources into the application of its corrosion prevention technology into the oil and gas industry and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bio-plastics business.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209"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NTIC traditionally has used the cash generated from its operations, distributions of earnings and fees for services provided to its joint ventures to fund NTIC’s new technology investments and capital contributions to new and existing joint ventures. NTIC’s joint ventures traditionally have operated with little or no debt and have been self-financed with minimal initial capital investment and minimal additional capital investment from their respective owners. Therefore, NTIC believes it is not likely that there exists any exposure to debt by NTIC’s joint ventures that could materially impact their respective operations and/or liquidity.</w:t>
      </w:r>
    </w:p>
    <w:p>
      <w:pPr>
        <w:spacing w:after="0" w:line="17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i w:val="1"/>
          <w:iCs w:val="1"/>
          <w:color w:val="auto"/>
        </w:rPr>
        <w:t>Uses of Cash and Cash Flows</w:t>
      </w:r>
      <w:r>
        <w:rPr>
          <w:rFonts w:ascii="Arial" w:cs="Arial" w:eastAsia="Arial" w:hAnsi="Arial"/>
          <w:sz w:val="17"/>
          <w:szCs w:val="17"/>
          <w:color w:val="auto"/>
        </w:rPr>
        <w:t>. Net cash used in operating activities during fiscal 2012 was $388,693 which resulted principally from NTIC’s equity in income</w:t>
      </w:r>
      <w:r>
        <w:rPr>
          <w:rFonts w:ascii="Arial" w:cs="Arial" w:eastAsia="Arial" w:hAnsi="Arial"/>
          <w:sz w:val="17"/>
          <w:szCs w:val="17"/>
          <w:i w:val="1"/>
          <w:iCs w:val="1"/>
          <w:color w:val="auto"/>
        </w:rPr>
        <w:t xml:space="preserve"> </w:t>
      </w:r>
      <w:r>
        <w:rPr>
          <w:rFonts w:ascii="Arial" w:cs="Arial" w:eastAsia="Arial" w:hAnsi="Arial"/>
          <w:sz w:val="17"/>
          <w:szCs w:val="17"/>
          <w:color w:val="auto"/>
        </w:rPr>
        <w:t>from joint ventures and increases in receivables, inventories and prepaid expenses and a decrease in accounts payables, accrued liabilities and income taxes payable, partially offset by NTIC’s net income, depreciation and amortization. Net cash used in operating activities during fiscal 2011 was $1,136,223 which resulted principally from NTIC’s equity in income from joint ventures and increases in receivables, inventories and prepaid expenses and a decrease in accounts payables, partially offset by NTIC’s net income and increases in income taxes payable and accrued liabilities.</w:t>
      </w:r>
    </w:p>
    <w:p>
      <w:pPr>
        <w:spacing w:after="0" w:line="204"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46" w:name="page47"/>
    <w:bookmarkEnd w:id="46"/>
    <w:p>
      <w:pPr>
        <w:ind w:right="40"/>
        <w:spacing w:after="0" w:line="255" w:lineRule="auto"/>
        <w:rPr>
          <w:sz w:val="20"/>
          <w:szCs w:val="20"/>
          <w:color w:val="auto"/>
        </w:rPr>
      </w:pPr>
      <w:r>
        <w:rPr>
          <w:rFonts w:ascii="Arial" w:cs="Arial" w:eastAsia="Arial" w:hAnsi="Arial"/>
          <w:sz w:val="18"/>
          <w:szCs w:val="18"/>
          <w:color w:val="auto"/>
        </w:rPr>
        <w:t>NTIC experienced a slight increase in receivables and inventory as of August 31, 2012 compared to August 31, 2011 due to the increase in net sales and a desire to stock more products to shorten lead times and anticipate customer demand. Trade receivables excluding joint ventures as of August 31, 2012 increased $1,645 compared to August 31, 2011, primarily related to the increase in NTIC’s net sales.</w:t>
      </w:r>
    </w:p>
    <w:p>
      <w:pPr>
        <w:spacing w:after="0" w:line="215"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color w:val="auto"/>
        </w:rPr>
        <w:t>Outstanding trade receivables excluding joint ventures balances as of August 31, 2012 decreased 10 days to an average of 46 days from balances outstanding from these customers as of August 31, 2011.</w:t>
      </w:r>
    </w:p>
    <w:p>
      <w:pPr>
        <w:spacing w:after="0" w:line="20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Outstanding trade receivables from joint ventures as of August 31, 2012 decreased $415,123 compared to August 31, 2011, primarily due to the timing of payments, which resulted in a decrease of outstanding balances from trade receivables from joint ventures as of August 31, 2012 of 105 days from an average of 143 days from balances outstanding from these customers compared to August 31, 2011. The average days outstanding of trade receivables from joint ventures of 105 days as of August 31, 2012 are expected given that the joint ventures have standard terms of net 90 days.</w:t>
      </w:r>
    </w:p>
    <w:p>
      <w:pPr>
        <w:spacing w:after="0" w:line="20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Outstanding receivables for services provided to joint ventures as of August 31, 2012 decreased $812,978 as compared to August 31, 2011, primarily resulting from reduced amounts receivable from NTIC’s joint venture in India which resulted in a decrease of 23 days of fees receivable outstanding as of August 31, 2012 to an average of 104 days compared to August 31, 2011.</w:t>
      </w:r>
    </w:p>
    <w:p>
      <w:pPr>
        <w:spacing w:after="0" w:line="2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cash provided by investing activities during fiscal 2012 was $1,351,468 which was comprised of dividends received from joint ventures, partially offset by additions to property and equipment and additions to patents. Net cash provided by investing activities during fiscal 2011 was $2,184,915, which was comprised of dividends received from joint ventures and proceeds from sale of property and equipment partially offset by additions to property and equipment, additions to patents and investments in joint ventures.</w:t>
      </w:r>
    </w:p>
    <w:p>
      <w:pPr>
        <w:spacing w:after="0" w:line="218"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Net cash provided by financing activities during fiscal 2012 was $13,821, which resulted from proceeds from NTIC’s employee stock purchase plan, and, to a lesser extent, option exercises and, partially offset by principal payments on the bank loan for NTIC’s corporate headquarters buildings. Net cash provided by financing activities during fiscal 2011 was $408,719, which resulted from proceeds from option exercises and, to a lesser extent, NTIC’s employee stock purchase plan, partially offset by principal payments on the bank loan for NTIC’s corporate headquarters building.</w:t>
      </w:r>
    </w:p>
    <w:p>
      <w:pPr>
        <w:spacing w:after="0" w:line="204" w:lineRule="exact"/>
        <w:rPr>
          <w:sz w:val="20"/>
          <w:szCs w:val="20"/>
          <w:color w:val="auto"/>
        </w:rPr>
      </w:pPr>
    </w:p>
    <w:p>
      <w:pPr>
        <w:ind w:right="20"/>
        <w:spacing w:after="0" w:line="330" w:lineRule="auto"/>
        <w:rPr>
          <w:sz w:val="20"/>
          <w:szCs w:val="20"/>
          <w:color w:val="auto"/>
        </w:rPr>
      </w:pPr>
      <w:r>
        <w:rPr>
          <w:rFonts w:ascii="Arial" w:cs="Arial" w:eastAsia="Arial" w:hAnsi="Arial"/>
          <w:sz w:val="15"/>
          <w:szCs w:val="15"/>
          <w:i w:val="1"/>
          <w:iCs w:val="1"/>
          <w:color w:val="auto"/>
        </w:rPr>
        <w:t>Capital Expenditures and Commitments</w:t>
      </w:r>
      <w:r>
        <w:rPr>
          <w:rFonts w:ascii="Arial" w:cs="Arial" w:eastAsia="Arial" w:hAnsi="Arial"/>
          <w:sz w:val="15"/>
          <w:szCs w:val="15"/>
          <w:color w:val="auto"/>
        </w:rPr>
        <w:t>. NTIC had no material lease or other material capital commitments as of August 31, 2012, except a lease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entered into by NTI Facilities, Inc., a subsidiary of NTIC, for approximately 17,000 square feet of office, manufacturing, laboratory and warehouse space in Beachwood, Ohio, requiring monthly payments of $17,500, which are adjusted annually according to the annual consumer price index, through November 2014.</w:t>
      </w:r>
    </w:p>
    <w:p>
      <w:pPr>
        <w:spacing w:after="0" w:line="16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NTIC spent approximately $988,000 on capital expenditures during fiscal 2012 and expects to spend an aggregate of approximately $1,200,000 on capital expenditures during fiscal 2013. Such anticipated capital expenditures for fiscal 2013 relate primarily to the expansion of NTIC’s laboratory facilities in Circle Pines, Minnesota and the purchase of new equipment.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0" w:lineRule="exact"/>
        <w:rPr>
          <w:sz w:val="20"/>
          <w:szCs w:val="20"/>
          <w:color w:val="auto"/>
        </w:rPr>
      </w:pPr>
    </w:p>
    <w:p>
      <w:pPr>
        <w:jc w:val="both"/>
        <w:ind w:right="300"/>
        <w:spacing w:after="0" w:line="277"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historically has had little effect on NTIC. NTIC’s business has not historically been seasonal.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44" w:lineRule="exact"/>
        <w:rPr>
          <w:sz w:val="20"/>
          <w:szCs w:val="20"/>
          <w:color w:val="auto"/>
        </w:rPr>
      </w:pPr>
    </w:p>
    <w:p>
      <w:pPr>
        <w:ind w:right="160"/>
        <w:spacing w:after="0" w:line="307" w:lineRule="auto"/>
        <w:rPr>
          <w:sz w:val="20"/>
          <w:szCs w:val="20"/>
          <w:color w:val="auto"/>
        </w:rPr>
      </w:pPr>
      <w:r>
        <w:rPr>
          <w:rFonts w:ascii="Arial" w:cs="Arial" w:eastAsia="Arial" w:hAnsi="Arial"/>
          <w:sz w:val="15"/>
          <w:szCs w:val="15"/>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79" w:lineRule="exact"/>
        <w:rPr>
          <w:sz w:val="20"/>
          <w:szCs w:val="20"/>
          <w:color w:val="auto"/>
        </w:rPr>
      </w:pPr>
    </w:p>
    <w:p>
      <w:pPr>
        <w:ind w:right="340"/>
        <w:spacing w:after="0" w:line="265"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206" w:lineRule="exact"/>
        <w:rPr>
          <w:sz w:val="20"/>
          <w:szCs w:val="20"/>
          <w:color w:val="auto"/>
        </w:rPr>
      </w:pPr>
    </w:p>
    <w:p>
      <w:pPr>
        <w:jc w:val="both"/>
        <w:ind w:right="60"/>
        <w:spacing w:after="0" w:line="330" w:lineRule="auto"/>
        <w:rPr>
          <w:sz w:val="20"/>
          <w:szCs w:val="20"/>
          <w:color w:val="auto"/>
        </w:rPr>
      </w:pPr>
      <w:r>
        <w:rPr>
          <w:rFonts w:ascii="Arial" w:cs="Arial" w:eastAsia="Arial" w:hAnsi="Arial"/>
          <w:sz w:val="15"/>
          <w:szCs w:val="15"/>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August 31, 2012, NTIC had no borrowings under the line of credit.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5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Since NTIC’s joint ventures are considered related parties, NTIC records sales to its joint ventures as a separate line item on the face of NTIC’s consolidated statements of operations and records fees for services provided to its joint ventures and expenses incurred in support of its joint ventures as separate line items on the face of NTIC’s consolidated statements of operations. NTIC also records as separate line items trade receivables from joint ventures, receivables for fees for services provided to joint ventures and NTIC’s investments in joint ventures on its consolidated balance sheets.</w:t>
      </w:r>
    </w:p>
    <w:p>
      <w:pPr>
        <w:spacing w:after="0" w:line="20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NTIC established its joint venture network approximately 25 years ago as a method to increase its worldwide distribution network for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rust and corrosion inhibiting products and services. NTIC participates, either directly or indirectly, in 23 active joint venture arrangements in North America, Europe and Asia. Each of these joint ventures generally manufactures and markets finished products in the geographic territory to which it is assigned. NTIC’s joint venture partners are knowledgeable in the applicable environmental, labor, tax and other requisite regulations and laws of the respective foreign countries in which they operate, as well as the local customs and business practices. NTIC’s revenue recognition policy for sales to its joint ventures is the same as its policy for sales to unaffiliated customers.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48" w:name="page49"/>
    <w:bookmarkEnd w:id="48"/>
    <w:p>
      <w:pPr>
        <w:spacing w:after="0" w:line="304" w:lineRule="auto"/>
        <w:rPr>
          <w:sz w:val="20"/>
          <w:szCs w:val="20"/>
          <w:color w:val="auto"/>
        </w:rPr>
      </w:pPr>
      <w:r>
        <w:rPr>
          <w:rFonts w:ascii="Arial" w:cs="Arial" w:eastAsia="Arial" w:hAnsi="Arial"/>
          <w:sz w:val="15"/>
          <w:szCs w:val="15"/>
          <w:color w:val="auto"/>
        </w:rPr>
        <w:t>The fees for services received by NTIC from its joint ventures are generally determined based on either a flat fee or a percentage of net sales by NTIC’s joint ventures depending on local laws and tax regulations. With respect to NTIC’s German joint venture, NTIC receives an agreed upon quarterly fee for such services. With respect to NTIC’s ASEAN joint venture holding company, NTIC does not receive a fee for such services, but rather receives a bi-annual dividend based on available cash. NTIC records revenue related to fees for services provided to joint ventures when earned, amounts are determinable and collectability is reasonably assured. Under NTIC’s agreements with its joint ventures, fee amounts are earned when product is shipped from joint venture facilities. NTIC reviews the financial situation of each joint venture to assist in the likelihood of collections on amounts earned. From time to time, NTIC elects to account for such fees on a cash basis for certain joint ventures when uncertainty exists surrounding the collections of such fees, there are no fees being accounted for in this manner at present. The expenses incurred in support of its joint ventures are direct expenses that NTIC incurs related to its joint ventures and include such items as employee compensation and benefit expenses, travel expense, insurance, consulting expense, legal expense and lab supplies and testing expense.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NTIC’s consolidated financial statements for other related party transaction disclosures.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0"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4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 the accounts of Northern Technologies International Corporation, its wholly owned subsidiaries, NTI Facilities, Inc., Northern Technologies Holding Company, LLC and NTIC’s majority owned subsidiary in Brazil, Zerust Prevenção de Corrosão S.A. NTIC’s consolidated financial statements do not include the accounts of any of its joint ventures. NTIC’s consolidated financial statements do not include Polymer Energy LLC, in which NTIC holds a 62.5% ownership interest. Polymer Energy LLC had immaterial activity in fiscal 2012 and fiscal 2011.</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380"/>
          </w:cols>
          <w:pgMar w:left="240" w:top="273" w:right="2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Investments in Joint Ventures and Recoverability of Investments in Joint Ventures</w:t>
      </w:r>
    </w:p>
    <w:p>
      <w:pPr>
        <w:spacing w:after="0" w:line="244"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NTIC’s investments in its joint ventures are accounted for using the equity method. NTIC assesses its joint ventures for impairment on an annual basis as of August 31 of each year as part of its fiscal year end analysis. In addition to the annual review for impairment, NTIC reviews the operating results of each joint venture on a quarterly basis in comparison to its historical operating results and its accrual for fees for services provided to joint ventures. If the operating results of a joint venture do not meet NTIC’s financial performance expectations, an additional evaluation is performed on the joint venture. In addition to the annual assessments for impairment, non-periodic assessments for impairment may occur if cash remittances are less than accrued balances, a joint venture’s management requests capital or other events occur suggesting an other than temporary decline in value. If an investment were determined to be impaired, then a reserve would be created to reflect the impairment on the financial results of NTIC. NTIC’s evaluation of its investments in joint ventures requires NTIC to make assumptions about future cash flows of its joint ventures. These assumptions require significant judgment and actual results may differ from assumed or estimated amounts. NTIC’s investments in joint ventures were $21,461,492 as of August 31, 2012 and $20,559,509 as of August 31, 2011.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NTIC recognizes revenue from the sale of its products when persuasive evidence of an arrangement exists, the product has been delivered, the price is fixed and determinable and collection of the resulting receivable is reasonably assured. These criteria are met at the time of shipment when risk of loss and title pass to the customer, distributor or joint venture entity.</w:t>
      </w:r>
    </w:p>
    <w:p>
      <w:pPr>
        <w:spacing w:after="0" w:line="215"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With respect to recording revenue related to fees earned for services provided to NTIC’s joint ventures, NTIC recognizes revenue related to support of joint ventures when earned, amounts are determinable and collectability is reasonably assured. The support and services NTIC provides its joint ventures include consulting, travel, insurance, technical and marketing services to existing joint ventures, legal fees incurred in the establishment of new joint ventures, registration and promotion and legal defense of worldwide trademarks, and legal fees incurred in connection with the filing of patent applications. NTIC receives fees for these services it provides to its joint ventures based primarily on the net sales by NTIC’s joint ventures. The fees for support services received by NTIC from its joint ventures are generally determined based on either a flat fee or a percentage of net sales by NTIC’s joint ventures depending on local laws and tax regulations. Under NTIC’s agreements with its joint ventures, amounts are earned when product is shipped from joint venture facilities. NTIC reviews the financial situation of each of its joint ventures to assist in the likelihood of collections on amounts earned. NTIC elects to account for these fees on a cash basis for certain joint ventures when uncertainty exists surrounding the collections of such fees.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244"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Trade receivables arise from sales of NTIC’s products and services to NTIC’s joint ventures and to unaffiliated customers. Trade receivables from joint ventures arise from sales NTIC makes to its joint ventures of products and the essential additives required to make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industrial corrosion inhibiting products functional. Receivables for services to NTIC’s joint ventures are contractually based primarily on a percentage of the sales of the joint ventures and are intended to compensate NTIC for services NTIC provides to its joint ventures, including consulting, legal, travel, insurance, technical and marketing services.</w:t>
      </w:r>
    </w:p>
    <w:p>
      <w:pPr>
        <w:spacing w:after="0" w:line="212" w:lineRule="exact"/>
        <w:rPr>
          <w:sz w:val="20"/>
          <w:szCs w:val="20"/>
          <w:color w:val="auto"/>
        </w:rPr>
      </w:pPr>
    </w:p>
    <w:p>
      <w:pPr>
        <w:ind w:right="80"/>
        <w:spacing w:after="0" w:line="300" w:lineRule="auto"/>
        <w:rPr>
          <w:sz w:val="20"/>
          <w:szCs w:val="20"/>
          <w:color w:val="auto"/>
        </w:rPr>
      </w:pPr>
      <w:r>
        <w:rPr>
          <w:rFonts w:ascii="Arial" w:cs="Arial" w:eastAsia="Arial" w:hAnsi="Arial"/>
          <w:sz w:val="15"/>
          <w:szCs w:val="15"/>
          <w:color w:val="auto"/>
        </w:rPr>
        <w:t>Payment terms for NTIC’s unaffiliated customers are determined based on credit risk and vary by customer. NTIC typically offers standard payments terms to unaffiliated customers of net 30 days. Payment terms for NTIC’s joint ventures also are determined based on credit risk; however, additional consideration also is given to the individual joint venture due to the transportation time associated with ocean delivery of most products and certain other factors. NTIC typically offers payment terms to joint ventures of net 90 days. NTIC does not accrue interest on past due accounts receivable. NTIC reviews the credit histories of its customers, including its joint ventures, before extending unsecured credit. 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 history, current financial conditions of key customers and its joint ventures, and economic conditions. Based on this evaluation, NTIC establishes a reserve for specific accounts and notes receivable that it believes are uncollectible, as well as an estimate of uncollectible receivables not specifically known. Deterioration in the financial condition of any key customer or joint venture or a significant slowdown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or joint ventures, NTIC’s actual future losses from uncollectible accounts may differ from its estimates. In the event NTIC determined that a smaller or larger uncollectible accounts reserve is appropriate, NTIC would record a credit or charge to selling expense in the period that it made such a determination. Accounts receivable have been reduced by an allowance for uncollectible accounts of $20,000 as of August 31, 2012 and August 31, 2011.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Recoverability of Long-Lived Assets</w:t>
      </w:r>
    </w:p>
    <w:p>
      <w:pPr>
        <w:spacing w:after="0" w:line="244"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NTIC reviews its long-lived assets whenever events or changes in circumstances indicate the carrying amount of the assets may not be recoverable and determines potential impairment by comparing the carrying value of the assets with expected net cash flows expected to be provided by operating activities of the business or related products. If the sum of the expected undiscounted future net cash flows were less than the carrying value, NTIC would determine whether an impairment loss should be recognized. An impairment loss would be measured by comparing the amount by which the carrying value exceeds the fair value of the asset.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(Accumulated Other Comprehensive Income)</w:t>
      </w: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functional currency of each international joint venture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accumulated other comprehensive income.</w:t>
      </w:r>
    </w:p>
    <w:p>
      <w:pPr>
        <w:spacing w:after="0" w:line="198" w:lineRule="exact"/>
        <w:rPr>
          <w:sz w:val="20"/>
          <w:szCs w:val="20"/>
          <w:color w:val="auto"/>
        </w:rPr>
      </w:pPr>
    </w:p>
    <w:p>
      <w:pPr>
        <w:jc w:val="both"/>
        <w:ind w:right="200"/>
        <w:spacing w:after="0" w:line="330" w:lineRule="auto"/>
        <w:rPr>
          <w:sz w:val="20"/>
          <w:szCs w:val="20"/>
          <w:color w:val="auto"/>
        </w:rPr>
      </w:pPr>
      <w:r>
        <w:rPr>
          <w:rFonts w:ascii="Arial" w:cs="Arial" w:eastAsia="Arial" w:hAnsi="Arial"/>
          <w:sz w:val="15"/>
          <w:szCs w:val="15"/>
          <w:color w:val="auto"/>
        </w:rPr>
        <w:t>NTIC conducts all foreign transactions based on the U.S. dollar, except for its investments in various foreign joint ventures. Since NTIC’s investments in its joint ventures are accounted for using the equity method, any changes in foreign currency exchange rates would be reflected as a foreign currency translation adjustment and would not change the equity in income of joint ventures reflected in NTIC’s consolidated statement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NTIC recognizes compensation cost relating to share-based payment transactions, including grants of employee stock options and transactions under NTIC’s employee stock purchase plan in its consolidated financial statements. That cost is measured based on the fair value of the equity or liability instruments issued. NTIC measures the cost of employee services received in exchange for stock options or other stock-based awards based on the grant-date fair value of the award, and recognizes the cost over the period the employee is required to provide services for the award.</w:t>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320"/>
          </w:cols>
          <w:pgMar w:left="240" w:top="27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4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NTIC’s inventories consist primarily of production materials and finished goods. NTIC purchases production materials and finished goods based on forecasted demand and records inventory at the lower of cost or market. Cost is determined by the first-in, first-out (FIFO) method. Management regularly assesses inventory valuation based on current and forecasted usage, demand and pricing, customer inventory-related contractual obligations and other considerations. If actual results differ from management estimates with respect to the actual or projected selling of inventories at amounts less than their carrying amounts, NTIC would adjust its inventory balances accordingly.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3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This Item 7A is inapplicable to NTIC as a smaller reporting company and has been omitted pursuant to Item 305(e) of SEC Regulation S-K.</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280"/>
          </w:cols>
          <w:pgMar w:left="240" w:top="273" w:right="37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9"/>
        </w:trPr>
        <w:tc>
          <w:tcPr>
            <w:tcW w:w="8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700" w:type="dxa"/>
            <w:vAlign w:val="bottom"/>
            <w:gridSpan w:val="8"/>
          </w:tcPr>
          <w:p>
            <w:pPr>
              <w:ind w:left="300"/>
              <w:spacing w:after="0"/>
              <w:rPr>
                <w:sz w:val="20"/>
                <w:szCs w:val="20"/>
                <w:color w:val="auto"/>
              </w:rPr>
            </w:pPr>
            <w:r>
              <w:rPr>
                <w:rFonts w:ascii="Arial" w:cs="Arial" w:eastAsia="Arial" w:hAnsi="Arial"/>
                <w:sz w:val="18"/>
                <w:szCs w:val="18"/>
                <w:b w:val="1"/>
                <w:bCs w:val="1"/>
                <w:color w:val="auto"/>
              </w:rPr>
              <w:t>FINANCIAL STATEMENTS AND SUPPLEMENTARY DATA</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51"/>
        </w:trPr>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20" w:type="dxa"/>
            <w:vAlign w:val="bottom"/>
            <w:gridSpan w:val="6"/>
          </w:tcPr>
          <w:p>
            <w:pPr>
              <w:jc w:val="center"/>
              <w:ind w:right="1180"/>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1"/>
        </w:trPr>
        <w:tc>
          <w:tcPr>
            <w:tcW w:w="9520" w:type="dxa"/>
            <w:vAlign w:val="bottom"/>
            <w:gridSpan w:val="9"/>
          </w:tcPr>
          <w:p>
            <w:pPr>
              <w:spacing w:after="0"/>
              <w:rPr>
                <w:sz w:val="20"/>
                <w:szCs w:val="20"/>
                <w:color w:val="auto"/>
              </w:rPr>
            </w:pPr>
            <w:r>
              <w:rPr>
                <w:rFonts w:ascii="Arial" w:cs="Arial" w:eastAsia="Arial" w:hAnsi="Arial"/>
                <w:sz w:val="18"/>
                <w:szCs w:val="18"/>
                <w:color w:val="auto"/>
              </w:rPr>
              <w:t>The following items are included herein:</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2"/>
        </w:trPr>
        <w:tc>
          <w:tcPr>
            <w:tcW w:w="1540" w:type="dxa"/>
            <w:vAlign w:val="bottom"/>
            <w:gridSpan w:val="2"/>
          </w:tcPr>
          <w:p>
            <w:pPr>
              <w:spacing w:after="0"/>
              <w:rPr>
                <w:sz w:val="20"/>
                <w:szCs w:val="20"/>
                <w:color w:val="auto"/>
              </w:rPr>
            </w:pPr>
            <w:r>
              <w:rPr>
                <w:rFonts w:ascii="Arial" w:cs="Arial" w:eastAsia="Arial" w:hAnsi="Arial"/>
                <w:sz w:val="18"/>
                <w:szCs w:val="18"/>
                <w:color w:val="auto"/>
                <w:w w:val="87"/>
              </w:rPr>
              <w:t>Financial Statements:</w:t>
            </w:r>
          </w:p>
        </w:tc>
        <w:tc>
          <w:tcPr>
            <w:tcW w:w="7980" w:type="dxa"/>
            <w:vAlign w:val="bottom"/>
            <w:gridSpan w:val="7"/>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95"/>
              </w:rPr>
              <w:t>Page</w:t>
            </w:r>
          </w:p>
        </w:tc>
      </w:tr>
      <w:tr>
        <w:trPr>
          <w:trHeight w:val="20"/>
        </w:trPr>
        <w:tc>
          <w:tcPr>
            <w:tcW w:w="1540" w:type="dxa"/>
            <w:vAlign w:val="bottom"/>
            <w:gridSpan w:val="2"/>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404"/>
        </w:trPr>
        <w:tc>
          <w:tcPr>
            <w:tcW w:w="9520" w:type="dxa"/>
            <w:vAlign w:val="bottom"/>
            <w:gridSpan w:val="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Report of Independent Registered Public Accounting Firm</w:t>
              </w:r>
            </w:hyperlink>
          </w:p>
        </w:tc>
        <w:tc>
          <w:tcPr>
            <w:tcW w:w="190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0"/>
        </w:trPr>
        <w:tc>
          <w:tcPr>
            <w:tcW w:w="3100" w:type="dxa"/>
            <w:vAlign w:val="bottom"/>
            <w:gridSpan w:val="3"/>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2"/>
        </w:trPr>
        <w:tc>
          <w:tcPr>
            <w:tcW w:w="9520" w:type="dxa"/>
            <w:vAlign w:val="bottom"/>
            <w:gridSpan w:val="9"/>
          </w:tcPr>
          <w:p>
            <w:pPr>
              <w:spacing w:after="0" w:line="192" w:lineRule="exact"/>
              <w:rPr>
                <w:rFonts w:ascii="Arial" w:cs="Arial" w:eastAsia="Arial" w:hAnsi="Arial"/>
                <w:sz w:val="18"/>
                <w:szCs w:val="18"/>
                <w:color w:val="0000EE"/>
              </w:rPr>
            </w:pPr>
            <w:hyperlink w:anchor="page55">
              <w:r>
                <w:rPr>
                  <w:rFonts w:ascii="Arial" w:cs="Arial" w:eastAsia="Arial" w:hAnsi="Arial"/>
                  <w:sz w:val="18"/>
                  <w:szCs w:val="18"/>
                  <w:color w:val="0000EE"/>
                </w:rPr>
                <w:t>Consolidated Balance Sheets as of August 31, 2012 and 2011</w:t>
              </w:r>
            </w:hyperlink>
          </w:p>
        </w:tc>
        <w:tc>
          <w:tcPr>
            <w:tcW w:w="1900" w:type="dxa"/>
            <w:vAlign w:val="bottom"/>
            <w:gridSpan w:val="4"/>
          </w:tcPr>
          <w:p>
            <w:pPr>
              <w:jc w:val="right"/>
              <w:spacing w:after="0" w:line="192" w:lineRule="exact"/>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r>
      <w:tr>
        <w:trPr>
          <w:trHeight w:val="20"/>
        </w:trPr>
        <w:tc>
          <w:tcPr>
            <w:tcW w:w="3100" w:type="dxa"/>
            <w:vAlign w:val="bottom"/>
            <w:gridSpan w:val="3"/>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2"/>
        </w:trPr>
        <w:tc>
          <w:tcPr>
            <w:tcW w:w="6080" w:type="dxa"/>
            <w:vAlign w:val="bottom"/>
            <w:tcBorders>
              <w:bottom w:val="single" w:sz="8" w:color="0000EE"/>
            </w:tcBorders>
            <w:gridSpan w:val="7"/>
          </w:tcPr>
          <w:p>
            <w:pPr>
              <w:spacing w:after="0" w:line="192"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Consolidated Statements of Operations for the years ended August 31, 2012 and 2011</w:t>
              </w:r>
            </w:hyperlink>
          </w:p>
        </w:tc>
        <w:tc>
          <w:tcPr>
            <w:tcW w:w="3440" w:type="dxa"/>
            <w:vAlign w:val="bottom"/>
            <w:gridSpan w:val="2"/>
          </w:tcPr>
          <w:p>
            <w:pPr>
              <w:spacing w:after="0"/>
              <w:rPr>
                <w:sz w:val="16"/>
                <w:szCs w:val="16"/>
                <w:color w:val="auto"/>
              </w:rPr>
            </w:pPr>
          </w:p>
        </w:tc>
        <w:tc>
          <w:tcPr>
            <w:tcW w:w="172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53</w:t>
              </w:r>
            </w:hyperlink>
          </w:p>
        </w:tc>
      </w:tr>
      <w:tr>
        <w:trPr>
          <w:trHeight w:val="192"/>
        </w:trPr>
        <w:tc>
          <w:tcPr>
            <w:tcW w:w="9520" w:type="dxa"/>
            <w:vAlign w:val="bottom"/>
            <w:gridSpan w:val="9"/>
          </w:tcPr>
          <w:p>
            <w:pPr>
              <w:spacing w:after="0" w:line="192"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Statements of Equity for the years ended August 31, 2012 and 2011</w:t>
              </w:r>
            </w:hyperlink>
          </w:p>
        </w:tc>
        <w:tc>
          <w:tcPr>
            <w:tcW w:w="1900" w:type="dxa"/>
            <w:vAlign w:val="bottom"/>
            <w:gridSpan w:val="4"/>
          </w:tcPr>
          <w:p>
            <w:pPr>
              <w:jc w:val="right"/>
              <w:spacing w:after="0" w:line="192" w:lineRule="exact"/>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r>
      <w:tr>
        <w:trPr>
          <w:trHeight w:val="20"/>
        </w:trPr>
        <w:tc>
          <w:tcPr>
            <w:tcW w:w="3100" w:type="dxa"/>
            <w:vAlign w:val="bottom"/>
            <w:gridSpan w:val="3"/>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2"/>
        </w:trPr>
        <w:tc>
          <w:tcPr>
            <w:tcW w:w="9520" w:type="dxa"/>
            <w:vAlign w:val="bottom"/>
            <w:gridSpan w:val="9"/>
          </w:tcPr>
          <w:p>
            <w:pPr>
              <w:spacing w:after="0" w:line="192"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Cash Flows for the years ended August 31, 2012 and 2011</w:t>
              </w:r>
            </w:hyperlink>
          </w:p>
        </w:tc>
        <w:tc>
          <w:tcPr>
            <w:tcW w:w="1900" w:type="dxa"/>
            <w:vAlign w:val="bottom"/>
            <w:gridSpan w:val="4"/>
          </w:tcPr>
          <w:p>
            <w:pPr>
              <w:jc w:val="right"/>
              <w:spacing w:after="0" w:line="192" w:lineRule="exact"/>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r>
      <w:tr>
        <w:trPr>
          <w:trHeight w:val="20"/>
        </w:trPr>
        <w:tc>
          <w:tcPr>
            <w:tcW w:w="3100" w:type="dxa"/>
            <w:vAlign w:val="bottom"/>
            <w:gridSpan w:val="3"/>
            <w:shd w:val="clear" w:color="auto" w:fill="0000EE"/>
          </w:tcPr>
          <w:p>
            <w:pPr>
              <w:spacing w:after="0" w:line="20" w:lineRule="exact"/>
              <w:rPr>
                <w:sz w:val="1"/>
                <w:szCs w:val="1"/>
                <w:color w:val="auto"/>
              </w:rPr>
            </w:pPr>
          </w:p>
        </w:tc>
        <w:tc>
          <w:tcPr>
            <w:tcW w:w="3020" w:type="dxa"/>
            <w:vAlign w:val="bottom"/>
            <w:gridSpan w:val="5"/>
            <w:shd w:val="clear" w:color="auto" w:fill="0000E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2"/>
        </w:trPr>
        <w:tc>
          <w:tcPr>
            <w:tcW w:w="3100" w:type="dxa"/>
            <w:vAlign w:val="bottom"/>
            <w:tcBorders>
              <w:bottom w:val="single" w:sz="8" w:color="0000EE"/>
            </w:tcBorders>
            <w:gridSpan w:val="3"/>
          </w:tcPr>
          <w:p>
            <w:pPr>
              <w:spacing w:after="0" w:line="192"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Notes to Consolidated Financial Statements</w:t>
              </w:r>
            </w:hyperlink>
          </w:p>
        </w:tc>
        <w:tc>
          <w:tcPr>
            <w:tcW w:w="3020" w:type="dxa"/>
            <w:vAlign w:val="bottom"/>
            <w:gridSpan w:val="5"/>
          </w:tcPr>
          <w:p>
            <w:pPr>
              <w:spacing w:after="0"/>
              <w:rPr>
                <w:sz w:val="16"/>
                <w:szCs w:val="16"/>
                <w:color w:val="auto"/>
              </w:rPr>
            </w:pPr>
          </w:p>
        </w:tc>
        <w:tc>
          <w:tcPr>
            <w:tcW w:w="3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20" w:type="dxa"/>
            <w:vAlign w:val="bottom"/>
            <w:tcBorders>
              <w:bottom w:val="single" w:sz="8" w:color="0000EE"/>
            </w:tcBorders>
            <w:gridSpan w:val="3"/>
          </w:tcPr>
          <w:p>
            <w:pPr>
              <w:jc w:val="right"/>
              <w:spacing w:after="0" w:line="192" w:lineRule="exact"/>
              <w:rPr>
                <w:rFonts w:ascii="Arial" w:cs="Arial" w:eastAsia="Arial" w:hAnsi="Arial"/>
                <w:sz w:val="18"/>
                <w:szCs w:val="18"/>
                <w:color w:val="0000EE"/>
                <w:w w:val="86"/>
              </w:rPr>
            </w:pPr>
            <w:hyperlink w:anchor="page59">
              <w:r>
                <w:rPr>
                  <w:rFonts w:ascii="Arial" w:cs="Arial" w:eastAsia="Arial" w:hAnsi="Arial"/>
                  <w:sz w:val="18"/>
                  <w:szCs w:val="18"/>
                  <w:color w:val="0000EE"/>
                  <w:w w:val="86"/>
                </w:rPr>
                <w:t>56-72</w:t>
              </w:r>
            </w:hyperlink>
          </w:p>
        </w:tc>
      </w:tr>
      <w:tr>
        <w:trPr>
          <w:trHeight w:val="854"/>
        </w:trPr>
        <w:tc>
          <w:tcPr>
            <w:tcW w:w="820" w:type="dxa"/>
            <w:vAlign w:val="bottom"/>
          </w:tcPr>
          <w:p>
            <w:pPr>
              <w:spacing w:after="0"/>
              <w:rPr>
                <w:sz w:val="24"/>
                <w:szCs w:val="24"/>
                <w:color w:val="auto"/>
              </w:rPr>
            </w:pPr>
          </w:p>
        </w:tc>
        <w:tc>
          <w:tcPr>
            <w:tcW w:w="5260" w:type="dxa"/>
            <w:vAlign w:val="bottom"/>
            <w:gridSpan w:val="6"/>
          </w:tcPr>
          <w:p>
            <w:pPr>
              <w:jc w:val="right"/>
              <w:ind w:right="28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44"/>
        </w:trPr>
        <w:tc>
          <w:tcPr>
            <w:tcW w:w="82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156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42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3400" w:type="dxa"/>
            <w:vAlign w:val="bottom"/>
            <w:tcBorders>
              <w:bottom w:val="single" w:sz="8" w:color="808080"/>
            </w:tcBorders>
          </w:tcPr>
          <w:p>
            <w:pPr>
              <w:spacing w:after="0"/>
              <w:rPr>
                <w:sz w:val="12"/>
                <w:szCs w:val="12"/>
                <w:color w:val="auto"/>
              </w:rPr>
            </w:pPr>
          </w:p>
        </w:tc>
        <w:tc>
          <w:tcPr>
            <w:tcW w:w="148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-37465</wp:posOffset>
            </wp:positionV>
            <wp:extent cx="1270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wp:posOffset>
            </wp:positionV>
            <wp:extent cx="1270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53" w:name="page54"/>
    <w:bookmarkEnd w:id="53"/>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Audit Committee and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Northern Technologies International Corporation and Subsidiaries</w:t>
      </w:r>
    </w:p>
    <w:p>
      <w:pPr>
        <w:spacing w:after="0" w:line="232" w:lineRule="exact"/>
        <w:rPr>
          <w:sz w:val="20"/>
          <w:szCs w:val="20"/>
          <w:color w:val="auto"/>
        </w:rPr>
      </w:pPr>
    </w:p>
    <w:p>
      <w:pPr>
        <w:ind w:right="40"/>
        <w:spacing w:after="0" w:line="330" w:lineRule="auto"/>
        <w:rPr>
          <w:sz w:val="20"/>
          <w:szCs w:val="20"/>
          <w:color w:val="auto"/>
        </w:rPr>
      </w:pPr>
      <w:r>
        <w:rPr>
          <w:rFonts w:ascii="Arial" w:cs="Arial" w:eastAsia="Arial" w:hAnsi="Arial"/>
          <w:sz w:val="15"/>
          <w:szCs w:val="15"/>
          <w:color w:val="auto"/>
        </w:rPr>
        <w:t>We have audited the accompanying consolidated balance sheets of Northern Technologies International Corporation and Subsidiaries as of August 31, 2012 and 2011, and the related consolidated statements of operations, equity and cash flows for the years then ended. These consolidated financial statements are the responsibility of the Company’s management. Our responsibility is to express an opinion on these consolidated financial statements based on our audits.</w:t>
      </w:r>
    </w:p>
    <w:p>
      <w:pPr>
        <w:spacing w:after="0" w:line="16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the Company’s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209"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Northern Technologies International Corporation and Subsidiaries as of August 31, 2012 and 2011 and the results of their operations and their cash flows for the years then ended, in conformity with accounting principles generally accepted in the United States of America.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Baker Tilly Virchow Krause, LLP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November 19, 2012</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360"/>
          </w:cols>
          <w:pgMar w:left="240" w:top="267" w:right="299" w:bottom="1440" w:gutter="0" w:footer="0" w:header="0"/>
        </w:sectPr>
      </w:pPr>
    </w:p>
    <w:bookmarkStart w:id="54" w:name="page55"/>
    <w:bookmarkEnd w:id="54"/>
    <w:p>
      <w:pPr>
        <w:ind w:right="2840"/>
        <w:spacing w:after="0" w:line="237" w:lineRule="auto"/>
        <w:rPr>
          <w:sz w:val="20"/>
          <w:szCs w:val="20"/>
          <w:color w:val="auto"/>
        </w:rPr>
      </w:pPr>
      <w:r>
        <w:rPr>
          <w:rFonts w:ascii="Arial" w:cs="Arial" w:eastAsia="Arial" w:hAnsi="Arial"/>
          <w:sz w:val="21"/>
          <w:szCs w:val="21"/>
          <w:b w:val="1"/>
          <w:bCs w:val="1"/>
          <w:color w:val="auto"/>
        </w:rPr>
        <w:t xml:space="preserve">NORTHERN TECHNOLOGIES INTERNATIONAL CORPORATION AND SUBSIDIARIES </w:t>
      </w:r>
      <w:r>
        <w:rPr>
          <w:rFonts w:ascii="Arial" w:cs="Arial" w:eastAsia="Arial" w:hAnsi="Arial"/>
          <w:sz w:val="17"/>
          <w:szCs w:val="17"/>
          <w:b w:val="1"/>
          <w:bCs w:val="1"/>
          <w:color w:val="auto"/>
        </w:rPr>
        <w:t>CONSOLIDATED BALANCE SHEETS - AUGUST 31, 2012 AND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73113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11390"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91"/>
              </w:rPr>
              <w:t>August 31, 2012</w:t>
            </w:r>
          </w:p>
        </w:tc>
        <w:tc>
          <w:tcPr>
            <w:tcW w:w="1400" w:type="dxa"/>
            <w:vAlign w:val="bottom"/>
            <w:gridSpan w:val="3"/>
          </w:tcPr>
          <w:p>
            <w:pPr>
              <w:ind w:left="120"/>
              <w:spacing w:after="0"/>
              <w:rPr>
                <w:sz w:val="20"/>
                <w:szCs w:val="20"/>
                <w:color w:val="auto"/>
              </w:rPr>
            </w:pPr>
            <w:r>
              <w:rPr>
                <w:rFonts w:ascii="Arial" w:cs="Arial" w:eastAsia="Arial" w:hAnsi="Arial"/>
                <w:sz w:val="18"/>
                <w:szCs w:val="18"/>
                <w:b w:val="1"/>
                <w:bCs w:val="1"/>
                <w:color w:val="auto"/>
                <w:w w:val="91"/>
              </w:rPr>
              <w:t>August 31, 2011</w:t>
            </w:r>
          </w:p>
        </w:tc>
        <w:tc>
          <w:tcPr>
            <w:tcW w:w="0" w:type="dxa"/>
            <w:vAlign w:val="bottom"/>
          </w:tcPr>
          <w:p>
            <w:pPr>
              <w:spacing w:after="0"/>
              <w:rPr>
                <w:sz w:val="1"/>
                <w:szCs w:val="1"/>
                <w:color w:val="auto"/>
              </w:rPr>
            </w:pPr>
          </w:p>
        </w:tc>
      </w:tr>
      <w:tr>
        <w:trPr>
          <w:trHeight w:val="194"/>
        </w:trPr>
        <w:tc>
          <w:tcPr>
            <w:tcW w:w="8740" w:type="dxa"/>
            <w:vAlign w:val="bottom"/>
            <w:gridSpan w:val="2"/>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4,137,547</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3,266,362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ind w:left="62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20" w:type="dxa"/>
            <w:vAlign w:val="bottom"/>
            <w:shd w:val="clear" w:color="auto" w:fill="CCEEFF"/>
          </w:tcPr>
          <w:p>
            <w:pPr>
              <w:ind w:left="940"/>
              <w:spacing w:after="0" w:line="200" w:lineRule="exact"/>
              <w:rPr>
                <w:sz w:val="20"/>
                <w:szCs w:val="20"/>
                <w:color w:val="auto"/>
              </w:rPr>
            </w:pPr>
            <w:r>
              <w:rPr>
                <w:rFonts w:ascii="Arial" w:cs="Arial" w:eastAsia="Arial" w:hAnsi="Arial"/>
                <w:sz w:val="18"/>
                <w:szCs w:val="18"/>
                <w:color w:val="auto"/>
                <w:w w:val="94"/>
              </w:rPr>
              <w:t>Trade excluding joint ventures, less allowance for doubtful accounts of $20,000 at August 31, 2012 and</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2011</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2,516,961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2,515,316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ind w:left="940"/>
              <w:spacing w:after="0"/>
              <w:rPr>
                <w:sz w:val="20"/>
                <w:szCs w:val="20"/>
                <w:color w:val="auto"/>
              </w:rPr>
            </w:pPr>
            <w:r>
              <w:rPr>
                <w:rFonts w:ascii="Arial" w:cs="Arial" w:eastAsia="Arial" w:hAnsi="Arial"/>
                <w:sz w:val="18"/>
                <w:szCs w:val="18"/>
                <w:color w:val="auto"/>
              </w:rPr>
              <w:t>Trade joint ventures</w:t>
            </w: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734,543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1,149,666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Fees for services provided to joint ventures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1,316,933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2,129,911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ind w:left="94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58,129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4,151,197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3,842,854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ind w:left="62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548,331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364,805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7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596,085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221,600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20" w:type="dxa"/>
            <w:vAlign w:val="bottom"/>
          </w:tcPr>
          <w:p>
            <w:pPr>
              <w:ind w:left="12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14,059,726</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13,490,514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4,288,618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3,636,335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ind w:left="30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Investments in joint ventures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21,461,492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20,559,509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ind w:left="6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1,030,610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1,410,700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Patents and trademarks, net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961,181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903,038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720" w:type="dxa"/>
            <w:vAlign w:val="bottom"/>
          </w:tcPr>
          <w:p>
            <w:pPr>
              <w:ind w:left="6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76,000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39,646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Total 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23,529,283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22,912,893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20" w:type="dxa"/>
            <w:vAlign w:val="bottom"/>
          </w:tcPr>
          <w:p>
            <w:pPr>
              <w:ind w:left="126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41,877,627</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40,039,742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tcPr>
          <w:p>
            <w:pPr>
              <w:spacing w:after="0"/>
              <w:rPr>
                <w:sz w:val="16"/>
                <w:szCs w:val="16"/>
                <w:color w:val="auto"/>
              </w:rPr>
            </w:pPr>
          </w:p>
        </w:tc>
        <w:tc>
          <w:tcPr>
            <w:tcW w:w="8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ind w:left="620"/>
              <w:spacing w:after="0"/>
              <w:rPr>
                <w:sz w:val="20"/>
                <w:szCs w:val="20"/>
                <w:color w:val="auto"/>
              </w:rPr>
            </w:pPr>
            <w:r>
              <w:rPr>
                <w:rFonts w:ascii="Arial" w:cs="Arial" w:eastAsia="Arial" w:hAnsi="Arial"/>
                <w:sz w:val="18"/>
                <w:szCs w:val="18"/>
                <w:color w:val="auto"/>
              </w:rPr>
              <w:t>Current portion of note payable (Note 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76,120</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76,119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1,818,309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2,032,614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ind w:left="620"/>
              <w:spacing w:after="0"/>
              <w:rPr>
                <w:sz w:val="20"/>
                <w:szCs w:val="20"/>
                <w:color w:val="auto"/>
              </w:rPr>
            </w:pPr>
            <w:r>
              <w:rPr>
                <w:rFonts w:ascii="Arial" w:cs="Arial" w:eastAsia="Arial" w:hAnsi="Arial"/>
                <w:sz w:val="18"/>
                <w:szCs w:val="18"/>
                <w:color w:val="auto"/>
              </w:rPr>
              <w:t>Income tax payable</w:t>
            </w: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195,762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ind w:left="940"/>
              <w:spacing w:after="0"/>
              <w:rPr>
                <w:sz w:val="20"/>
                <w:szCs w:val="20"/>
                <w:color w:val="auto"/>
              </w:rPr>
            </w:pPr>
            <w:r>
              <w:rPr>
                <w:rFonts w:ascii="Arial" w:cs="Arial" w:eastAsia="Arial" w:hAnsi="Arial"/>
                <w:sz w:val="18"/>
                <w:szCs w:val="18"/>
                <w:color w:val="auto"/>
              </w:rPr>
              <w:t>Payroll and related benefits</w:t>
            </w: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1,565,866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1,629,355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Deferred joint venture royalties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288,000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288,000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720" w:type="dxa"/>
            <w:vAlign w:val="bottom"/>
          </w:tcPr>
          <w:p>
            <w:pPr>
              <w:ind w:left="9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251,350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182,916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20" w:type="dxa"/>
            <w:vAlign w:val="bottom"/>
            <w:shd w:val="clear" w:color="auto" w:fill="CCEEFF"/>
          </w:tcPr>
          <w:p>
            <w:pPr>
              <w:ind w:left="1260"/>
              <w:spacing w:after="0" w:line="206" w:lineRule="exact"/>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rPr>
              <w:t>3,999,645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rPr>
              <w:t>4,404,766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NOTE PAYABLE, NET OF CURRENT PORTION (Note 7)</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933,413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1,009,533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COMMITMENTS AND CONTINGENCIES (Note 16)</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ind w:left="62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20" w:type="dxa"/>
            <w:vAlign w:val="bottom"/>
            <w:shd w:val="clear" w:color="auto" w:fill="CCEEFF"/>
          </w:tcPr>
          <w:p>
            <w:pPr>
              <w:ind w:left="620"/>
              <w:spacing w:after="0" w:line="200" w:lineRule="exact"/>
              <w:rPr>
                <w:sz w:val="20"/>
                <w:szCs w:val="20"/>
                <w:color w:val="auto"/>
              </w:rPr>
            </w:pPr>
            <w:r>
              <w:rPr>
                <w:rFonts w:ascii="Arial" w:cs="Arial" w:eastAsia="Arial" w:hAnsi="Arial"/>
                <w:sz w:val="18"/>
                <w:szCs w:val="18"/>
                <w:color w:val="auto"/>
                <w:w w:val="89"/>
              </w:rPr>
              <w:t>Common stock, $0.02 par value per share; authorized 10,000,000 shares; issued and outstanding 4,403,656 and</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7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4,353,058 , respectively</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88,073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87,061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ind w:left="6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11,130,966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10,137,809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25,260,034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21,811,838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720" w:type="dxa"/>
            <w:vAlign w:val="bottom"/>
          </w:tcPr>
          <w:p>
            <w:pPr>
              <w:ind w:left="62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277,583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2,496,940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20" w:type="dxa"/>
            <w:vAlign w:val="bottom"/>
            <w:shd w:val="clear" w:color="auto" w:fill="CCEEFF"/>
          </w:tcPr>
          <w:p>
            <w:pPr>
              <w:ind w:left="940"/>
              <w:spacing w:after="0" w:line="206" w:lineRule="exact"/>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rPr>
              <w:t>36,756,656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rPr>
              <w:t>34,533,648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720" w:type="dxa"/>
            <w:vAlign w:val="bottom"/>
          </w:tcPr>
          <w:p>
            <w:pPr>
              <w:ind w:left="6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187,913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91,795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36,944,569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34,625,443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20" w:type="dxa"/>
            <w:vAlign w:val="bottom"/>
          </w:tcPr>
          <w:p>
            <w:pPr>
              <w:ind w:left="940"/>
              <w:spacing w:after="0"/>
              <w:rPr>
                <w:sz w:val="20"/>
                <w:szCs w:val="20"/>
                <w:color w:val="auto"/>
              </w:rPr>
            </w:pPr>
            <w:r>
              <w:rPr>
                <w:rFonts w:ascii="Arial" w:cs="Arial" w:eastAsia="Arial" w:hAnsi="Arial"/>
                <w:sz w:val="18"/>
                <w:szCs w:val="18"/>
                <w:color w:val="auto"/>
              </w:rPr>
              <w:t>Total liabilities and equity</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41,877,627</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40,039,742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58" w:right="239" w:bottom="1440" w:gutter="0" w:footer="0" w:header="0"/>
        </w:sectPr>
      </w:pPr>
    </w:p>
    <w:bookmarkStart w:id="55" w:name="page56"/>
    <w:bookmarkEnd w:id="55"/>
    <w:p>
      <w:pPr>
        <w:spacing w:after="0"/>
        <w:rPr>
          <w:sz w:val="20"/>
          <w:szCs w:val="20"/>
          <w:color w:val="auto"/>
        </w:rPr>
      </w:pPr>
      <w:r>
        <w:rPr>
          <w:rFonts w:ascii="Arial" w:cs="Arial" w:eastAsia="Arial" w:hAnsi="Arial"/>
          <w:sz w:val="21"/>
          <w:szCs w:val="21"/>
          <w:b w:val="1"/>
          <w:bCs w:val="1"/>
          <w:color w:val="auto"/>
        </w:rPr>
        <w:t>NORTHERN TECHNOLOGIES INTERNATIONAL CORPORATION AND SUBSIDIARIES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2012 AND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2656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06"/>
        </w:trPr>
        <w:tc>
          <w:tcPr>
            <w:tcW w:w="7400" w:type="dxa"/>
            <w:vAlign w:val="bottom"/>
            <w:gridSpan w:val="2"/>
          </w:tcPr>
          <w:p>
            <w:pPr>
              <w:spacing w:after="0" w:line="206" w:lineRule="exact"/>
              <w:rPr>
                <w:sz w:val="20"/>
                <w:szCs w:val="20"/>
                <w:color w:val="auto"/>
              </w:rPr>
            </w:pPr>
            <w:r>
              <w:rPr>
                <w:rFonts w:ascii="Arial" w:cs="Arial" w:eastAsia="Arial" w:hAnsi="Arial"/>
                <w:sz w:val="18"/>
                <w:szCs w:val="18"/>
                <w:color w:val="auto"/>
              </w:rPr>
              <w:t>NET SALES:</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sales, excluding joint ventures</w:t>
            </w:r>
          </w:p>
        </w:tc>
        <w:tc>
          <w:tcPr>
            <w:tcW w:w="1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20,227,719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16,594,004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80" w:type="dxa"/>
            <w:vAlign w:val="bottom"/>
          </w:tcPr>
          <w:p>
            <w:pPr>
              <w:ind w:left="620"/>
              <w:spacing w:after="0"/>
              <w:rPr>
                <w:sz w:val="20"/>
                <w:szCs w:val="20"/>
                <w:color w:val="auto"/>
              </w:rPr>
            </w:pPr>
            <w:r>
              <w:rPr>
                <w:rFonts w:ascii="Arial" w:cs="Arial" w:eastAsia="Arial" w:hAnsi="Arial"/>
                <w:sz w:val="18"/>
                <w:szCs w:val="18"/>
                <w:color w:val="auto"/>
              </w:rPr>
              <w:t>Net sales, to joint ventures</w:t>
            </w:r>
          </w:p>
        </w:tc>
        <w:tc>
          <w:tcPr>
            <w:tcW w:w="1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2,553,934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2,932,523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80" w:type="dxa"/>
            <w:vAlign w:val="bottom"/>
            <w:shd w:val="clear" w:color="auto" w:fill="CCEEFF"/>
          </w:tcPr>
          <w:p>
            <w:pPr>
              <w:ind w:left="940"/>
              <w:spacing w:after="0" w:line="206" w:lineRule="exact"/>
              <w:rPr>
                <w:sz w:val="20"/>
                <w:szCs w:val="20"/>
                <w:color w:val="auto"/>
              </w:rPr>
            </w:pPr>
            <w:r>
              <w:rPr>
                <w:rFonts w:ascii="Arial" w:cs="Arial" w:eastAsia="Arial" w:hAnsi="Arial"/>
                <w:sz w:val="18"/>
                <w:szCs w:val="18"/>
                <w:color w:val="auto"/>
              </w:rPr>
              <w:t>Total net sales</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88"/>
              </w:rPr>
              <w:t>22,781,653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90"/>
              </w:rPr>
              <w:t>19,526,527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Cost of goods sold</w:t>
            </w:r>
          </w:p>
        </w:tc>
        <w:tc>
          <w:tcPr>
            <w:tcW w:w="1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14,528,785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0"/>
              </w:rPr>
              <w:t>12,768,640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80" w:type="dxa"/>
            <w:vAlign w:val="bottom"/>
          </w:tcPr>
          <w:p>
            <w:pPr>
              <w:ind w:left="940"/>
              <w:spacing w:after="0" w:line="206" w:lineRule="exact"/>
              <w:rPr>
                <w:sz w:val="20"/>
                <w:szCs w:val="20"/>
                <w:color w:val="auto"/>
              </w:rPr>
            </w:pPr>
            <w:r>
              <w:rPr>
                <w:rFonts w:ascii="Arial" w:cs="Arial" w:eastAsia="Arial" w:hAnsi="Arial"/>
                <w:sz w:val="18"/>
                <w:szCs w:val="18"/>
                <w:color w:val="auto"/>
              </w:rPr>
              <w:t>Gross profit</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2"/>
              <w:spacing w:after="0" w:line="206" w:lineRule="exact"/>
              <w:rPr>
                <w:sz w:val="20"/>
                <w:szCs w:val="20"/>
                <w:color w:val="auto"/>
              </w:rPr>
            </w:pPr>
            <w:r>
              <w:rPr>
                <w:rFonts w:ascii="Arial" w:cs="Arial" w:eastAsia="Arial" w:hAnsi="Arial"/>
                <w:sz w:val="18"/>
                <w:szCs w:val="18"/>
                <w:color w:val="auto"/>
                <w:w w:val="99"/>
              </w:rPr>
              <w:t>8,252,868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2"/>
              <w:spacing w:after="0" w:line="206" w:lineRule="exact"/>
              <w:rPr>
                <w:sz w:val="20"/>
                <w:szCs w:val="20"/>
                <w:color w:val="auto"/>
              </w:rPr>
            </w:pPr>
            <w:r>
              <w:rPr>
                <w:rFonts w:ascii="Arial" w:cs="Arial" w:eastAsia="Arial" w:hAnsi="Arial"/>
                <w:sz w:val="18"/>
                <w:szCs w:val="18"/>
                <w:color w:val="auto"/>
              </w:rPr>
              <w:t>6,757,887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Equity in income of joint ventures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5,519,795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5,536,243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80" w:type="dxa"/>
            <w:vAlign w:val="bottom"/>
          </w:tcPr>
          <w:p>
            <w:pPr>
              <w:ind w:left="620"/>
              <w:spacing w:after="0"/>
              <w:rPr>
                <w:sz w:val="20"/>
                <w:szCs w:val="20"/>
                <w:color w:val="auto"/>
              </w:rPr>
            </w:pPr>
            <w:r>
              <w:rPr>
                <w:rFonts w:ascii="Arial" w:cs="Arial" w:eastAsia="Arial" w:hAnsi="Arial"/>
                <w:sz w:val="18"/>
                <w:szCs w:val="18"/>
                <w:color w:val="auto"/>
              </w:rPr>
              <w:t>Fees for services provided to joint ventures</w:t>
            </w:r>
          </w:p>
        </w:tc>
        <w:tc>
          <w:tcPr>
            <w:tcW w:w="1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4,622,912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6,129,979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80" w:type="dxa"/>
            <w:vAlign w:val="bottom"/>
            <w:shd w:val="clear" w:color="auto" w:fill="CCEEFF"/>
          </w:tcPr>
          <w:p>
            <w:pPr>
              <w:ind w:left="940"/>
              <w:spacing w:after="0" w:line="206" w:lineRule="exact"/>
              <w:rPr>
                <w:sz w:val="20"/>
                <w:szCs w:val="20"/>
                <w:color w:val="auto"/>
              </w:rPr>
            </w:pPr>
            <w:r>
              <w:rPr>
                <w:rFonts w:ascii="Arial" w:cs="Arial" w:eastAsia="Arial" w:hAnsi="Arial"/>
                <w:sz w:val="18"/>
                <w:szCs w:val="18"/>
                <w:color w:val="auto"/>
              </w:rPr>
              <w:t>Total joint venture operations</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88"/>
              </w:rPr>
              <w:t>10,142,707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90"/>
              </w:rPr>
              <w:t>11,666,222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EXPENSES: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ind w:left="620"/>
              <w:spacing w:after="0"/>
              <w:rPr>
                <w:sz w:val="20"/>
                <w:szCs w:val="20"/>
                <w:color w:val="auto"/>
              </w:rPr>
            </w:pPr>
            <w:r>
              <w:rPr>
                <w:rFonts w:ascii="Arial" w:cs="Arial" w:eastAsia="Arial" w:hAnsi="Arial"/>
                <w:sz w:val="18"/>
                <w:szCs w:val="18"/>
                <w:color w:val="auto"/>
              </w:rPr>
              <w:t>Selling expenses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4,585,901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4,090,704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General and administrative expenses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4,309,410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4,343,283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ind w:left="620"/>
              <w:spacing w:after="0"/>
              <w:rPr>
                <w:sz w:val="20"/>
                <w:szCs w:val="20"/>
                <w:color w:val="auto"/>
              </w:rPr>
            </w:pPr>
            <w:r>
              <w:rPr>
                <w:rFonts w:ascii="Arial" w:cs="Arial" w:eastAsia="Arial" w:hAnsi="Arial"/>
                <w:sz w:val="18"/>
                <w:szCs w:val="18"/>
                <w:color w:val="auto"/>
              </w:rPr>
              <w:t>Expenses incurred in support of joint ventures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1,054,914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1,000,576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Research and development expenses</w:t>
            </w:r>
          </w:p>
        </w:tc>
        <w:tc>
          <w:tcPr>
            <w:tcW w:w="1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3,875,581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4,364,109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80" w:type="dxa"/>
            <w:vAlign w:val="bottom"/>
          </w:tcPr>
          <w:p>
            <w:pPr>
              <w:ind w:left="940"/>
              <w:spacing w:after="0" w:line="206" w:lineRule="exact"/>
              <w:rPr>
                <w:sz w:val="20"/>
                <w:szCs w:val="20"/>
                <w:color w:val="auto"/>
              </w:rPr>
            </w:pPr>
            <w:r>
              <w:rPr>
                <w:rFonts w:ascii="Arial" w:cs="Arial" w:eastAsia="Arial" w:hAnsi="Arial"/>
                <w:sz w:val="18"/>
                <w:szCs w:val="18"/>
                <w:color w:val="auto"/>
              </w:rPr>
              <w:t>Total operating expenses</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2"/>
              <w:spacing w:after="0" w:line="206" w:lineRule="exact"/>
              <w:rPr>
                <w:sz w:val="20"/>
                <w:szCs w:val="20"/>
                <w:color w:val="auto"/>
              </w:rPr>
            </w:pPr>
            <w:r>
              <w:rPr>
                <w:rFonts w:ascii="Arial" w:cs="Arial" w:eastAsia="Arial" w:hAnsi="Arial"/>
                <w:sz w:val="18"/>
                <w:szCs w:val="18"/>
                <w:color w:val="auto"/>
                <w:w w:val="88"/>
              </w:rPr>
              <w:t>13,825,806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2"/>
              <w:spacing w:after="0" w:line="206" w:lineRule="exact"/>
              <w:rPr>
                <w:sz w:val="20"/>
                <w:szCs w:val="20"/>
                <w:color w:val="auto"/>
              </w:rPr>
            </w:pPr>
            <w:r>
              <w:rPr>
                <w:rFonts w:ascii="Arial" w:cs="Arial" w:eastAsia="Arial" w:hAnsi="Arial"/>
                <w:sz w:val="18"/>
                <w:szCs w:val="18"/>
                <w:color w:val="auto"/>
                <w:w w:val="90"/>
              </w:rPr>
              <w:t>13,798,672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OPERATING INCOME</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4,569,769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4,625,437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INTEREST INCOME</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54,652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108,692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OTHER INCOME</w:t>
            </w:r>
          </w:p>
        </w:tc>
        <w:tc>
          <w:tcPr>
            <w:tcW w:w="1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21,613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27,300</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73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4,616,646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4,701,888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INCOME TAX EXPENSE</w:t>
            </w:r>
          </w:p>
        </w:tc>
        <w:tc>
          <w:tcPr>
            <w:tcW w:w="1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1,041,000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706,000</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73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INCOME</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3,575,646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3,995,888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INCOME ATTRIBUTABLE TO NON CONTROLLING INTEREST</w:t>
            </w:r>
          </w:p>
        </w:tc>
        <w:tc>
          <w:tcPr>
            <w:tcW w:w="1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127,450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95,768</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73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INCOME ATTRIBUTABLE TO NTIC</w:t>
            </w: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3,448,196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3,900,120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tcPr>
          <w:p>
            <w:pPr>
              <w:spacing w:after="0"/>
              <w:rPr>
                <w:sz w:val="16"/>
                <w:szCs w:val="16"/>
                <w:color w:val="auto"/>
              </w:rPr>
            </w:pPr>
          </w:p>
        </w:tc>
        <w:tc>
          <w:tcPr>
            <w:tcW w:w="73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INCOME ATTRIBUTABLE TO NTIC PER COMMON SHARE:</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Basic</w:t>
            </w:r>
          </w:p>
        </w:tc>
        <w:tc>
          <w:tcPr>
            <w:tcW w:w="1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380" w:type="dxa"/>
            <w:vAlign w:val="bottom"/>
          </w:tcPr>
          <w:p>
            <w:pPr>
              <w:ind w:left="620"/>
              <w:spacing w:after="0" w:line="205" w:lineRule="exact"/>
              <w:rPr>
                <w:sz w:val="20"/>
                <w:szCs w:val="20"/>
                <w:color w:val="auto"/>
              </w:rPr>
            </w:pPr>
            <w:r>
              <w:rPr>
                <w:rFonts w:ascii="Arial" w:cs="Arial" w:eastAsia="Arial" w:hAnsi="Arial"/>
                <w:sz w:val="18"/>
                <w:szCs w:val="18"/>
                <w:color w:val="auto"/>
              </w:rPr>
              <w:t>Diluted</w:t>
            </w:r>
          </w:p>
        </w:tc>
        <w:tc>
          <w:tcPr>
            <w:tcW w:w="192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line="205" w:lineRule="exact"/>
              <w:rPr>
                <w:sz w:val="20"/>
                <w:szCs w:val="20"/>
                <w:color w:val="auto"/>
              </w:rPr>
            </w:pPr>
            <w:r>
              <w:rPr>
                <w:rFonts w:ascii="Arial" w:cs="Arial" w:eastAsia="Arial" w:hAnsi="Arial"/>
                <w:sz w:val="18"/>
                <w:szCs w:val="18"/>
                <w:color w:val="auto"/>
              </w:rPr>
              <w:t>0.78</w:t>
            </w:r>
          </w:p>
        </w:tc>
        <w:tc>
          <w:tcPr>
            <w:tcW w:w="24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5" w:lineRule="exact"/>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tcPr>
          <w:p>
            <w:pPr>
              <w:spacing w:after="0"/>
              <w:rPr>
                <w:sz w:val="16"/>
                <w:szCs w:val="16"/>
                <w:color w:val="auto"/>
              </w:rPr>
            </w:pPr>
          </w:p>
        </w:tc>
        <w:tc>
          <w:tcPr>
            <w:tcW w:w="73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WEIGHTED AVERAGE COMMON SHARES ASSUMED OUTSTANDING:</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3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Basic</w:t>
            </w:r>
          </w:p>
        </w:tc>
        <w:tc>
          <w:tcPr>
            <w:tcW w:w="1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4,391,424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4,325,863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80" w:type="dxa"/>
            <w:vAlign w:val="bottom"/>
          </w:tcPr>
          <w:p>
            <w:pPr>
              <w:ind w:left="620"/>
              <w:spacing w:after="0" w:line="205" w:lineRule="exact"/>
              <w:rPr>
                <w:sz w:val="20"/>
                <w:szCs w:val="20"/>
                <w:color w:val="auto"/>
              </w:rPr>
            </w:pPr>
            <w:r>
              <w:rPr>
                <w:rFonts w:ascii="Arial" w:cs="Arial" w:eastAsia="Arial" w:hAnsi="Arial"/>
                <w:sz w:val="18"/>
                <w:szCs w:val="18"/>
                <w:color w:val="auto"/>
              </w:rPr>
              <w:t>Diluted</w:t>
            </w:r>
          </w:p>
        </w:tc>
        <w:tc>
          <w:tcPr>
            <w:tcW w:w="18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
              <w:spacing w:after="0" w:line="205" w:lineRule="exact"/>
              <w:rPr>
                <w:sz w:val="20"/>
                <w:szCs w:val="20"/>
                <w:color w:val="auto"/>
              </w:rPr>
            </w:pPr>
            <w:r>
              <w:rPr>
                <w:rFonts w:ascii="Arial" w:cs="Arial" w:eastAsia="Arial" w:hAnsi="Arial"/>
                <w:sz w:val="18"/>
                <w:szCs w:val="18"/>
                <w:color w:val="auto"/>
                <w:w w:val="99"/>
              </w:rPr>
              <w:t>4,451,594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
              <w:spacing w:after="0" w:line="205" w:lineRule="exact"/>
              <w:rPr>
                <w:sz w:val="20"/>
                <w:szCs w:val="20"/>
                <w:color w:val="auto"/>
              </w:rPr>
            </w:pPr>
            <w:r>
              <w:rPr>
                <w:rFonts w:ascii="Arial" w:cs="Arial" w:eastAsia="Arial" w:hAnsi="Arial"/>
                <w:sz w:val="18"/>
                <w:szCs w:val="18"/>
                <w:color w:val="auto"/>
              </w:rPr>
              <w:t>4,404,100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58" w:right="239" w:bottom="1440" w:gutter="0" w:footer="0" w:header="0"/>
        </w:sectPr>
      </w:pPr>
    </w:p>
    <w:bookmarkStart w:id="56" w:name="page57"/>
    <w:bookmarkEnd w:id="56"/>
    <w:p>
      <w:pPr>
        <w:spacing w:after="0"/>
        <w:rPr>
          <w:sz w:val="20"/>
          <w:szCs w:val="20"/>
          <w:color w:val="auto"/>
        </w:rPr>
      </w:pPr>
      <w:r>
        <w:rPr>
          <w:rFonts w:ascii="Arial" w:cs="Arial" w:eastAsia="Arial" w:hAnsi="Arial"/>
          <w:sz w:val="21"/>
          <w:szCs w:val="21"/>
          <w:b w:val="1"/>
          <w:bCs w:val="1"/>
          <w:color w:val="auto"/>
        </w:rPr>
        <w:t>NORTHERN TECHNOLOGIES INTERNATIONAL CORPORATION AND SUBSIDIARIES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EQUITY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31, 2012 AND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2656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272"/>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2"/>
              <w:spacing w:after="0" w:line="188" w:lineRule="exact"/>
              <w:rPr>
                <w:sz w:val="20"/>
                <w:szCs w:val="20"/>
                <w:color w:val="auto"/>
              </w:rPr>
            </w:pPr>
            <w:r>
              <w:rPr>
                <w:rFonts w:ascii="Arial" w:cs="Arial" w:eastAsia="Arial" w:hAnsi="Arial"/>
                <w:sz w:val="18"/>
                <w:szCs w:val="18"/>
                <w:b w:val="1"/>
                <w:bCs w:val="1"/>
                <w:color w:val="auto"/>
                <w:w w:val="88"/>
              </w:rPr>
              <w:t>Accumulated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right="212"/>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b w:val="1"/>
                <w:bCs w:val="1"/>
                <w:color w:val="auto"/>
              </w:rPr>
              <w:t>Non-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204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b w:val="1"/>
                <w:bCs w:val="1"/>
                <w:color w:val="auto"/>
                <w:w w:val="99"/>
              </w:rPr>
              <w:t>Paid-in</w:t>
            </w:r>
          </w:p>
        </w:tc>
        <w:tc>
          <w:tcPr>
            <w:tcW w:w="10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b w:val="1"/>
                <w:bCs w:val="1"/>
                <w:color w:val="auto"/>
              </w:rPr>
              <w:t>Retained</w:t>
            </w:r>
          </w:p>
        </w:tc>
        <w:tc>
          <w:tcPr>
            <w:tcW w:w="100" w:type="dxa"/>
            <w:vAlign w:val="bottom"/>
          </w:tcPr>
          <w:p>
            <w:pPr>
              <w:spacing w:after="0"/>
              <w:rPr>
                <w:sz w:val="21"/>
                <w:szCs w:val="21"/>
                <w:color w:val="auto"/>
              </w:rPr>
            </w:pPr>
          </w:p>
        </w:tc>
        <w:tc>
          <w:tcPr>
            <w:tcW w:w="1280" w:type="dxa"/>
            <w:vAlign w:val="bottom"/>
            <w:gridSpan w:val="2"/>
          </w:tcPr>
          <w:p>
            <w:pPr>
              <w:jc w:val="center"/>
              <w:ind w:right="12"/>
              <w:spacing w:after="0"/>
              <w:rPr>
                <w:sz w:val="20"/>
                <w:szCs w:val="20"/>
                <w:color w:val="auto"/>
              </w:rPr>
            </w:pPr>
            <w:r>
              <w:rPr>
                <w:rFonts w:ascii="Arial" w:cs="Arial" w:eastAsia="Arial" w:hAnsi="Arial"/>
                <w:sz w:val="18"/>
                <w:szCs w:val="18"/>
                <w:b w:val="1"/>
                <w:bCs w:val="1"/>
                <w:color w:val="auto"/>
                <w:w w:val="87"/>
              </w:rPr>
              <w:t>Comprehensive</w:t>
            </w:r>
          </w:p>
        </w:tc>
        <w:tc>
          <w:tcPr>
            <w:tcW w:w="100" w:type="dxa"/>
            <w:vAlign w:val="bottom"/>
          </w:tcPr>
          <w:p>
            <w:pPr>
              <w:spacing w:after="0"/>
              <w:rPr>
                <w:sz w:val="21"/>
                <w:szCs w:val="21"/>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Controlling</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9"/>
              </w:rPr>
              <w:t>Capital</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Earnings</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b w:val="1"/>
                <w:bCs w:val="1"/>
                <w:color w:val="auto"/>
                <w:w w:val="88"/>
              </w:rPr>
              <w:t>Income</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7"/>
              </w:rPr>
              <w:t>Interests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2010</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4,259,321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85,186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9,140,936</w:t>
            </w:r>
          </w:p>
        </w:tc>
        <w:tc>
          <w:tcPr>
            <w:tcW w:w="11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3"/>
              </w:rPr>
              <w:t>$ 17,911,718</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704,473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21,335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27,863,648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Stock issued in lieu of accrued payroll</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22,686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319,195</w:t>
            </w:r>
          </w:p>
        </w:tc>
        <w:tc>
          <w:tcPr>
            <w:tcW w:w="11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319,649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66,633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463,103</w:t>
            </w:r>
          </w:p>
        </w:tc>
        <w:tc>
          <w:tcPr>
            <w:tcW w:w="11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464,436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w w:val="93"/>
              </w:rPr>
              <w:t>Stock issued for employee stock purchase plan</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36,638</w:t>
            </w:r>
          </w:p>
        </w:tc>
        <w:tc>
          <w:tcPr>
            <w:tcW w:w="11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36,726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Stock option expense</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177,937</w:t>
            </w:r>
          </w:p>
        </w:tc>
        <w:tc>
          <w:tcPr>
            <w:tcW w:w="11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177,937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Dividend paid to non-controlling interest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COMPREHENSIVE INCOME, 2011: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Foreign currency translation adj. (net of tax)</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1,792,467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7,865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1,800,332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520" w:type="dxa"/>
            <w:vAlign w:val="bottom"/>
          </w:tcPr>
          <w:p>
            <w:pPr>
              <w:ind w:left="30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
              <w:spacing w:after="0"/>
              <w:rPr>
                <w:sz w:val="20"/>
                <w:szCs w:val="20"/>
                <w:color w:val="auto"/>
              </w:rPr>
            </w:pPr>
            <w:r>
              <w:rPr>
                <w:rFonts w:ascii="Arial" w:cs="Arial" w:eastAsia="Arial" w:hAnsi="Arial"/>
                <w:sz w:val="18"/>
                <w:szCs w:val="18"/>
                <w:color w:val="auto"/>
              </w:rPr>
              <w:t>3,900,120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95,768</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3,995,888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2011</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5,796,220</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52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2011</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4,353,058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87,061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10,137,809</w:t>
            </w:r>
          </w:p>
        </w:tc>
        <w:tc>
          <w:tcPr>
            <w:tcW w:w="11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21,811,838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2,496,940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91,795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34,625,443</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52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Stock issued in lieu of accrued payroll</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42,707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614,977</w:t>
            </w:r>
          </w:p>
        </w:tc>
        <w:tc>
          <w:tcPr>
            <w:tcW w:w="11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615,832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3,966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34,452</w:t>
            </w:r>
          </w:p>
        </w:tc>
        <w:tc>
          <w:tcPr>
            <w:tcW w:w="11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34,531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w w:val="93"/>
              </w:rPr>
              <w:t>Stock issued for employee stock purchase plan</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55,332</w:t>
            </w:r>
          </w:p>
        </w:tc>
        <w:tc>
          <w:tcPr>
            <w:tcW w:w="11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55,410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Stock option expense</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288,396</w:t>
            </w:r>
          </w:p>
        </w:tc>
        <w:tc>
          <w:tcPr>
            <w:tcW w:w="11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288,396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2011:</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tcPr>
          <w:p>
            <w:pPr>
              <w:ind w:left="300"/>
              <w:spacing w:after="0"/>
              <w:rPr>
                <w:sz w:val="20"/>
                <w:szCs w:val="20"/>
                <w:color w:val="auto"/>
              </w:rPr>
            </w:pPr>
            <w:r>
              <w:rPr>
                <w:rFonts w:ascii="Arial" w:cs="Arial" w:eastAsia="Arial" w:hAnsi="Arial"/>
                <w:sz w:val="18"/>
                <w:szCs w:val="18"/>
                <w:color w:val="auto"/>
                <w:w w:val="91"/>
              </w:rPr>
              <w:t>Foreign currency translation adj. (net of tax)</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(2,219,357)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(31,332)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1"/>
              </w:rPr>
              <w:t>(2,250,689)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5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3,448,196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127,450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3,575,646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COMPREHENSIVE INCOME, 2012</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1,324,957</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BALANCE AT AUGUST 31, 2012</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4,403,656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88,073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86"/>
              </w:rPr>
              <w:t>11,130,966</w:t>
            </w:r>
          </w:p>
        </w:tc>
        <w:tc>
          <w:tcPr>
            <w:tcW w:w="1120" w:type="dxa"/>
            <w:vAlign w:val="bottom"/>
            <w:gridSpan w:val="2"/>
          </w:tcPr>
          <w:p>
            <w:pPr>
              <w:jc w:val="right"/>
              <w:ind w:right="32"/>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25,260,034</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277,583</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187,913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86"/>
              </w:rPr>
              <w:t>36,944,564</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8"/>
                <w:szCs w:val="18"/>
                <w:color w:val="auto"/>
                <w:w w:val="93"/>
              </w:rPr>
              <w:t>See notes to consolidated financial statements.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354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54</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808080"/>
            </w:tcBorders>
          </w:tcPr>
          <w:p>
            <w:pPr>
              <w:spacing w:after="0"/>
              <w:rPr>
                <w:sz w:val="12"/>
                <w:szCs w:val="12"/>
                <w:color w:val="auto"/>
              </w:rPr>
            </w:pPr>
          </w:p>
        </w:tc>
        <w:tc>
          <w:tcPr>
            <w:tcW w:w="352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-37465</wp:posOffset>
            </wp:positionV>
            <wp:extent cx="1270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wp:posOffset>
            </wp:positionV>
            <wp:extent cx="1270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58" w:right="239" w:bottom="1440" w:gutter="0" w:footer="0" w:header="0"/>
        </w:sectPr>
      </w:pPr>
    </w:p>
    <w:bookmarkStart w:id="57" w:name="page58"/>
    <w:bookmarkEnd w:id="57"/>
    <w:p>
      <w:pPr>
        <w:spacing w:after="0"/>
        <w:rPr>
          <w:sz w:val="20"/>
          <w:szCs w:val="20"/>
          <w:color w:val="auto"/>
        </w:rPr>
      </w:pPr>
      <w:r>
        <w:rPr>
          <w:rFonts w:ascii="Arial" w:cs="Arial" w:eastAsia="Arial" w:hAnsi="Arial"/>
          <w:sz w:val="21"/>
          <w:szCs w:val="21"/>
          <w:b w:val="1"/>
          <w:bCs w:val="1"/>
          <w:color w:val="auto"/>
        </w:rPr>
        <w:t>NORTHERN TECHNOLOGIES INTERNATIONAL CORPORATION AND SUBSIDIARIES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2012 and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2656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9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06"/>
        </w:trPr>
        <w:tc>
          <w:tcPr>
            <w:tcW w:w="9260" w:type="dxa"/>
            <w:vAlign w:val="bottom"/>
            <w:gridSpan w:val="2"/>
          </w:tcPr>
          <w:p>
            <w:pPr>
              <w:spacing w:after="0" w:line="206" w:lineRule="exact"/>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3,575,646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3,995,888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30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Expensing of fair value of stock options vested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288,396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177,937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620"/>
              <w:spacing w:after="0"/>
              <w:rPr>
                <w:sz w:val="20"/>
                <w:szCs w:val="20"/>
                <w:color w:val="auto"/>
              </w:rPr>
            </w:pPr>
            <w:r>
              <w:rPr>
                <w:rFonts w:ascii="Arial" w:cs="Arial" w:eastAsia="Arial" w:hAnsi="Arial"/>
                <w:sz w:val="18"/>
                <w:szCs w:val="18"/>
                <w:color w:val="auto"/>
              </w:rPr>
              <w:t>Change in allowance for doubtful accounts</w:t>
            </w: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351,118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335,877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620"/>
              <w:spacing w:after="0"/>
              <w:rPr>
                <w:sz w:val="20"/>
                <w:szCs w:val="20"/>
                <w:color w:val="auto"/>
              </w:rPr>
            </w:pPr>
            <w:r>
              <w:rPr>
                <w:rFonts w:ascii="Arial" w:cs="Arial" w:eastAsia="Arial" w:hAnsi="Arial"/>
                <w:sz w:val="18"/>
                <w:szCs w:val="18"/>
                <w:color w:val="auto"/>
              </w:rPr>
              <w:t>Amortization expense</w:t>
            </w: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128,921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157,728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Loss on disposal of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620"/>
              <w:spacing w:after="0"/>
              <w:rPr>
                <w:sz w:val="20"/>
                <w:szCs w:val="20"/>
                <w:color w:val="auto"/>
              </w:rPr>
            </w:pPr>
            <w:r>
              <w:rPr>
                <w:rFonts w:ascii="Arial" w:cs="Arial" w:eastAsia="Arial" w:hAnsi="Arial"/>
                <w:sz w:val="18"/>
                <w:szCs w:val="18"/>
                <w:color w:val="auto"/>
              </w:rPr>
              <w:t>Equity in income from joint ventures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1"/>
              </w:rPr>
              <w:t>(5,519,795)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(5,536,243)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321,600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940"/>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Trade, excluding joint ventures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1260"/>
              <w:spacing w:after="0"/>
              <w:rPr>
                <w:sz w:val="20"/>
                <w:szCs w:val="20"/>
                <w:color w:val="auto"/>
              </w:rPr>
            </w:pPr>
            <w:r>
              <w:rPr>
                <w:rFonts w:ascii="Arial" w:cs="Arial" w:eastAsia="Arial" w:hAnsi="Arial"/>
                <w:sz w:val="18"/>
                <w:szCs w:val="18"/>
                <w:color w:val="auto"/>
              </w:rPr>
              <w:t>Trade, joint ventures</w:t>
            </w: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415,123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66,415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Fees for services receivables, joint ventures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812,978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(829,097)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126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(61,144)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940"/>
              <w:spacing w:after="0"/>
              <w:rPr>
                <w:sz w:val="20"/>
                <w:szCs w:val="20"/>
                <w:color w:val="auto"/>
              </w:rPr>
            </w:pPr>
            <w:r>
              <w:rPr>
                <w:rFonts w:ascii="Arial" w:cs="Arial" w:eastAsia="Arial" w:hAnsi="Arial"/>
                <w:sz w:val="18"/>
                <w:szCs w:val="18"/>
                <w:color w:val="auto"/>
              </w:rPr>
              <w:t>Prepaid expenses and other</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(220,837)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(242,237)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311,377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940"/>
              <w:spacing w:after="0"/>
              <w:rPr>
                <w:sz w:val="20"/>
                <w:szCs w:val="20"/>
                <w:color w:val="auto"/>
              </w:rPr>
            </w:pPr>
            <w:r>
              <w:rPr>
                <w:rFonts w:ascii="Arial" w:cs="Arial" w:eastAsia="Arial" w:hAnsi="Arial"/>
                <w:sz w:val="18"/>
                <w:szCs w:val="18"/>
                <w:color w:val="auto"/>
              </w:rPr>
              <w:t>Income tax payable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(165,308)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21,260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646,024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626,929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240" w:type="dxa"/>
            <w:vAlign w:val="bottom"/>
          </w:tcPr>
          <w:p>
            <w:pPr>
              <w:ind w:left="1260"/>
              <w:spacing w:after="0" w:line="206" w:lineRule="exact"/>
              <w:rPr>
                <w:sz w:val="20"/>
                <w:szCs w:val="20"/>
                <w:color w:val="auto"/>
              </w:rPr>
            </w:pPr>
            <w:r>
              <w:rPr>
                <w:rFonts w:ascii="Arial" w:cs="Arial" w:eastAsia="Arial" w:hAnsi="Arial"/>
                <w:sz w:val="18"/>
                <w:szCs w:val="18"/>
                <w:color w:val="auto"/>
              </w:rPr>
              <w:t>Net cash used in operating activities</w:t>
            </w:r>
          </w:p>
        </w:tc>
        <w:tc>
          <w:tcPr>
            <w:tcW w:w="120" w:type="dxa"/>
            <w:vAlign w:val="bottom"/>
          </w:tcPr>
          <w:p>
            <w:pPr>
              <w:spacing w:after="0"/>
              <w:rPr>
                <w:sz w:val="17"/>
                <w:szCs w:val="17"/>
                <w:color w:val="auto"/>
              </w:rPr>
            </w:pPr>
          </w:p>
        </w:tc>
        <w:tc>
          <w:tcPr>
            <w:tcW w:w="920" w:type="dxa"/>
            <w:vAlign w:val="bottom"/>
          </w:tcPr>
          <w:p>
            <w:pPr>
              <w:jc w:val="right"/>
              <w:spacing w:after="0" w:line="206" w:lineRule="exact"/>
              <w:rPr>
                <w:sz w:val="20"/>
                <w:szCs w:val="20"/>
                <w:color w:val="auto"/>
              </w:rPr>
            </w:pPr>
            <w:r>
              <w:rPr>
                <w:rFonts w:ascii="Arial" w:cs="Arial" w:eastAsia="Arial" w:hAnsi="Arial"/>
                <w:sz w:val="18"/>
                <w:szCs w:val="18"/>
                <w:color w:val="auto"/>
              </w:rPr>
              <w:t>(388,694)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6" w:lineRule="exact"/>
              <w:rPr>
                <w:sz w:val="20"/>
                <w:szCs w:val="20"/>
                <w:color w:val="auto"/>
              </w:rPr>
            </w:pPr>
            <w:r>
              <w:rPr>
                <w:rFonts w:ascii="Arial" w:cs="Arial" w:eastAsia="Arial" w:hAnsi="Arial"/>
                <w:sz w:val="18"/>
                <w:szCs w:val="18"/>
                <w:color w:val="auto"/>
                <w:w w:val="91"/>
              </w:rPr>
              <w:t>(1,136,223)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Investment in joint ventures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300"/>
              <w:spacing w:after="0"/>
              <w:rPr>
                <w:sz w:val="20"/>
                <w:szCs w:val="20"/>
                <w:color w:val="auto"/>
              </w:rPr>
            </w:pPr>
            <w:r>
              <w:rPr>
                <w:rFonts w:ascii="Arial" w:cs="Arial" w:eastAsia="Arial" w:hAnsi="Arial"/>
                <w:sz w:val="18"/>
                <w:szCs w:val="18"/>
                <w:color w:val="auto"/>
              </w:rPr>
              <w:t>Dividends received from joint ventures</w:t>
            </w: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3,060,545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2,838,437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Additions to property and equipment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(1,037,468)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300"/>
              <w:spacing w:after="0"/>
              <w:rPr>
                <w:sz w:val="20"/>
                <w:szCs w:val="20"/>
                <w:color w:val="auto"/>
              </w:rPr>
            </w:pPr>
            <w:r>
              <w:rPr>
                <w:rFonts w:ascii="Arial" w:cs="Arial" w:eastAsia="Arial" w:hAnsi="Arial"/>
                <w:sz w:val="18"/>
                <w:szCs w:val="18"/>
                <w:color w:val="auto"/>
              </w:rPr>
              <w:t>Proceeds from sale of property and equipment</w:t>
            </w: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Additions to patents</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(187,064)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(148,048)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240" w:type="dxa"/>
            <w:vAlign w:val="bottom"/>
          </w:tcPr>
          <w:p>
            <w:pPr>
              <w:ind w:left="1260"/>
              <w:spacing w:after="0" w:line="206" w:lineRule="exact"/>
              <w:rPr>
                <w:sz w:val="20"/>
                <w:szCs w:val="20"/>
                <w:color w:val="auto"/>
              </w:rPr>
            </w:pPr>
            <w:r>
              <w:rPr>
                <w:rFonts w:ascii="Arial" w:cs="Arial" w:eastAsia="Arial" w:hAnsi="Arial"/>
                <w:sz w:val="18"/>
                <w:szCs w:val="18"/>
                <w:color w:val="auto"/>
              </w:rPr>
              <w:t>Net cash provided by investing activities</w:t>
            </w:r>
          </w:p>
        </w:tc>
        <w:tc>
          <w:tcPr>
            <w:tcW w:w="120" w:type="dxa"/>
            <w:vAlign w:val="bottom"/>
          </w:tcPr>
          <w:p>
            <w:pPr>
              <w:spacing w:after="0"/>
              <w:rPr>
                <w:sz w:val="17"/>
                <w:szCs w:val="17"/>
                <w:color w:val="auto"/>
              </w:rPr>
            </w:pPr>
          </w:p>
        </w:tc>
        <w:tc>
          <w:tcPr>
            <w:tcW w:w="920" w:type="dxa"/>
            <w:vAlign w:val="bottom"/>
          </w:tcPr>
          <w:p>
            <w:pPr>
              <w:jc w:val="right"/>
              <w:ind w:right="32"/>
              <w:spacing w:after="0" w:line="206" w:lineRule="exact"/>
              <w:rPr>
                <w:sz w:val="20"/>
                <w:szCs w:val="20"/>
                <w:color w:val="auto"/>
              </w:rPr>
            </w:pPr>
            <w:r>
              <w:rPr>
                <w:rFonts w:ascii="Arial" w:cs="Arial" w:eastAsia="Arial" w:hAnsi="Arial"/>
                <w:sz w:val="18"/>
                <w:szCs w:val="18"/>
                <w:color w:val="auto"/>
                <w:w w:val="97"/>
              </w:rPr>
              <w:t>1,351,468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2"/>
              <w:spacing w:after="0" w:line="206" w:lineRule="exact"/>
              <w:rPr>
                <w:sz w:val="20"/>
                <w:szCs w:val="20"/>
                <w:color w:val="auto"/>
              </w:rPr>
            </w:pPr>
            <w:r>
              <w:rPr>
                <w:rFonts w:ascii="Arial" w:cs="Arial" w:eastAsia="Arial" w:hAnsi="Arial"/>
                <w:sz w:val="18"/>
                <w:szCs w:val="18"/>
                <w:color w:val="auto"/>
                <w:w w:val="97"/>
              </w:rPr>
              <w:t>2,184,915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Repayment of note payable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300"/>
              <w:spacing w:after="0"/>
              <w:rPr>
                <w:sz w:val="20"/>
                <w:szCs w:val="20"/>
                <w:color w:val="auto"/>
              </w:rPr>
            </w:pPr>
            <w:r>
              <w:rPr>
                <w:rFonts w:ascii="Arial" w:cs="Arial" w:eastAsia="Arial" w:hAnsi="Arial"/>
                <w:sz w:val="18"/>
                <w:szCs w:val="18"/>
                <w:color w:val="auto"/>
              </w:rPr>
              <w:t>Dividend paid to non-controlling interest</w:t>
            </w: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Proceeds from employee stock purchase plan</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55,410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36,726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240" w:type="dxa"/>
            <w:vAlign w:val="bottom"/>
          </w:tcPr>
          <w:p>
            <w:pPr>
              <w:ind w:left="30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34,531</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464,436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240" w:type="dxa"/>
            <w:vAlign w:val="bottom"/>
            <w:shd w:val="clear" w:color="auto" w:fill="CCEEFF"/>
          </w:tcPr>
          <w:p>
            <w:pPr>
              <w:ind w:left="1260"/>
              <w:spacing w:after="0" w:line="206" w:lineRule="exact"/>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13,822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rPr>
              <w:t>408,719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(105,411)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32,789</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9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871,185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1,490,200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7"/>
              </w:rPr>
              <w:t>3,266,362</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1,776,162</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9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4,137,547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3,266,362</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92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260" w:type="dxa"/>
            <w:vAlign w:val="bottom"/>
            <w:gridSpan w:val="2"/>
          </w:tcPr>
          <w:p>
            <w:pPr>
              <w:jc w:val="right"/>
              <w:ind w:right="337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808080"/>
            </w:tcBorders>
          </w:tcPr>
          <w:p>
            <w:pPr>
              <w:spacing w:after="0"/>
              <w:rPr>
                <w:sz w:val="12"/>
                <w:szCs w:val="12"/>
                <w:color w:val="auto"/>
              </w:rPr>
            </w:pPr>
          </w:p>
        </w:tc>
        <w:tc>
          <w:tcPr>
            <w:tcW w:w="92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-37465</wp:posOffset>
            </wp:positionV>
            <wp:extent cx="1270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wp:posOffset>
            </wp:positionV>
            <wp:extent cx="1270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58" w:right="239" w:bottom="1440" w:gutter="0" w:footer="0" w:header="0"/>
        </w:sectPr>
      </w:pPr>
    </w:p>
    <w:bookmarkStart w:id="58" w:name="page59"/>
    <w:bookmarkEnd w:id="58"/>
    <w:p>
      <w:pPr>
        <w:spacing w:after="0"/>
        <w:rPr>
          <w:sz w:val="20"/>
          <w:szCs w:val="20"/>
          <w:color w:val="auto"/>
        </w:rPr>
      </w:pPr>
      <w:r>
        <w:rPr>
          <w:rFonts w:ascii="Arial" w:cs="Arial" w:eastAsia="Arial" w:hAnsi="Arial"/>
          <w:sz w:val="21"/>
          <w:szCs w:val="21"/>
          <w:b w:val="1"/>
          <w:bCs w:val="1"/>
          <w:color w:val="auto"/>
        </w:rPr>
        <w:t>NORTHERN TECHNOLOGIES INTERNATIONAL CORPORATION AND SUBSIDIARIES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2012 AND 2011</w:t>
      </w:r>
    </w:p>
    <w:p>
      <w:pPr>
        <w:spacing w:after="0" w:line="226" w:lineRule="exact"/>
        <w:rPr>
          <w:sz w:val="20"/>
          <w:szCs w:val="20"/>
          <w:color w:val="auto"/>
        </w:rPr>
      </w:pPr>
    </w:p>
    <w:p>
      <w:pPr>
        <w:ind w:left="620" w:hanging="614"/>
        <w:spacing w:after="0"/>
        <w:tabs>
          <w:tab w:leader="none" w:pos="6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250" w:lineRule="exact"/>
        <w:rPr>
          <w:sz w:val="20"/>
          <w:szCs w:val="20"/>
          <w:color w:val="auto"/>
        </w:rPr>
      </w:pPr>
    </w:p>
    <w:p>
      <w:pPr>
        <w:spacing w:after="0" w:line="227" w:lineRule="auto"/>
        <w:rPr>
          <w:sz w:val="20"/>
          <w:szCs w:val="20"/>
          <w:color w:val="auto"/>
        </w:rPr>
      </w:pPr>
      <w:r>
        <w:rPr>
          <w:rFonts w:ascii="Arial" w:cs="Arial" w:eastAsia="Arial" w:hAnsi="Arial"/>
          <w:sz w:val="17"/>
          <w:szCs w:val="17"/>
          <w:i w:val="1"/>
          <w:iCs w:val="1"/>
          <w:color w:val="auto"/>
        </w:rPr>
        <w:t xml:space="preserve">Nature of Business </w:t>
      </w:r>
      <w:r>
        <w:rPr>
          <w:rFonts w:ascii="Arial" w:cs="Arial" w:eastAsia="Arial" w:hAnsi="Arial"/>
          <w:sz w:val="17"/>
          <w:szCs w:val="17"/>
          <w:color w:val="auto"/>
        </w:rPr>
        <w:t>– Northern Technologies International Corporation and Subsidiaries (the Company) develops and markets proprietary environmentally</w:t>
      </w:r>
      <w:r>
        <w:rPr>
          <w:rFonts w:ascii="Arial" w:cs="Arial" w:eastAsia="Arial" w:hAnsi="Arial"/>
          <w:sz w:val="17"/>
          <w:szCs w:val="17"/>
          <w:i w:val="1"/>
          <w:iCs w:val="1"/>
          <w:color w:val="auto"/>
        </w:rPr>
        <w:t xml:space="preserve"> </w:t>
      </w:r>
      <w:r>
        <w:rPr>
          <w:rFonts w:ascii="Arial" w:cs="Arial" w:eastAsia="Arial" w:hAnsi="Arial"/>
          <w:sz w:val="17"/>
          <w:szCs w:val="17"/>
          <w:color w:val="auto"/>
        </w:rPr>
        <w:t>beneficial products and services in over 55 countries either directly or via a network of joint ventures, independent distributors and agents. The Company’s primary business is corrosion prevention marketed mainly under the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brand. The Company has been selling its proprietary 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rust and corrosion inhibiting products and services to the automotive, electronics, electrical, mechanical, military and retail consumer markets for over 35 years, and more recently, has targeted and expanded into the oil and gas industry. The Company also sells a portfolio of bio-based and biodegradable (compostable) polymer resin compounds and finished products marketed under the Natur-Tec</w:t>
      </w:r>
      <w:r>
        <w:rPr>
          <w:rFonts w:ascii="Arial" w:cs="Arial" w:eastAsia="Arial" w:hAnsi="Arial"/>
          <w:sz w:val="23"/>
          <w:szCs w:val="23"/>
          <w:color w:val="auto"/>
          <w:vertAlign w:val="superscript"/>
        </w:rPr>
        <w:t>®</w:t>
      </w:r>
      <w:r>
        <w:rPr>
          <w:rFonts w:ascii="Arial" w:cs="Arial" w:eastAsia="Arial" w:hAnsi="Arial"/>
          <w:sz w:val="17"/>
          <w:szCs w:val="17"/>
          <w:color w:val="auto"/>
        </w:rPr>
        <w:t xml:space="preserve"> brand. These products are intended to reduce the Company’s customers’ carbon footprint and provide environmentally sound disposal options.</w:t>
      </w:r>
    </w:p>
    <w:p>
      <w:pPr>
        <w:spacing w:after="0" w:line="234"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Company participates, either directly or indirectly, in 23 active joint venture arrangements in North America, Europe, and Asia. Each of these joint ventures generally manufactures and markets products in the geographic territory to which it is assigned. While most of the Company’s joint ventures exclusively sell rust and corrosion inhibiting products, some of the joint ventures sell the Company’s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The profits of joint ventures are shared by the respective joint venture owners in accordance with their respective ownership percentages. The Company typically owns 50% or less of its joint venture entities and does not control the decisions of these entities, including dividend declaration or amount in any given year.</w:t>
      </w:r>
    </w:p>
    <w:p>
      <w:pPr>
        <w:spacing w:after="0" w:line="212"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auto"/>
        </w:rPr>
        <w:t>The Company has evaluated events occurring after the date of the consolidated financial statements for events requiring recording or disclosure in the financial statements.</w:t>
      </w:r>
    </w:p>
    <w:p>
      <w:pPr>
        <w:spacing w:after="0" w:line="206"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 Company evaluates its voting and variable interests in entities on a qualitative and quantitative basis.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 the accounts of Northern Technologies International Corporation, its wholly owned subsidiaries, NTI Facilities, Inc. and Northern Technologies Holding Company, LLC, and its majority owned Brazilian subsidiary, Zerust Prevenção de Corrosão S.A. (Zerust Brazil). All significant intercompany transactions and balances have been eliminated in consolidation. The consolidated financial statements do not include the accounts of any of the Company’s joint ventures.</w:t>
      </w:r>
    </w:p>
    <w:p>
      <w:pPr>
        <w:spacing w:after="0" w:line="22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i w:val="1"/>
          <w:iCs w:val="1"/>
          <w:color w:val="auto"/>
        </w:rPr>
        <w:t xml:space="preserve">Noncontrolling interest </w:t>
      </w:r>
      <w:r>
        <w:rPr>
          <w:rFonts w:ascii="Arial" w:cs="Arial" w:eastAsia="Arial" w:hAnsi="Arial"/>
          <w:sz w:val="18"/>
          <w:szCs w:val="18"/>
          <w:color w:val="auto"/>
        </w:rPr>
        <w:t>– The Company owns 85% of Zerust Brazil. The remaining 15% is accounted for as a noncontrolling interest and reported as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 the consolidated financial statements. The Company allocates gains and losses to the noncontrolling interest even when such allocation might result in a deficit balance, reducing the losses attributed to the controlling interest, changes in ownership interests would be treated as equity transactions if control is maintained.</w:t>
      </w:r>
    </w:p>
    <w:p>
      <w:pPr>
        <w:spacing w:after="0" w:line="218"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–The Company includes net sales to its joint ventures and net sales to unaffiliated customers as separate line items on its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There are no sales originating from the Company’s joint ventures included in the amount, as the Company’s investments in its joint ventures are accounted for using the equity method.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58" w:right="239" w:bottom="1440" w:gutter="0" w:footer="0" w:header="0"/>
        </w:sectPr>
      </w:pPr>
    </w:p>
    <w:bookmarkStart w:id="59" w:name="page60"/>
    <w:bookmarkEnd w:id="59"/>
    <w:p>
      <w:pPr>
        <w:ind w:right="100"/>
        <w:spacing w:after="0" w:line="255"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from the sale of its products when persuasive evidence of an arrangement exists, the product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the price is fixed and determinable and collection of the resulting receivable is reasonably assured. These criteria are met when risk of loss and title pass to the customer, distributor or joint venture entity.</w:t>
      </w:r>
    </w:p>
    <w:p>
      <w:pPr>
        <w:spacing w:after="0" w:line="215"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i w:val="1"/>
          <w:iCs w:val="1"/>
          <w:color w:val="auto"/>
        </w:rPr>
        <w:t xml:space="preserve">Deferred Joint Venture Revenue </w:t>
      </w:r>
      <w:r>
        <w:rPr>
          <w:rFonts w:ascii="Arial" w:cs="Arial" w:eastAsia="Arial" w:hAnsi="Arial"/>
          <w:sz w:val="15"/>
          <w:szCs w:val="15"/>
          <w:color w:val="auto"/>
        </w:rPr>
        <w:t>– The Company periodically sponsors a worldwide joint venture conference, in which all of its joint ventures are invited to</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participate. It defers a portion of its service fees received from its joint ventures in each accounting period leading up to the next conference, reflecting that the Company has not earned portions of the payments received. The next joint venture conference is scheduled to be held in the summer of 2013. At both August 31, 2012 and 2011, the Company had deferred $288,000 of joint venture fees for services related to this future conference, which represents the amount that the Company expects to spend to hold the conference. This amount is based on the historical experience of the Company, current conditions, and the intentions of the Company’s management. The Company does not anticipate deferring any additional service fees until after the next conference.</w:t>
      </w:r>
    </w:p>
    <w:p>
      <w:pPr>
        <w:spacing w:after="0" w:line="179"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i w:val="1"/>
          <w:iCs w:val="1"/>
          <w:color w:val="auto"/>
        </w:rPr>
        <w:t xml:space="preserve">Accounts Receivable </w:t>
      </w:r>
      <w:r>
        <w:rPr>
          <w:rFonts w:ascii="Arial" w:cs="Arial" w:eastAsia="Arial" w:hAnsi="Arial"/>
          <w:sz w:val="15"/>
          <w:szCs w:val="15"/>
          <w:color w:val="auto"/>
        </w:rPr>
        <w:t>– Payment terms for the Company’s unaffiliated customers are determined based on credit risk and vary by customer.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typically offers standard payments terms to unaffiliated customers of net 30 days. The Company does not accrue interest on past due accounts receivable. The Company reviews the credit histories of its customers before extending unsecured credit. The Company presents accounts and notes receivable, net of an allowance for doubtful accounts. Each quarter, the Company prepares an analysis of its ability to collect outstanding receivables that provides a basis for an allowance estimate for doubtful accounts. In doing so, the Company evaluates the age of its receivables, past collection history, current financial conditions of key customers and its joint ventures, and economic conditions. Based on this evaluation, the Company establishes a reserve for specific accounts and notes receivable that it believes are uncollectible, as well as an estimate of uncollectible receivables not specifically known. Deterioration in the financial condition of any key customer or a significant slowdown in the economy could have a material negative impact on the Company’s ability to collect a portion or all of the accounts and notes receivable. The Company believes that an analysis of historical trends and its current knowledge of potential collection problems provide the Company with sufficient information to establish a reasonable estimate for an allowance for doubtful accounts. In the event the Company determined that a smaller or larger uncollectible accounts reserve is appropriate, the Company would record a credit or charge to selling expense in the period that it made such a determination. Accounts receivable have been reduced by an allowance for uncollectible accounts of $20,000 at August 31, 2012 and 2011. Accounts are considered past due based on terms agreed upon between the Company and the customer. Accounts receivable are written-off only after all collection attempts have failed and are based on individual credit evaluation and specific circumstances of the customer.</w:t>
      </w:r>
    </w:p>
    <w:p>
      <w:pPr>
        <w:spacing w:after="0" w:line="396" w:lineRule="exact"/>
        <w:rPr>
          <w:sz w:val="20"/>
          <w:szCs w:val="20"/>
          <w:color w:val="auto"/>
        </w:rPr>
      </w:pPr>
    </w:p>
    <w:p>
      <w:pPr>
        <w:spacing w:after="0" w:line="306" w:lineRule="auto"/>
        <w:rPr>
          <w:sz w:val="20"/>
          <w:szCs w:val="20"/>
          <w:color w:val="auto"/>
        </w:rPr>
      </w:pPr>
      <w:r>
        <w:rPr>
          <w:rFonts w:ascii="Arial" w:cs="Arial" w:eastAsia="Arial" w:hAnsi="Arial"/>
          <w:sz w:val="15"/>
          <w:szCs w:val="15"/>
          <w:i w:val="1"/>
          <w:iCs w:val="1"/>
          <w:color w:val="auto"/>
        </w:rPr>
        <w:t xml:space="preserve">Receivables from Joint Ventures </w:t>
      </w:r>
      <w:r>
        <w:rPr>
          <w:rFonts w:ascii="Arial" w:cs="Arial" w:eastAsia="Arial" w:hAnsi="Arial"/>
          <w:sz w:val="15"/>
          <w:szCs w:val="15"/>
          <w:color w:val="auto"/>
        </w:rPr>
        <w:t>– Trade receivables from joint ventures arise from sales the Company makes to its joint ventures of products. Receivables for</w:t>
      </w:r>
      <w:r>
        <w:rPr>
          <w:rFonts w:ascii="Arial" w:cs="Arial" w:eastAsia="Arial" w:hAnsi="Arial"/>
          <w:sz w:val="15"/>
          <w:szCs w:val="15"/>
          <w:i w:val="1"/>
          <w:iCs w:val="1"/>
          <w:color w:val="auto"/>
        </w:rPr>
        <w:t xml:space="preserve"> </w:t>
      </w:r>
      <w:r>
        <w:rPr>
          <w:rFonts w:ascii="Arial" w:cs="Arial" w:eastAsia="Arial" w:hAnsi="Arial"/>
          <w:sz w:val="15"/>
          <w:szCs w:val="15"/>
          <w:color w:val="auto"/>
        </w:rPr>
        <w:t>services to the Company’s joint ventures are based primarily on a contractual percentage of the sales of the joint ventures and are intended to compensate the Company for services the Company provides to its joint ventures, including consulting, legal, travel, insurance, technical and marketing services. Payment terms for the Company’s joint ventures also are determined based on credit risk; however, additional consideration also is given to the individual joint venture due to the transportation time associated with ocean delivery of most products and certain other factors. Generally, accounts receivable from the Company’s joint ventures unpaid after 90 days are considered past due. The Company does not accrue interest on past due accounts receivable. The Company periodically reviews amounts due from its joint ventures for collectability, and based on past experience and continuous review of the balances due, has determined an allowance for doubtful accounts related to its joint venture receivables is not necessary.</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60" w:name="page61"/>
    <w:bookmarkEnd w:id="60"/>
    <w:p>
      <w:pPr>
        <w:spacing w:after="0" w:line="307" w:lineRule="auto"/>
        <w:rPr>
          <w:sz w:val="20"/>
          <w:szCs w:val="20"/>
          <w:color w:val="auto"/>
        </w:rPr>
      </w:pPr>
      <w:r>
        <w:rPr>
          <w:rFonts w:ascii="Arial" w:cs="Arial" w:eastAsia="Arial" w:hAnsi="Arial"/>
          <w:sz w:val="15"/>
          <w:szCs w:val="15"/>
          <w:i w:val="1"/>
          <w:iCs w:val="1"/>
          <w:color w:val="auto"/>
        </w:rPr>
        <w:t xml:space="preserve">Fees for Services Provided to Joint Ventures – </w:t>
      </w:r>
      <w:r>
        <w:rPr>
          <w:rFonts w:ascii="Arial" w:cs="Arial" w:eastAsia="Arial" w:hAnsi="Arial"/>
          <w:sz w:val="15"/>
          <w:szCs w:val="15"/>
          <w:color w:val="auto"/>
        </w:rPr>
        <w:t>The Company provides certain services to its joint ventures including consulting, legal, travel, insurance, technical</w:t>
      </w:r>
      <w:r>
        <w:rPr>
          <w:rFonts w:ascii="Arial" w:cs="Arial" w:eastAsia="Arial" w:hAnsi="Arial"/>
          <w:sz w:val="15"/>
          <w:szCs w:val="15"/>
          <w:i w:val="1"/>
          <w:iCs w:val="1"/>
          <w:color w:val="auto"/>
        </w:rPr>
        <w:t xml:space="preserve"> </w:t>
      </w:r>
      <w:r>
        <w:rPr>
          <w:rFonts w:ascii="Arial" w:cs="Arial" w:eastAsia="Arial" w:hAnsi="Arial"/>
          <w:sz w:val="15"/>
          <w:szCs w:val="15"/>
          <w:color w:val="auto"/>
        </w:rPr>
        <w:t>and marketing services. The Company receives fees for the services it provides to its joint ventures. The fees for services received by the Company from its joint ventures are generally based on either a flat fee or a percentage of net sales by the Company’s joint ventures depending on local laws and tax regulations. The Company recognizes revenues related to fees for services provided to its joint ventures when earned, amounts are determinable and collectability is reasonably assured. Under the Company’s agreements with its joint ventures, amounts are earned when product is shipped from joint venture facilities. The Company reviews the financial situation of each of its joint ventures to assist in the likelihood of collections on amounts earned. The Company elects to account for these fees on a cash basis for certain joint ventures if uncertainty exists surrounding the collection of such fees.</w:t>
      </w:r>
    </w:p>
    <w:p>
      <w:pPr>
        <w:spacing w:after="0" w:line="179"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includes as cash and cash equivalents highly liquid, short-term investments with maturity of three months or less</w:t>
      </w:r>
      <w:r>
        <w:rPr>
          <w:rFonts w:ascii="Arial" w:cs="Arial" w:eastAsia="Arial" w:hAnsi="Arial"/>
          <w:sz w:val="18"/>
          <w:szCs w:val="18"/>
          <w:i w:val="1"/>
          <w:iCs w:val="1"/>
          <w:color w:val="auto"/>
        </w:rPr>
        <w:t xml:space="preserve"> </w:t>
      </w:r>
      <w:r>
        <w:rPr>
          <w:rFonts w:ascii="Arial" w:cs="Arial" w:eastAsia="Arial" w:hAnsi="Arial"/>
          <w:sz w:val="18"/>
          <w:szCs w:val="18"/>
          <w:color w:val="auto"/>
        </w:rPr>
        <w:t>when purchased, which are readily convertible into known amounts of cash. The Company maintains its cash in high quality financial institutions. The balances, at times, may exceed federally insured limits.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recorded at the lower of cost (first-in, first-out basis) or market.</w:t>
      </w:r>
    </w:p>
    <w:p>
      <w:pPr>
        <w:spacing w:after="0" w:line="244"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i w:val="1"/>
          <w:iCs w:val="1"/>
          <w:color w:val="auto"/>
        </w:rPr>
        <w:t xml:space="preserve">Property and Depreciation </w:t>
      </w:r>
      <w:r>
        <w:rPr>
          <w:rFonts w:ascii="Arial" w:cs="Arial" w:eastAsia="Arial" w:hAnsi="Arial"/>
          <w:sz w:val="18"/>
          <w:szCs w:val="18"/>
          <w:color w:val="auto"/>
        </w:rPr>
        <w:t>- Property and equipment are stated at cost. Depreciation is computed using the straight-line method based on the estimated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lives of the various assets as follows:</w:t>
      </w:r>
    </w:p>
    <w:p>
      <w:pPr>
        <w:sectPr>
          <w:pgSz w:w="11900" w:h="16838" w:orient="portrait"/>
          <w:cols w:equalWidth="0" w:num="1">
            <w:col w:w="11420"/>
          </w:cols>
          <w:pgMar w:left="240" w:top="273" w:right="239" w:bottom="1440" w:gutter="0" w:footer="0" w:header="0"/>
        </w:sectPr>
      </w:pPr>
    </w:p>
    <w:p>
      <w:pPr>
        <w:spacing w:after="0" w:line="206"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Buildings and improvements</w:t>
      </w:r>
    </w:p>
    <w:p>
      <w:pPr>
        <w:spacing w:after="0" w:line="51" w:lineRule="exact"/>
        <w:rPr>
          <w:sz w:val="20"/>
          <w:szCs w:val="20"/>
          <w:color w:val="auto"/>
        </w:rPr>
      </w:pPr>
    </w:p>
    <w:p>
      <w:pPr>
        <w:ind w:left="2880"/>
        <w:spacing w:after="0"/>
        <w:rPr>
          <w:sz w:val="20"/>
          <w:szCs w:val="20"/>
          <w:color w:val="auto"/>
        </w:rPr>
      </w:pPr>
      <w:r>
        <w:rPr>
          <w:rFonts w:ascii="Arial" w:cs="Arial" w:eastAsia="Arial" w:hAnsi="Arial"/>
          <w:sz w:val="17"/>
          <w:szCs w:val="17"/>
          <w:color w:val="auto"/>
        </w:rPr>
        <w:t>Machinery and equipment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5-30 years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3-10 years</w:t>
      </w:r>
    </w:p>
    <w:p>
      <w:pPr>
        <w:spacing w:after="0" w:line="222" w:lineRule="exact"/>
        <w:rPr>
          <w:sz w:val="20"/>
          <w:szCs w:val="20"/>
          <w:color w:val="auto"/>
        </w:rPr>
      </w:pPr>
    </w:p>
    <w:p>
      <w:pPr>
        <w:sectPr>
          <w:pgSz w:w="11900" w:h="16838" w:orient="portrait"/>
          <w:cols w:equalWidth="0" w:num="2">
            <w:col w:w="5000" w:space="720"/>
            <w:col w:w="5700"/>
          </w:cols>
          <w:pgMar w:left="240" w:top="273" w:right="239" w:bottom="1440" w:gutter="0" w:footer="0" w:header="0"/>
          <w:type w:val="continuous"/>
        </w:sectPr>
      </w:pPr>
    </w:p>
    <w:p>
      <w:pPr>
        <w:spacing w:after="0" w:line="44"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i w:val="1"/>
          <w:iCs w:val="1"/>
          <w:color w:val="auto"/>
        </w:rPr>
        <w:t xml:space="preserve">Investments in Joint Ventures </w:t>
      </w:r>
      <w:r>
        <w:rPr>
          <w:rFonts w:ascii="Arial" w:cs="Arial" w:eastAsia="Arial" w:hAnsi="Arial"/>
          <w:sz w:val="17"/>
          <w:szCs w:val="17"/>
          <w:color w:val="auto"/>
        </w:rPr>
        <w:t>- Investments in the Company’s joint ventures are accounted for using the equity method. Under the equity method,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are initially recorded at cost and are adjusted for dividends, distributed and undistributed earnings and losses, changes in foreign currency exchange rates and additional investments. In the event the Company’s share of joint venture’s cumulative losses exceed the Company’s investment balance, the balance is reported at zero value until proportionate income exceeds the losses. The Company assesses its joint ventures for impairment on an annual basis as of August 31 of each year as part of its fiscal year end analysis. In addition to the annual review for impairment, the Company reviews the operating results of each joint venture on a quarterly basis in comparison to its historical operating results and its accrual of fees for services provided to joint ventures. If the operating results of a joint venture do not meet financial performance expectations, an additional evaluation is performed on the joint venture. If an investment were determined to be impaired, then a reserve is created to reflect the impairment on the financial results of the Company. The Company’s evaluation of its investments in joint ventures requires the Company to make assumptions about future cash flows of its joint ventures. These assumptions require significant judgment and actual results may differ from assumed or estimated amounts.</w:t>
      </w:r>
    </w:p>
    <w:p>
      <w:pPr>
        <w:spacing w:after="0" w:line="210"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i w:val="1"/>
          <w:iCs w:val="1"/>
          <w:color w:val="auto"/>
        </w:rPr>
        <w:t xml:space="preserve">Recoverability of Long-Lived Assets </w:t>
      </w:r>
      <w:r>
        <w:rPr>
          <w:rFonts w:ascii="Arial" w:cs="Arial" w:eastAsia="Arial" w:hAnsi="Arial"/>
          <w:sz w:val="18"/>
          <w:szCs w:val="18"/>
          <w:color w:val="auto"/>
        </w:rPr>
        <w:t>- The Company reviews its long-lived assets whenever events or changes in circumstances indicate the carrying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assets may not be recoverable. The Company determines potential impairment by comparing the carrying value of the assets with expected net cash flows expected to be provided by operating activities of the business or related products. If the sum of the expected undiscounted future net cash flows is less than the carrying value, the Company evaluates if an impairment loss should be recognized. An impairment loss is measured by comparing the amount by which the carrying value exceeds the fair value of the asset.</w:t>
      </w:r>
    </w:p>
    <w:p>
      <w:pPr>
        <w:spacing w:after="0" w:line="22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The Company utilizes the liability method of accounting for income taxes which requires an asset and liability approach to financial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and reporting for income taxes. Deferred income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type w:val="continuous"/>
        </w:sectPr>
      </w:pPr>
    </w:p>
    <w:bookmarkStart w:id="61" w:name="page62"/>
    <w:bookmarkEnd w:id="61"/>
    <w:p>
      <w:pPr>
        <w:ind w:right="20"/>
        <w:spacing w:after="0" w:line="250" w:lineRule="auto"/>
        <w:rPr>
          <w:sz w:val="20"/>
          <w:szCs w:val="20"/>
          <w:color w:val="auto"/>
        </w:rPr>
      </w:pPr>
      <w:r>
        <w:rPr>
          <w:rFonts w:ascii="Arial" w:cs="Arial" w:eastAsia="Arial" w:hAnsi="Arial"/>
          <w:sz w:val="18"/>
          <w:szCs w:val="18"/>
          <w:color w:val="auto"/>
        </w:rPr>
        <w:t>The Company records net deferred tax assets to the extent the Company believes these assets will more likely than not be realized. In making such a determination, the Company considers all available positive and negative evidence, including future reversals of existing taxable temporary differences, projected future taxable income, tax-planning strategies, and results of recent operations. In the event the Company determines that it would be able to realize its deferred income tax assets in the future in excess of their net recorded amount, the Company would make an adjustment to the deferred tax asset valuation allowance, which would reduce the provision for income taxes.</w:t>
      </w:r>
    </w:p>
    <w:p>
      <w:pPr>
        <w:spacing w:after="0" w:line="2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records uncertain tax positions on the basis of a two-step process whereby (1) the Company determines whether it is more likely than not that the tax positions will be sustained based on the technical merits of the position and (2) those tax positions that meet the more-likely-than-not recognition threshold. The Company recognizes the largest amount of tax benefit that is greater than 50 percent likely to be realized upon ultimate settlement with the related tax authority.</w:t>
      </w:r>
    </w:p>
    <w:p>
      <w:pPr>
        <w:spacing w:after="0" w:line="21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 xml:space="preserve">Foreign Currency Translation (Accumulated Other Comprehensive Income) </w:t>
      </w:r>
      <w:r>
        <w:rPr>
          <w:rFonts w:ascii="Arial" w:cs="Arial" w:eastAsia="Arial" w:hAnsi="Arial"/>
          <w:sz w:val="18"/>
          <w:szCs w:val="18"/>
          <w:color w:val="auto"/>
        </w:rPr>
        <w:t>- The functional currency of Zerust Brazil and each unconsolidated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joint venture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other comprehensive income.</w:t>
      </w:r>
    </w:p>
    <w:p>
      <w:pPr>
        <w:spacing w:after="0" w:line="218"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The Company (excluding Zerust Brazil and its joint ventures) conducts all foreign transactions based on the U.S. dollar. Since investments in joint ventures are accounted for using the equity method, any changes in foreign currency exchange rates are reflected as a foreign currency translation adjustment and does not change the equity in income of joint ventures reflected in the Company’s consolidated statements of operations.</w:t>
      </w:r>
    </w:p>
    <w:p>
      <w:pPr>
        <w:spacing w:after="0" w:line="198"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carrying value of cash, short-term accounts and notes receivable, notes payable, trade accounts payables,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expenses approximate fair value because of the short maturity of those instruments. The fair value of the Company’s long-term debt approximates the carrying values based upon current market rates of interest.</w:t>
      </w:r>
    </w:p>
    <w:p>
      <w:pPr>
        <w:spacing w:after="0" w:line="215" w:lineRule="exact"/>
        <w:rPr>
          <w:sz w:val="20"/>
          <w:szCs w:val="20"/>
          <w:color w:val="auto"/>
        </w:rPr>
      </w:pPr>
    </w:p>
    <w:p>
      <w:pPr>
        <w:jc w:val="both"/>
        <w:ind w:right="200"/>
        <w:spacing w:after="0" w:line="265" w:lineRule="auto"/>
        <w:rPr>
          <w:sz w:val="20"/>
          <w:szCs w:val="20"/>
          <w:color w:val="auto"/>
        </w:rPr>
      </w:pPr>
      <w:r>
        <w:rPr>
          <w:rFonts w:ascii="Arial" w:cs="Arial" w:eastAsia="Arial" w:hAnsi="Arial"/>
          <w:sz w:val="18"/>
          <w:szCs w:val="18"/>
          <w:i w:val="1"/>
          <w:iCs w:val="1"/>
          <w:color w:val="auto"/>
        </w:rPr>
        <w:t xml:space="preserve">Shipping and Handling </w:t>
      </w:r>
      <w:r>
        <w:rPr>
          <w:rFonts w:ascii="Arial" w:cs="Arial" w:eastAsia="Arial" w:hAnsi="Arial"/>
          <w:sz w:val="18"/>
          <w:szCs w:val="18"/>
          <w:color w:val="auto"/>
        </w:rPr>
        <w:t>- The Company records all amounts billed to customers in a sales transaction related to shipping and handling as sales.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costs related to shipping and handling in cost of goods sold.</w:t>
      </w:r>
    </w:p>
    <w:p>
      <w:pPr>
        <w:spacing w:after="0" w:line="206" w:lineRule="exact"/>
        <w:rPr>
          <w:sz w:val="20"/>
          <w:szCs w:val="20"/>
          <w:color w:val="auto"/>
        </w:rPr>
      </w:pPr>
    </w:p>
    <w:p>
      <w:pPr>
        <w:ind w:right="560"/>
        <w:spacing w:after="0" w:line="366" w:lineRule="auto"/>
        <w:rPr>
          <w:sz w:val="20"/>
          <w:szCs w:val="20"/>
          <w:color w:val="auto"/>
        </w:rPr>
      </w:pPr>
      <w:r>
        <w:rPr>
          <w:rFonts w:ascii="Arial" w:cs="Arial" w:eastAsia="Arial" w:hAnsi="Arial"/>
          <w:sz w:val="15"/>
          <w:szCs w:val="15"/>
          <w:i w:val="1"/>
          <w:iCs w:val="1"/>
          <w:color w:val="auto"/>
        </w:rPr>
        <w:t xml:space="preserve">Government Grants - </w:t>
      </w:r>
      <w:r>
        <w:rPr>
          <w:rFonts w:ascii="Arial" w:cs="Arial" w:eastAsia="Arial" w:hAnsi="Arial"/>
          <w:sz w:val="15"/>
          <w:szCs w:val="15"/>
          <w:color w:val="auto"/>
        </w:rPr>
        <w:t>The Company accrues proceeds received under the grants when earned based on the terms of the contracts and offsets research and</w:t>
      </w:r>
      <w:r>
        <w:rPr>
          <w:rFonts w:ascii="Arial" w:cs="Arial" w:eastAsia="Arial" w:hAnsi="Arial"/>
          <w:sz w:val="15"/>
          <w:szCs w:val="15"/>
          <w:i w:val="1"/>
          <w:iCs w:val="1"/>
          <w:color w:val="auto"/>
        </w:rPr>
        <w:t xml:space="preserve"> </w:t>
      </w:r>
      <w:r>
        <w:rPr>
          <w:rFonts w:ascii="Arial" w:cs="Arial" w:eastAsia="Arial" w:hAnsi="Arial"/>
          <w:sz w:val="15"/>
          <w:szCs w:val="15"/>
          <w:color w:val="auto"/>
        </w:rPr>
        <w:t>development expenses incurred in equal installments over the timelines associated with completion of the grant specific objectives and milestones.</w:t>
      </w:r>
    </w:p>
    <w:p>
      <w:pPr>
        <w:spacing w:after="0" w:line="137" w:lineRule="exact"/>
        <w:rPr>
          <w:sz w:val="20"/>
          <w:szCs w:val="20"/>
          <w:color w:val="auto"/>
        </w:rPr>
      </w:pPr>
    </w:p>
    <w:p>
      <w:pPr>
        <w:spacing w:after="0" w:line="24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 The Company expenses all costs related to product research and development as incurred. The costs related to product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and development are the net amount after being reduced by reimbursements related to certain research and development contracts of $365,940 and $219,175 for fiscal 2012 and fiscal 2011, respectively. The Company accrues proceeds received under such contracts and offsets research and development expenses incurred in equal installments over the timelines associated with completion of the contracts’ specific objectives and milestones. At August 31, 2012 and 2011, the Company had $96,861 and $0, respectively, of deferred amounts in other accrued liabilities as the Company had not yet performed under the obligations of the contract at that time.</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380"/>
          </w:cols>
          <w:pgMar w:left="240" w:top="273" w:right="279" w:bottom="1440" w:gutter="0" w:footer="0" w:header="0"/>
        </w:sectPr>
      </w:pPr>
    </w:p>
    <w:bookmarkStart w:id="62" w:name="page63"/>
    <w:bookmarkEnd w:id="62"/>
    <w:p>
      <w:pPr>
        <w:ind w:right="180"/>
        <w:spacing w:after="0" w:line="250"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The Company recognizes compensation cost relating to share-based payment transactions, including grants of employee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 transactions under the Company’s employee stock purchase plan, in its consolidated financial statements. That cost is measured based on the fair value of the equity or liability instruments issued. The Company measures the cost of employee services received in exchange for stock options and other stock-based awards based on the grant-date fair value of the award, and recognizes the cost over the period the employee is required to provide services for the award.</w:t>
      </w:r>
    </w:p>
    <w:p>
      <w:pPr>
        <w:spacing w:after="0" w:line="22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the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12" w:lineRule="exact"/>
        <w:rPr>
          <w:sz w:val="20"/>
          <w:szCs w:val="20"/>
          <w:color w:val="auto"/>
        </w:rPr>
      </w:pPr>
    </w:p>
    <w:p>
      <w:pPr>
        <w:ind w:left="620" w:hanging="614"/>
        <w:spacing w:after="0"/>
        <w:tabs>
          <w:tab w:leader="none" w:pos="6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5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 May 2011, the Financial Accounting Standards Board (FASB) issued Accounting Standards Update (ASU) No. 2011-04, “</w:t>
      </w:r>
      <w:r>
        <w:rPr>
          <w:rFonts w:ascii="Arial" w:cs="Arial" w:eastAsia="Arial" w:hAnsi="Arial"/>
          <w:sz w:val="17"/>
          <w:szCs w:val="17"/>
          <w:i w:val="1"/>
          <w:iCs w:val="1"/>
          <w:color w:val="auto"/>
        </w:rPr>
        <w:t>Amendments to Achieve Common</w:t>
      </w:r>
      <w:r>
        <w:rPr>
          <w:rFonts w:ascii="Arial" w:cs="Arial" w:eastAsia="Arial" w:hAnsi="Arial"/>
          <w:sz w:val="17"/>
          <w:szCs w:val="17"/>
          <w:color w:val="auto"/>
        </w:rPr>
        <w:t xml:space="preserve"> </w:t>
      </w:r>
      <w:r>
        <w:rPr>
          <w:rFonts w:ascii="Arial" w:cs="Arial" w:eastAsia="Arial" w:hAnsi="Arial"/>
          <w:sz w:val="17"/>
          <w:szCs w:val="17"/>
          <w:i w:val="1"/>
          <w:iCs w:val="1"/>
          <w:color w:val="auto"/>
        </w:rPr>
        <w:t>Fair Value Measurement and Disclosure Requirements in U.S. GAAP and International Financial Reporting Standards (IFRS)</w:t>
      </w:r>
      <w:r>
        <w:rPr>
          <w:rFonts w:ascii="Arial" w:cs="Arial" w:eastAsia="Arial" w:hAnsi="Arial"/>
          <w:sz w:val="17"/>
          <w:szCs w:val="17"/>
          <w:color w:val="auto"/>
        </w:rPr>
        <w:t>.” This pronouncement was issued</w:t>
      </w:r>
      <w:r>
        <w:rPr>
          <w:rFonts w:ascii="Arial" w:cs="Arial" w:eastAsia="Arial" w:hAnsi="Arial"/>
          <w:sz w:val="17"/>
          <w:szCs w:val="17"/>
          <w:i w:val="1"/>
          <w:iCs w:val="1"/>
          <w:color w:val="auto"/>
        </w:rPr>
        <w:t xml:space="preserve"> </w:t>
      </w:r>
      <w:r>
        <w:rPr>
          <w:rFonts w:ascii="Arial" w:cs="Arial" w:eastAsia="Arial" w:hAnsi="Arial"/>
          <w:sz w:val="17"/>
          <w:szCs w:val="17"/>
          <w:color w:val="auto"/>
        </w:rPr>
        <w:t>to provide a consistent definition of fair value and ensure that the fair value measurement and disclosure requirements are similar between U.S. GAAP and IFRS. ASU 2011-04 changes certain fair value measurement principles and enhances the disclosure requirements particularly for Level 3 fair value measurements. This pronouncement is effective for reporting periods beginning on or after December 15, 2011, with early adoption prohibited. The new guidance will require prospective application. The Company will adopt this guidance at the beginning of its fiscal 2013. Adoption of this guidance is not expected to have a material impact on the Company’s consolidated results of operations or financial position.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Pr>
          <w:p>
            <w:pPr>
              <w:spacing w:after="0"/>
              <w:rPr>
                <w:sz w:val="20"/>
                <w:szCs w:val="20"/>
                <w:color w:val="auto"/>
              </w:rPr>
            </w:pPr>
            <w:r>
              <w:rPr>
                <w:rFonts w:ascii="Arial" w:cs="Arial" w:eastAsia="Arial" w:hAnsi="Arial"/>
                <w:sz w:val="18"/>
                <w:szCs w:val="18"/>
                <w:b w:val="1"/>
                <w:bCs w:val="1"/>
                <w:color w:val="auto"/>
              </w:rPr>
              <w:t>3.</w:t>
            </w:r>
          </w:p>
        </w:tc>
        <w:tc>
          <w:tcPr>
            <w:tcW w:w="8360" w:type="dxa"/>
            <w:vAlign w:val="bottom"/>
          </w:tcPr>
          <w:p>
            <w:pPr>
              <w:ind w:left="240"/>
              <w:spacing w:after="0"/>
              <w:rPr>
                <w:sz w:val="20"/>
                <w:szCs w:val="20"/>
                <w:color w:val="auto"/>
              </w:rPr>
            </w:pPr>
            <w:r>
              <w:rPr>
                <w:rFonts w:ascii="Arial" w:cs="Arial" w:eastAsia="Arial" w:hAnsi="Arial"/>
                <w:sz w:val="18"/>
                <w:szCs w:val="18"/>
                <w:b w:val="1"/>
                <w:bCs w:val="1"/>
                <w:color w:val="auto"/>
              </w:rPr>
              <w:t>INVENTORIES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874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12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August 31, 2012</w:t>
            </w:r>
          </w:p>
        </w:tc>
        <w:tc>
          <w:tcPr>
            <w:tcW w:w="140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w w:val="91"/>
              </w:rPr>
              <w:t>August 31, 2011</w:t>
            </w: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7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Production materials</w:t>
            </w:r>
          </w:p>
        </w:tc>
        <w:tc>
          <w:tcPr>
            <w:tcW w:w="2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rPr>
              <w:t>1,462,615</w:t>
            </w:r>
          </w:p>
        </w:tc>
        <w:tc>
          <w:tcPr>
            <w:tcW w:w="400" w:type="dxa"/>
            <w:vAlign w:val="bottom"/>
            <w:gridSpan w:val="2"/>
            <w:shd w:val="clear" w:color="auto" w:fill="CCEEFF"/>
          </w:tcPr>
          <w:p>
            <w:pPr>
              <w:ind w:left="120"/>
              <w:spacing w:after="0" w:line="20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rPr>
              <w:t>1,320,082</w:t>
            </w:r>
          </w:p>
        </w:tc>
        <w:tc>
          <w:tcPr>
            <w:tcW w:w="0" w:type="dxa"/>
            <w:vAlign w:val="bottom"/>
          </w:tcPr>
          <w:p>
            <w:pPr>
              <w:spacing w:after="0"/>
              <w:rPr>
                <w:sz w:val="1"/>
                <w:szCs w:val="1"/>
                <w:color w:val="auto"/>
              </w:rPr>
            </w:pPr>
          </w:p>
        </w:tc>
      </w:tr>
      <w:tr>
        <w:trPr>
          <w:trHeight w:val="225"/>
        </w:trPr>
        <w:tc>
          <w:tcPr>
            <w:tcW w:w="874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2,688,582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2,522,772</w:t>
            </w:r>
          </w:p>
        </w:tc>
        <w:tc>
          <w:tcPr>
            <w:tcW w:w="0" w:type="dxa"/>
            <w:vAlign w:val="bottom"/>
          </w:tcPr>
          <w:p>
            <w:pPr>
              <w:spacing w:after="0"/>
              <w:rPr>
                <w:sz w:val="1"/>
                <w:szCs w:val="1"/>
                <w:color w:val="auto"/>
              </w:rPr>
            </w:pPr>
          </w:p>
        </w:tc>
      </w:tr>
      <w:tr>
        <w:trPr>
          <w:trHeight w:val="239"/>
        </w:trPr>
        <w:tc>
          <w:tcPr>
            <w:tcW w:w="380" w:type="dxa"/>
            <w:vAlign w:val="bottom"/>
            <w:shd w:val="clear" w:color="auto" w:fill="CCEEFF"/>
          </w:tcPr>
          <w:p>
            <w:pPr>
              <w:spacing w:after="0"/>
              <w:rPr>
                <w:sz w:val="20"/>
                <w:szCs w:val="20"/>
                <w:color w:val="auto"/>
              </w:rPr>
            </w:pPr>
          </w:p>
        </w:tc>
        <w:tc>
          <w:tcPr>
            <w:tcW w:w="8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4,151,197</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3,842,854</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8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0" w:type="dxa"/>
            <w:vAlign w:val="bottom"/>
          </w:tcPr>
          <w:p>
            <w:pPr>
              <w:spacing w:after="0"/>
              <w:rPr>
                <w:sz w:val="20"/>
                <w:szCs w:val="20"/>
                <w:color w:val="auto"/>
              </w:rPr>
            </w:pPr>
            <w:r>
              <w:rPr>
                <w:rFonts w:ascii="Arial" w:cs="Arial" w:eastAsia="Arial" w:hAnsi="Arial"/>
                <w:sz w:val="18"/>
                <w:szCs w:val="18"/>
                <w:b w:val="1"/>
                <w:bCs w:val="1"/>
                <w:color w:val="auto"/>
              </w:rPr>
              <w:t>4.</w:t>
            </w:r>
          </w:p>
        </w:tc>
        <w:tc>
          <w:tcPr>
            <w:tcW w:w="8480" w:type="dxa"/>
            <w:vAlign w:val="bottom"/>
            <w:gridSpan w:val="2"/>
          </w:tcPr>
          <w:p>
            <w:pPr>
              <w:ind w:left="120"/>
              <w:spacing w:after="0"/>
              <w:rPr>
                <w:sz w:val="20"/>
                <w:szCs w:val="20"/>
                <w:color w:val="auto"/>
              </w:rPr>
            </w:pPr>
            <w:r>
              <w:rPr>
                <w:rFonts w:ascii="Arial" w:cs="Arial" w:eastAsia="Arial" w:hAnsi="Arial"/>
                <w:sz w:val="18"/>
                <w:szCs w:val="18"/>
                <w:b w:val="1"/>
                <w:bCs w:val="1"/>
                <w:color w:val="auto"/>
              </w:rPr>
              <w:t>PROPERTY AND EQUIPMENT, NET</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47"/>
        </w:trPr>
        <w:tc>
          <w:tcPr>
            <w:tcW w:w="8980" w:type="dxa"/>
            <w:vAlign w:val="bottom"/>
            <w:gridSpan w:val="3"/>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91"/>
              </w:rPr>
              <w:t>August 31, 2012</w:t>
            </w:r>
          </w:p>
        </w:tc>
        <w:tc>
          <w:tcPr>
            <w:tcW w:w="1400" w:type="dxa"/>
            <w:vAlign w:val="bottom"/>
            <w:gridSpan w:val="3"/>
          </w:tcPr>
          <w:p>
            <w:pPr>
              <w:ind w:left="120"/>
              <w:spacing w:after="0"/>
              <w:rPr>
                <w:sz w:val="20"/>
                <w:szCs w:val="20"/>
                <w:color w:val="auto"/>
              </w:rPr>
            </w:pPr>
            <w:r>
              <w:rPr>
                <w:rFonts w:ascii="Arial" w:cs="Arial" w:eastAsia="Arial" w:hAnsi="Arial"/>
                <w:sz w:val="18"/>
                <w:szCs w:val="18"/>
                <w:b w:val="1"/>
                <w:bCs w:val="1"/>
                <w:color w:val="auto"/>
                <w:w w:val="91"/>
              </w:rPr>
              <w:t>August 31, 2011</w:t>
            </w:r>
          </w:p>
        </w:tc>
      </w:tr>
      <w:tr>
        <w:trPr>
          <w:trHeight w:val="20"/>
        </w:trPr>
        <w:tc>
          <w:tcPr>
            <w:tcW w:w="50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06"/>
        </w:trPr>
        <w:tc>
          <w:tcPr>
            <w:tcW w:w="5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Land</w:t>
            </w:r>
          </w:p>
        </w:tc>
        <w:tc>
          <w:tcPr>
            <w:tcW w:w="8480" w:type="dxa"/>
            <w:vAlign w:val="bottom"/>
            <w:gridSpan w:val="2"/>
            <w:shd w:val="clear" w:color="auto" w:fill="CCEEFF"/>
          </w:tcPr>
          <w:p>
            <w:pPr>
              <w:ind w:left="8240"/>
              <w:spacing w:after="0" w:line="20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rPr>
              <w:t>310,365</w:t>
            </w:r>
          </w:p>
        </w:tc>
        <w:tc>
          <w:tcPr>
            <w:tcW w:w="360" w:type="dxa"/>
            <w:vAlign w:val="bottom"/>
            <w:gridSpan w:val="2"/>
            <w:shd w:val="clear" w:color="auto" w:fill="CCEEFF"/>
          </w:tcPr>
          <w:p>
            <w:pPr>
              <w:ind w:left="120"/>
              <w:spacing w:after="0" w:line="20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rPr>
              <w:t>310,365</w:t>
            </w:r>
          </w:p>
        </w:tc>
      </w:tr>
      <w:tr>
        <w:trPr>
          <w:trHeight w:val="212"/>
        </w:trPr>
        <w:tc>
          <w:tcPr>
            <w:tcW w:w="8980" w:type="dxa"/>
            <w:vAlign w:val="bottom"/>
            <w:gridSpan w:val="3"/>
          </w:tcPr>
          <w:p>
            <w:pPr>
              <w:spacing w:after="0"/>
              <w:rPr>
                <w:sz w:val="20"/>
                <w:szCs w:val="20"/>
                <w:color w:val="auto"/>
              </w:rPr>
            </w:pPr>
            <w:r>
              <w:rPr>
                <w:rFonts w:ascii="Arial" w:cs="Arial" w:eastAsia="Arial" w:hAnsi="Arial"/>
                <w:sz w:val="18"/>
                <w:szCs w:val="18"/>
                <w:color w:val="auto"/>
              </w:rPr>
              <w:t>Buildings and improvements</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3,406,674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3,110,867</w:t>
            </w:r>
          </w:p>
        </w:tc>
      </w:tr>
      <w:tr>
        <w:trPr>
          <w:trHeight w:val="225"/>
        </w:trPr>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2,908,021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2,213,269</w:t>
            </w:r>
          </w:p>
        </w:tc>
      </w:tr>
      <w:tr>
        <w:trPr>
          <w:trHeight w:val="206"/>
        </w:trPr>
        <w:tc>
          <w:tcPr>
            <w:tcW w:w="500" w:type="dxa"/>
            <w:vAlign w:val="bottom"/>
            <w:tcBorders>
              <w:top w:val="single" w:sz="8" w:color="CCEEFF"/>
            </w:tcBorders>
          </w:tcPr>
          <w:p>
            <w:pPr>
              <w:spacing w:after="0"/>
              <w:rPr>
                <w:sz w:val="17"/>
                <w:szCs w:val="17"/>
                <w:color w:val="auto"/>
              </w:rPr>
            </w:pPr>
          </w:p>
        </w:tc>
        <w:tc>
          <w:tcPr>
            <w:tcW w:w="8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2"/>
              <w:spacing w:after="0" w:line="206" w:lineRule="exact"/>
              <w:rPr>
                <w:sz w:val="20"/>
                <w:szCs w:val="20"/>
                <w:color w:val="auto"/>
              </w:rPr>
            </w:pPr>
            <w:r>
              <w:rPr>
                <w:rFonts w:ascii="Arial" w:cs="Arial" w:eastAsia="Arial" w:hAnsi="Arial"/>
                <w:sz w:val="18"/>
                <w:szCs w:val="18"/>
                <w:color w:val="auto"/>
              </w:rPr>
              <w:t>6,625,060</w:t>
            </w: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2"/>
              <w:spacing w:after="0" w:line="206" w:lineRule="exact"/>
              <w:rPr>
                <w:sz w:val="20"/>
                <w:szCs w:val="20"/>
                <w:color w:val="auto"/>
              </w:rPr>
            </w:pPr>
            <w:r>
              <w:rPr>
                <w:rFonts w:ascii="Arial" w:cs="Arial" w:eastAsia="Arial" w:hAnsi="Arial"/>
                <w:sz w:val="18"/>
                <w:szCs w:val="18"/>
                <w:color w:val="auto"/>
              </w:rPr>
              <w:t>5,634,501</w:t>
            </w:r>
          </w:p>
        </w:tc>
      </w:tr>
      <w:tr>
        <w:trPr>
          <w:trHeight w:val="225"/>
        </w:trPr>
        <w:tc>
          <w:tcPr>
            <w:tcW w:w="8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(2,336,442)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(1,998,166)</w:t>
            </w:r>
          </w:p>
        </w:tc>
      </w:tr>
      <w:tr>
        <w:trPr>
          <w:trHeight w:val="219"/>
        </w:trPr>
        <w:tc>
          <w:tcPr>
            <w:tcW w:w="500" w:type="dxa"/>
            <w:vAlign w:val="bottom"/>
          </w:tcPr>
          <w:p>
            <w:pPr>
              <w:spacing w:after="0"/>
              <w:rPr>
                <w:sz w:val="19"/>
                <w:szCs w:val="19"/>
                <w:color w:val="auto"/>
              </w:rPr>
            </w:pPr>
          </w:p>
        </w:tc>
        <w:tc>
          <w:tcPr>
            <w:tcW w:w="8480" w:type="dxa"/>
            <w:vAlign w:val="bottom"/>
            <w:gridSpan w:val="2"/>
          </w:tcPr>
          <w:p>
            <w:pPr>
              <w:ind w:left="8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4,288,618</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3,636,335</w:t>
            </w:r>
          </w:p>
        </w:tc>
      </w:tr>
      <w:tr>
        <w:trPr>
          <w:trHeight w:val="20"/>
        </w:trPr>
        <w:tc>
          <w:tcPr>
            <w:tcW w:w="50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Pr>
          <w:p>
            <w:pPr>
              <w:spacing w:after="0"/>
              <w:rPr>
                <w:sz w:val="20"/>
                <w:szCs w:val="20"/>
                <w:color w:val="auto"/>
              </w:rPr>
            </w:pPr>
            <w:r>
              <w:rPr>
                <w:rFonts w:ascii="Arial" w:cs="Arial" w:eastAsia="Arial" w:hAnsi="Arial"/>
                <w:sz w:val="18"/>
                <w:szCs w:val="18"/>
                <w:b w:val="1"/>
                <w:bCs w:val="1"/>
                <w:color w:val="auto"/>
              </w:rPr>
              <w:t>5.</w:t>
            </w:r>
          </w:p>
        </w:tc>
        <w:tc>
          <w:tcPr>
            <w:tcW w:w="4380" w:type="dxa"/>
            <w:vAlign w:val="bottom"/>
          </w:tcPr>
          <w:p>
            <w:pPr>
              <w:ind w:left="240"/>
              <w:spacing w:after="0"/>
              <w:rPr>
                <w:sz w:val="20"/>
                <w:szCs w:val="20"/>
                <w:color w:val="auto"/>
              </w:rPr>
            </w:pPr>
            <w:r>
              <w:rPr>
                <w:rFonts w:ascii="Arial" w:cs="Arial" w:eastAsia="Arial" w:hAnsi="Arial"/>
                <w:sz w:val="18"/>
                <w:szCs w:val="18"/>
                <w:b w:val="1"/>
                <w:bCs w:val="1"/>
                <w:color w:val="auto"/>
              </w:rPr>
              <w:t>PATENTS AND TRADEMARKS, NET</w:t>
            </w:r>
          </w:p>
        </w:tc>
        <w:tc>
          <w:tcPr>
            <w:tcW w:w="3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476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3980" w:type="dxa"/>
            <w:vAlign w:val="bottom"/>
          </w:tcPr>
          <w:p>
            <w:pPr>
              <w:spacing w:after="0"/>
              <w:rPr>
                <w:sz w:val="24"/>
                <w:szCs w:val="2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August 31, 2012</w:t>
            </w:r>
          </w:p>
        </w:tc>
        <w:tc>
          <w:tcPr>
            <w:tcW w:w="140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w w:val="91"/>
              </w:rPr>
              <w:t>August 31, 2011</w:t>
            </w: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Patents and trademarks</w:t>
            </w:r>
          </w:p>
        </w:tc>
        <w:tc>
          <w:tcPr>
            <w:tcW w:w="4260" w:type="dxa"/>
            <w:vAlign w:val="bottom"/>
            <w:gridSpan w:val="2"/>
            <w:shd w:val="clear" w:color="auto" w:fill="CCEEFF"/>
          </w:tcPr>
          <w:p>
            <w:pPr>
              <w:ind w:left="3980"/>
              <w:spacing w:after="0" w:line="20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rPr>
              <w:t>1,945,785</w:t>
            </w:r>
          </w:p>
        </w:tc>
        <w:tc>
          <w:tcPr>
            <w:tcW w:w="400" w:type="dxa"/>
            <w:vAlign w:val="bottom"/>
            <w:gridSpan w:val="2"/>
            <w:shd w:val="clear" w:color="auto" w:fill="CCEEFF"/>
          </w:tcPr>
          <w:p>
            <w:pPr>
              <w:ind w:left="120"/>
              <w:spacing w:after="0" w:line="20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rPr>
              <w:t>1,758,722</w:t>
            </w:r>
          </w:p>
        </w:tc>
        <w:tc>
          <w:tcPr>
            <w:tcW w:w="0" w:type="dxa"/>
            <w:vAlign w:val="bottom"/>
          </w:tcPr>
          <w:p>
            <w:pPr>
              <w:spacing w:after="0"/>
              <w:rPr>
                <w:sz w:val="1"/>
                <w:szCs w:val="1"/>
                <w:color w:val="auto"/>
              </w:rPr>
            </w:pPr>
          </w:p>
        </w:tc>
      </w:tr>
      <w:tr>
        <w:trPr>
          <w:trHeight w:val="225"/>
        </w:trPr>
        <w:tc>
          <w:tcPr>
            <w:tcW w:w="476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3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(984,604)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(855,684)</w:t>
            </w:r>
          </w:p>
        </w:tc>
        <w:tc>
          <w:tcPr>
            <w:tcW w:w="0" w:type="dxa"/>
            <w:vAlign w:val="bottom"/>
          </w:tcPr>
          <w:p>
            <w:pPr>
              <w:spacing w:after="0"/>
              <w:rPr>
                <w:sz w:val="1"/>
                <w:szCs w:val="1"/>
                <w:color w:val="auto"/>
              </w:rPr>
            </w:pPr>
          </w:p>
        </w:tc>
      </w:tr>
      <w:tr>
        <w:trPr>
          <w:trHeight w:val="259"/>
        </w:trPr>
        <w:tc>
          <w:tcPr>
            <w:tcW w:w="380" w:type="dxa"/>
            <w:vAlign w:val="bottom"/>
            <w:shd w:val="clear" w:color="auto" w:fill="CCEEFF"/>
          </w:tcPr>
          <w:p>
            <w:pPr>
              <w:spacing w:after="0"/>
              <w:rPr>
                <w:sz w:val="22"/>
                <w:szCs w:val="22"/>
                <w:color w:val="auto"/>
              </w:rPr>
            </w:pPr>
          </w:p>
        </w:tc>
        <w:tc>
          <w:tcPr>
            <w:tcW w:w="4380" w:type="dxa"/>
            <w:vAlign w:val="bottom"/>
            <w:shd w:val="clear" w:color="auto" w:fill="CCEEFF"/>
          </w:tcPr>
          <w:p>
            <w:pPr>
              <w:spacing w:after="0"/>
              <w:rPr>
                <w:sz w:val="22"/>
                <w:szCs w:val="22"/>
                <w:color w:val="auto"/>
              </w:rPr>
            </w:pPr>
          </w:p>
        </w:tc>
        <w:tc>
          <w:tcPr>
            <w:tcW w:w="426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961,181</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903,038</w:t>
            </w:r>
          </w:p>
        </w:tc>
        <w:tc>
          <w:tcPr>
            <w:tcW w:w="0" w:type="dxa"/>
            <w:vAlign w:val="bottom"/>
          </w:tcPr>
          <w:p>
            <w:pPr>
              <w:spacing w:after="0"/>
              <w:rPr>
                <w:sz w:val="1"/>
                <w:szCs w:val="1"/>
                <w:color w:val="auto"/>
              </w:rPr>
            </w:pPr>
          </w:p>
        </w:tc>
      </w:tr>
      <w:tr>
        <w:trPr>
          <w:trHeight w:val="576"/>
        </w:trPr>
        <w:tc>
          <w:tcPr>
            <w:tcW w:w="380" w:type="dxa"/>
            <w:vAlign w:val="bottom"/>
            <w:tcBorders>
              <w:top w:val="single" w:sz="8" w:color="CCEEFF"/>
            </w:tcBorders>
          </w:tcPr>
          <w:p>
            <w:pPr>
              <w:spacing w:after="0"/>
              <w:rPr>
                <w:sz w:val="24"/>
                <w:szCs w:val="24"/>
                <w:color w:val="auto"/>
              </w:rPr>
            </w:pPr>
          </w:p>
        </w:tc>
        <w:tc>
          <w:tcPr>
            <w:tcW w:w="4380" w:type="dxa"/>
            <w:vAlign w:val="bottom"/>
            <w:tcBorders>
              <w:top w:val="single" w:sz="8" w:color="CCEEFF"/>
            </w:tcBorders>
          </w:tcPr>
          <w:p>
            <w:pPr>
              <w:spacing w:after="0"/>
              <w:rPr>
                <w:sz w:val="24"/>
                <w:szCs w:val="24"/>
                <w:color w:val="auto"/>
              </w:rPr>
            </w:pPr>
          </w:p>
        </w:tc>
        <w:tc>
          <w:tcPr>
            <w:tcW w:w="3980" w:type="dxa"/>
            <w:vAlign w:val="bottom"/>
            <w:tcBorders>
              <w:top w:val="single" w:sz="8" w:color="CCEEFF"/>
            </w:tcBorders>
          </w:tcPr>
          <w:p>
            <w:pPr>
              <w:jc w:val="right"/>
              <w:ind w:right="2852"/>
              <w:spacing w:after="0"/>
              <w:rPr>
                <w:sz w:val="20"/>
                <w:szCs w:val="20"/>
                <w:color w:val="auto"/>
              </w:rPr>
            </w:pPr>
            <w:r>
              <w:rPr>
                <w:rFonts w:ascii="Arial" w:cs="Arial" w:eastAsia="Arial" w:hAnsi="Arial"/>
                <w:sz w:val="18"/>
                <w:szCs w:val="18"/>
                <w:color w:val="auto"/>
              </w:rPr>
              <w:t>60</w:t>
            </w: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80" w:type="dxa"/>
            <w:vAlign w:val="bottom"/>
            <w:tcBorders>
              <w:bottom w:val="single" w:sz="8" w:color="808080"/>
            </w:tcBorders>
          </w:tcPr>
          <w:p>
            <w:pPr>
              <w:spacing w:after="0"/>
              <w:rPr>
                <w:sz w:val="12"/>
                <w:szCs w:val="12"/>
                <w:color w:val="auto"/>
              </w:rPr>
            </w:pPr>
          </w:p>
        </w:tc>
        <w:tc>
          <w:tcPr>
            <w:tcW w:w="4380" w:type="dxa"/>
            <w:vAlign w:val="bottom"/>
            <w:tcBorders>
              <w:bottom w:val="single" w:sz="8" w:color="808080"/>
            </w:tcBorders>
          </w:tcPr>
          <w:p>
            <w:pPr>
              <w:spacing w:after="0"/>
              <w:rPr>
                <w:sz w:val="12"/>
                <w:szCs w:val="12"/>
                <w:color w:val="auto"/>
              </w:rPr>
            </w:pPr>
          </w:p>
        </w:tc>
        <w:tc>
          <w:tcPr>
            <w:tcW w:w="398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-37465</wp:posOffset>
            </wp:positionV>
            <wp:extent cx="1270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wp:posOffset>
            </wp:positionV>
            <wp:extent cx="1270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63" w:name="page64"/>
    <w:bookmarkEnd w:id="63"/>
    <w:p>
      <w:pPr>
        <w:ind w:right="240"/>
        <w:spacing w:after="0" w:line="255"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$160,000 in each of the next five fiscal years.</w:t>
      </w:r>
    </w:p>
    <w:p>
      <w:pPr>
        <w:spacing w:after="0" w:line="209" w:lineRule="exact"/>
        <w:rPr>
          <w:sz w:val="20"/>
          <w:szCs w:val="20"/>
          <w:color w:val="auto"/>
        </w:rPr>
      </w:pPr>
    </w:p>
    <w:p>
      <w:pPr>
        <w:ind w:left="620" w:hanging="614"/>
        <w:spacing w:after="0"/>
        <w:tabs>
          <w:tab w:leader="none" w:pos="6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50" w:lineRule="exact"/>
        <w:rPr>
          <w:sz w:val="20"/>
          <w:szCs w:val="20"/>
          <w:color w:val="auto"/>
        </w:rPr>
      </w:pPr>
    </w:p>
    <w:p>
      <w:pPr>
        <w:jc w:val="both"/>
        <w:ind w:right="60"/>
        <w:spacing w:after="0" w:line="271" w:lineRule="auto"/>
        <w:rPr>
          <w:sz w:val="20"/>
          <w:szCs w:val="20"/>
          <w:color w:val="auto"/>
        </w:rPr>
      </w:pPr>
      <w:r>
        <w:rPr>
          <w:rFonts w:ascii="Arial" w:cs="Arial" w:eastAsia="Arial" w:hAnsi="Arial"/>
          <w:sz w:val="17"/>
          <w:szCs w:val="17"/>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financial statements have subsequently been adjusted to conform with accounting principles generally accepted in the United States of America in all material respects. All material profits recorded on sales from the Company to its joint ventures have been eliminated for financial reporting purposes.</w:t>
      </w:r>
    </w:p>
    <w:p>
      <w:pPr>
        <w:spacing w:after="0" w:line="204" w:lineRule="exact"/>
        <w:rPr>
          <w:sz w:val="20"/>
          <w:szCs w:val="20"/>
          <w:color w:val="auto"/>
        </w:rPr>
      </w:pPr>
    </w:p>
    <w:p>
      <w:pPr>
        <w:ind w:right="480"/>
        <w:spacing w:after="0" w:line="252" w:lineRule="auto"/>
        <w:rPr>
          <w:sz w:val="20"/>
          <w:szCs w:val="20"/>
          <w:color w:val="auto"/>
        </w:rPr>
      </w:pPr>
      <w:r>
        <w:rPr>
          <w:rFonts w:ascii="Arial" w:cs="Arial" w:eastAsia="Arial" w:hAnsi="Arial"/>
          <w:sz w:val="18"/>
          <w:szCs w:val="18"/>
          <w:color w:val="auto"/>
        </w:rPr>
        <w:t>Financial information from the audited and unaudited financial statements of EXCOR and NTI ASEAN, and all of the Company’s other joint ventures, are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8"/>
                <w:szCs w:val="18"/>
                <w:b w:val="1"/>
                <w:bCs w:val="1"/>
                <w:color w:val="auto"/>
              </w:rPr>
              <w:t>August 31, 2012</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19"/>
        </w:trPr>
        <w:tc>
          <w:tcPr>
            <w:tcW w:w="6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NTI ASEAN</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2"/>
              </w:rPr>
              <w:t>All Other</w:t>
            </w:r>
          </w:p>
        </w:tc>
      </w:tr>
      <w:tr>
        <w:trPr>
          <w:trHeight w:val="205"/>
        </w:trPr>
        <w:tc>
          <w:tcPr>
            <w:tcW w:w="69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Current assets</w:t>
            </w:r>
          </w:p>
        </w:tc>
        <w:tc>
          <w:tcPr>
            <w:tcW w:w="1100" w:type="dxa"/>
            <w:vAlign w:val="bottom"/>
            <w:gridSpan w:val="2"/>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w w:val="91"/>
              </w:rPr>
              <w:t>$ 61,973,725</w:t>
            </w:r>
          </w:p>
        </w:tc>
        <w:tc>
          <w:tcPr>
            <w:tcW w:w="1120" w:type="dxa"/>
            <w:vAlign w:val="bottom"/>
            <w:gridSpan w:val="2"/>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99"/>
              </w:rPr>
              <w:t>$24,357,139</w:t>
            </w:r>
          </w:p>
        </w:tc>
        <w:tc>
          <w:tcPr>
            <w:tcW w:w="240" w:type="dxa"/>
            <w:vAlign w:val="bottom"/>
            <w:gridSpan w:val="2"/>
            <w:shd w:val="clear" w:color="auto" w:fill="CCEEFF"/>
          </w:tcPr>
          <w:p>
            <w:pPr>
              <w:ind w:left="100"/>
              <w:spacing w:after="0" w:line="20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88"/>
              </w:rPr>
              <w:t>15,358,967</w:t>
            </w:r>
          </w:p>
        </w:tc>
        <w:tc>
          <w:tcPr>
            <w:tcW w:w="2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88"/>
              </w:rPr>
              <w:t>22,257,619</w:t>
            </w:r>
          </w:p>
        </w:tc>
      </w:tr>
      <w:tr>
        <w:trPr>
          <w:trHeight w:val="212"/>
        </w:trPr>
        <w:tc>
          <w:tcPr>
            <w:tcW w:w="6920" w:type="dxa"/>
            <w:vAlign w:val="bottom"/>
          </w:tcPr>
          <w:p>
            <w:pPr>
              <w:spacing w:after="0"/>
              <w:rPr>
                <w:sz w:val="20"/>
                <w:szCs w:val="20"/>
                <w:color w:val="auto"/>
              </w:rPr>
            </w:pPr>
            <w:r>
              <w:rPr>
                <w:rFonts w:ascii="Arial" w:cs="Arial" w:eastAsia="Arial" w:hAnsi="Arial"/>
                <w:sz w:val="18"/>
                <w:szCs w:val="18"/>
                <w:color w:val="auto"/>
              </w:rPr>
              <w:t>Total assets</w:t>
            </w:r>
          </w:p>
        </w:tc>
        <w:tc>
          <w:tcPr>
            <w:tcW w:w="1100" w:type="dxa"/>
            <w:vAlign w:val="bottom"/>
            <w:gridSpan w:val="2"/>
          </w:tcPr>
          <w:p>
            <w:pPr>
              <w:jc w:val="right"/>
              <w:ind w:right="32"/>
              <w:spacing w:after="0"/>
              <w:rPr>
                <w:sz w:val="20"/>
                <w:szCs w:val="20"/>
                <w:color w:val="auto"/>
              </w:rPr>
            </w:pPr>
            <w:r>
              <w:rPr>
                <w:rFonts w:ascii="Arial" w:cs="Arial" w:eastAsia="Arial" w:hAnsi="Arial"/>
                <w:sz w:val="18"/>
                <w:szCs w:val="18"/>
                <w:color w:val="auto"/>
              </w:rPr>
              <w:t>68,585,974</w:t>
            </w:r>
          </w:p>
        </w:tc>
        <w:tc>
          <w:tcPr>
            <w:tcW w:w="1120" w:type="dxa"/>
            <w:vAlign w:val="bottom"/>
            <w:gridSpan w:val="2"/>
          </w:tcPr>
          <w:p>
            <w:pPr>
              <w:jc w:val="right"/>
              <w:ind w:right="12"/>
              <w:spacing w:after="0"/>
              <w:rPr>
                <w:sz w:val="20"/>
                <w:szCs w:val="20"/>
                <w:color w:val="auto"/>
              </w:rPr>
            </w:pPr>
            <w:r>
              <w:rPr>
                <w:rFonts w:ascii="Arial" w:cs="Arial" w:eastAsia="Arial" w:hAnsi="Arial"/>
                <w:sz w:val="18"/>
                <w:szCs w:val="18"/>
                <w:color w:val="auto"/>
              </w:rPr>
              <w:t>26,620,589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15,522,456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26,442,929</w:t>
            </w:r>
          </w:p>
        </w:tc>
      </w:tr>
      <w:tr>
        <w:trPr>
          <w:trHeight w:val="212"/>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18,686,181</w:t>
            </w:r>
          </w:p>
        </w:tc>
        <w:tc>
          <w:tcPr>
            <w:tcW w:w="11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4,749,574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5,763,857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8,172,750</w:t>
            </w:r>
          </w:p>
        </w:tc>
      </w:tr>
      <w:tr>
        <w:trPr>
          <w:trHeight w:val="212"/>
        </w:trPr>
        <w:tc>
          <w:tcPr>
            <w:tcW w:w="69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100" w:type="dxa"/>
            <w:vAlign w:val="bottom"/>
            <w:gridSpan w:val="2"/>
          </w:tcPr>
          <w:p>
            <w:pPr>
              <w:jc w:val="right"/>
              <w:ind w:right="32"/>
              <w:spacing w:after="0"/>
              <w:rPr>
                <w:sz w:val="20"/>
                <w:szCs w:val="20"/>
                <w:color w:val="auto"/>
              </w:rPr>
            </w:pPr>
            <w:r>
              <w:rPr>
                <w:rFonts w:ascii="Arial" w:cs="Arial" w:eastAsia="Arial" w:hAnsi="Arial"/>
                <w:sz w:val="18"/>
                <w:szCs w:val="18"/>
                <w:color w:val="auto"/>
              </w:rPr>
              <w:t>4,700,458</w:t>
            </w:r>
          </w:p>
        </w:tc>
        <w:tc>
          <w:tcPr>
            <w:tcW w:w="12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1,055,965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3,644,493</w:t>
            </w:r>
          </w:p>
        </w:tc>
      </w:tr>
      <w:tr>
        <w:trPr>
          <w:trHeight w:val="212"/>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1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45,199,335</w:t>
            </w:r>
          </w:p>
        </w:tc>
        <w:tc>
          <w:tcPr>
            <w:tcW w:w="11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21,871,015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8,702,634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14,625,686</w:t>
            </w:r>
          </w:p>
        </w:tc>
      </w:tr>
      <w:tr>
        <w:trPr>
          <w:trHeight w:val="212"/>
        </w:trPr>
        <w:tc>
          <w:tcPr>
            <w:tcW w:w="692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1100" w:type="dxa"/>
            <w:vAlign w:val="bottom"/>
            <w:gridSpan w:val="2"/>
          </w:tcPr>
          <w:p>
            <w:pPr>
              <w:jc w:val="right"/>
              <w:ind w:right="32"/>
              <w:spacing w:after="0"/>
              <w:rPr>
                <w:sz w:val="20"/>
                <w:szCs w:val="20"/>
                <w:color w:val="auto"/>
              </w:rPr>
            </w:pPr>
            <w:r>
              <w:rPr>
                <w:rFonts w:ascii="Arial" w:cs="Arial" w:eastAsia="Arial" w:hAnsi="Arial"/>
                <w:sz w:val="18"/>
                <w:szCs w:val="18"/>
                <w:color w:val="auto"/>
              </w:rPr>
              <w:t>21,461,492</w:t>
            </w:r>
          </w:p>
        </w:tc>
        <w:tc>
          <w:tcPr>
            <w:tcW w:w="1120" w:type="dxa"/>
            <w:vAlign w:val="bottom"/>
            <w:gridSpan w:val="2"/>
          </w:tcPr>
          <w:p>
            <w:pPr>
              <w:jc w:val="right"/>
              <w:ind w:right="12"/>
              <w:spacing w:after="0"/>
              <w:rPr>
                <w:sz w:val="20"/>
                <w:szCs w:val="20"/>
                <w:color w:val="auto"/>
              </w:rPr>
            </w:pPr>
            <w:r>
              <w:rPr>
                <w:rFonts w:ascii="Arial" w:cs="Arial" w:eastAsia="Arial" w:hAnsi="Arial"/>
                <w:sz w:val="18"/>
                <w:szCs w:val="18"/>
                <w:color w:val="auto"/>
              </w:rPr>
              <w:t>10,935,509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3,685,404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6,840,579</w:t>
            </w:r>
          </w:p>
        </w:tc>
      </w:tr>
      <w:tr>
        <w:trPr>
          <w:trHeight w:val="212"/>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w w:val="90"/>
              </w:rPr>
              <w:t>Northern Technologies International Corporation's share of joint ventures' undistributed earnings</w:t>
            </w:r>
          </w:p>
        </w:tc>
        <w:tc>
          <w:tcPr>
            <w:tcW w:w="11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1"/>
              </w:rPr>
              <w:t>$ 19,403,150</w:t>
            </w:r>
          </w:p>
        </w:tc>
        <w:tc>
          <w:tcPr>
            <w:tcW w:w="11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$10,904,604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3,314,445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5,184,101</w:t>
            </w: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8"/>
                <w:szCs w:val="18"/>
                <w:b w:val="1"/>
                <w:bCs w:val="1"/>
                <w:color w:val="auto"/>
              </w:rPr>
              <w:t>August 31, 2011</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19"/>
        </w:trPr>
        <w:tc>
          <w:tcPr>
            <w:tcW w:w="6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NTI ASEAN</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2"/>
              </w:rPr>
              <w:t>All Other</w:t>
            </w:r>
          </w:p>
        </w:tc>
      </w:tr>
      <w:tr>
        <w:trPr>
          <w:trHeight w:val="205"/>
        </w:trPr>
        <w:tc>
          <w:tcPr>
            <w:tcW w:w="66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Current assets</w:t>
            </w:r>
          </w:p>
        </w:tc>
        <w:tc>
          <w:tcPr>
            <w:tcW w:w="1400" w:type="dxa"/>
            <w:vAlign w:val="bottom"/>
            <w:gridSpan w:val="2"/>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$ 66,956,061</w:t>
            </w:r>
          </w:p>
        </w:tc>
        <w:tc>
          <w:tcPr>
            <w:tcW w:w="1120" w:type="dxa"/>
            <w:vAlign w:val="bottom"/>
            <w:gridSpan w:val="2"/>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95"/>
              </w:rPr>
              <w:t>$ 24,411,880</w:t>
            </w:r>
          </w:p>
        </w:tc>
        <w:tc>
          <w:tcPr>
            <w:tcW w:w="240" w:type="dxa"/>
            <w:vAlign w:val="bottom"/>
            <w:gridSpan w:val="2"/>
            <w:shd w:val="clear" w:color="auto" w:fill="CCEEFF"/>
          </w:tcPr>
          <w:p>
            <w:pPr>
              <w:ind w:left="100"/>
              <w:spacing w:after="0" w:line="20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88"/>
              </w:rPr>
              <w:t>14,565,219</w:t>
            </w:r>
          </w:p>
        </w:tc>
        <w:tc>
          <w:tcPr>
            <w:tcW w:w="2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88"/>
              </w:rPr>
              <w:t>27,978,962</w:t>
            </w:r>
          </w:p>
        </w:tc>
      </w:tr>
      <w:tr>
        <w:trPr>
          <w:trHeight w:val="212"/>
        </w:trPr>
        <w:tc>
          <w:tcPr>
            <w:tcW w:w="6620" w:type="dxa"/>
            <w:vAlign w:val="bottom"/>
          </w:tcPr>
          <w:p>
            <w:pPr>
              <w:spacing w:after="0"/>
              <w:rPr>
                <w:sz w:val="20"/>
                <w:szCs w:val="20"/>
                <w:color w:val="auto"/>
              </w:rPr>
            </w:pPr>
            <w:r>
              <w:rPr>
                <w:rFonts w:ascii="Arial" w:cs="Arial" w:eastAsia="Arial" w:hAnsi="Arial"/>
                <w:sz w:val="18"/>
                <w:szCs w:val="18"/>
                <w:color w:val="auto"/>
              </w:rPr>
              <w:t>Total assets</w:t>
            </w:r>
          </w:p>
        </w:tc>
        <w:tc>
          <w:tcPr>
            <w:tcW w:w="1400" w:type="dxa"/>
            <w:vAlign w:val="bottom"/>
            <w:gridSpan w:val="2"/>
          </w:tcPr>
          <w:p>
            <w:pPr>
              <w:jc w:val="right"/>
              <w:ind w:right="32"/>
              <w:spacing w:after="0"/>
              <w:rPr>
                <w:sz w:val="20"/>
                <w:szCs w:val="20"/>
                <w:color w:val="auto"/>
              </w:rPr>
            </w:pPr>
            <w:r>
              <w:rPr>
                <w:rFonts w:ascii="Arial" w:cs="Arial" w:eastAsia="Arial" w:hAnsi="Arial"/>
                <w:sz w:val="18"/>
                <w:szCs w:val="18"/>
                <w:color w:val="auto"/>
              </w:rPr>
              <w:t>73,155,916</w:t>
            </w:r>
          </w:p>
        </w:tc>
        <w:tc>
          <w:tcPr>
            <w:tcW w:w="1120" w:type="dxa"/>
            <w:vAlign w:val="bottom"/>
            <w:gridSpan w:val="2"/>
          </w:tcPr>
          <w:p>
            <w:pPr>
              <w:jc w:val="right"/>
              <w:ind w:right="12"/>
              <w:spacing w:after="0"/>
              <w:rPr>
                <w:sz w:val="20"/>
                <w:szCs w:val="20"/>
                <w:color w:val="auto"/>
              </w:rPr>
            </w:pPr>
            <w:r>
              <w:rPr>
                <w:rFonts w:ascii="Arial" w:cs="Arial" w:eastAsia="Arial" w:hAnsi="Arial"/>
                <w:sz w:val="18"/>
                <w:szCs w:val="18"/>
                <w:color w:val="auto"/>
              </w:rPr>
              <w:t>27,093,874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14,759,582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31,302,460</w:t>
            </w:r>
          </w:p>
        </w:tc>
      </w:tr>
      <w:tr>
        <w:trPr>
          <w:trHeight w:val="212"/>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24,712,555</w:t>
            </w:r>
          </w:p>
        </w:tc>
        <w:tc>
          <w:tcPr>
            <w:tcW w:w="11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5,145,239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6,123,684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13,443,632</w:t>
            </w:r>
          </w:p>
        </w:tc>
      </w:tr>
      <w:tr>
        <w:trPr>
          <w:trHeight w:val="212"/>
        </w:trPr>
        <w:tc>
          <w:tcPr>
            <w:tcW w:w="66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00" w:type="dxa"/>
            <w:vAlign w:val="bottom"/>
            <w:gridSpan w:val="2"/>
          </w:tcPr>
          <w:p>
            <w:pPr>
              <w:jc w:val="right"/>
              <w:ind w:right="32"/>
              <w:spacing w:after="0"/>
              <w:rPr>
                <w:sz w:val="20"/>
                <w:szCs w:val="20"/>
                <w:color w:val="auto"/>
              </w:rPr>
            </w:pPr>
            <w:r>
              <w:rPr>
                <w:rFonts w:ascii="Arial" w:cs="Arial" w:eastAsia="Arial" w:hAnsi="Arial"/>
                <w:sz w:val="18"/>
                <w:szCs w:val="18"/>
                <w:color w:val="auto"/>
              </w:rPr>
              <w:t>4,605,837</w:t>
            </w:r>
          </w:p>
        </w:tc>
        <w:tc>
          <w:tcPr>
            <w:tcW w:w="12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1,020,034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3,585,803</w:t>
            </w:r>
          </w:p>
        </w:tc>
      </w:tr>
      <w:tr>
        <w:trPr>
          <w:trHeight w:val="212"/>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4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43,752,524</w:t>
            </w:r>
          </w:p>
        </w:tc>
        <w:tc>
          <w:tcPr>
            <w:tcW w:w="11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21,948,635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7,615,864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14,273,025</w:t>
            </w:r>
          </w:p>
        </w:tc>
      </w:tr>
      <w:tr>
        <w:trPr>
          <w:trHeight w:val="212"/>
        </w:trPr>
        <w:tc>
          <w:tcPr>
            <w:tcW w:w="662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1400" w:type="dxa"/>
            <w:vAlign w:val="bottom"/>
            <w:gridSpan w:val="2"/>
          </w:tcPr>
          <w:p>
            <w:pPr>
              <w:jc w:val="right"/>
              <w:ind w:right="32"/>
              <w:spacing w:after="0"/>
              <w:rPr>
                <w:sz w:val="20"/>
                <w:szCs w:val="20"/>
                <w:color w:val="auto"/>
              </w:rPr>
            </w:pPr>
            <w:r>
              <w:rPr>
                <w:rFonts w:ascii="Arial" w:cs="Arial" w:eastAsia="Arial" w:hAnsi="Arial"/>
                <w:sz w:val="18"/>
                <w:szCs w:val="18"/>
                <w:color w:val="auto"/>
              </w:rPr>
              <w:t>20,559,509</w:t>
            </w:r>
          </w:p>
        </w:tc>
        <w:tc>
          <w:tcPr>
            <w:tcW w:w="1120" w:type="dxa"/>
            <w:vAlign w:val="bottom"/>
            <w:gridSpan w:val="2"/>
          </w:tcPr>
          <w:p>
            <w:pPr>
              <w:jc w:val="right"/>
              <w:ind w:right="12"/>
              <w:spacing w:after="0"/>
              <w:rPr>
                <w:sz w:val="20"/>
                <w:szCs w:val="20"/>
                <w:color w:val="auto"/>
              </w:rPr>
            </w:pPr>
            <w:r>
              <w:rPr>
                <w:rFonts w:ascii="Arial" w:cs="Arial" w:eastAsia="Arial" w:hAnsi="Arial"/>
                <w:sz w:val="18"/>
                <w:szCs w:val="18"/>
                <w:color w:val="auto"/>
              </w:rPr>
              <w:t>10,931,819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2,803,194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6,824,496</w:t>
            </w:r>
          </w:p>
        </w:tc>
      </w:tr>
      <w:tr>
        <w:trPr>
          <w:trHeight w:val="200"/>
        </w:trPr>
        <w:tc>
          <w:tcPr>
            <w:tcW w:w="66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5"/>
              </w:rPr>
              <w:t>Northern Technologies International Corporation's share of joint ventures' undistributed</w:t>
            </w: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5"/>
        </w:trPr>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w:t>
            </w:r>
          </w:p>
        </w:tc>
        <w:tc>
          <w:tcPr>
            <w:tcW w:w="14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$ 18,967,125</w:t>
            </w:r>
          </w:p>
        </w:tc>
        <w:tc>
          <w:tcPr>
            <w:tcW w:w="11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$10,900,914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2,432,235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5,633,976</w:t>
            </w: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8"/>
                <w:szCs w:val="18"/>
                <w:b w:val="1"/>
                <w:bCs w:val="1"/>
                <w:color w:val="auto"/>
              </w:rPr>
              <w:t>Fiscal Year Ended August 31, 2012</w:t>
            </w:r>
          </w:p>
        </w:tc>
        <w:tc>
          <w:tcPr>
            <w:tcW w:w="920" w:type="dxa"/>
            <w:vAlign w:val="bottom"/>
            <w:tcBorders>
              <w:bottom w:val="single" w:sz="8" w:color="auto"/>
            </w:tcBorders>
          </w:tcPr>
          <w:p>
            <w:pPr>
              <w:spacing w:after="0"/>
              <w:rPr>
                <w:sz w:val="20"/>
                <w:szCs w:val="20"/>
                <w:color w:val="auto"/>
              </w:rPr>
            </w:pPr>
          </w:p>
        </w:tc>
      </w:tr>
      <w:tr>
        <w:trPr>
          <w:trHeight w:val="219"/>
        </w:trPr>
        <w:tc>
          <w:tcPr>
            <w:tcW w:w="6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EXCOR</w:t>
            </w:r>
          </w:p>
        </w:tc>
        <w:tc>
          <w:tcPr>
            <w:tcW w:w="100" w:type="dxa"/>
            <w:vAlign w:val="bottom"/>
          </w:tcPr>
          <w:p>
            <w:pPr>
              <w:spacing w:after="0"/>
              <w:rPr>
                <w:sz w:val="19"/>
                <w:szCs w:val="19"/>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NTI ASEAN</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2"/>
              </w:rPr>
              <w:t>All Other</w:t>
            </w:r>
          </w:p>
        </w:tc>
      </w:tr>
      <w:tr>
        <w:trPr>
          <w:trHeight w:val="205"/>
        </w:trPr>
        <w:tc>
          <w:tcPr>
            <w:tcW w:w="67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sales</w:t>
            </w:r>
          </w:p>
        </w:tc>
        <w:tc>
          <w:tcPr>
            <w:tcW w:w="26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85"/>
              </w:rPr>
              <w:t>111,830,961</w:t>
            </w:r>
          </w:p>
        </w:tc>
        <w:tc>
          <w:tcPr>
            <w:tcW w:w="22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86"/>
              </w:rPr>
              <w:t>36,027,979</w:t>
            </w:r>
          </w:p>
        </w:tc>
        <w:tc>
          <w:tcPr>
            <w:tcW w:w="240" w:type="dxa"/>
            <w:vAlign w:val="bottom"/>
            <w:gridSpan w:val="2"/>
            <w:shd w:val="clear" w:color="auto" w:fill="CCEEFF"/>
          </w:tcPr>
          <w:p>
            <w:pPr>
              <w:ind w:left="100"/>
              <w:spacing w:after="0" w:line="20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88"/>
              </w:rPr>
              <w:t>22,035,035</w:t>
            </w:r>
          </w:p>
        </w:tc>
        <w:tc>
          <w:tcPr>
            <w:tcW w:w="2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88"/>
              </w:rPr>
              <w:t>53,767,947</w:t>
            </w:r>
          </w:p>
        </w:tc>
      </w:tr>
      <w:tr>
        <w:trPr>
          <w:trHeight w:val="212"/>
        </w:trPr>
        <w:tc>
          <w:tcPr>
            <w:tcW w:w="678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w w:val="95"/>
              </w:rPr>
              <w:t>50,679,875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86"/>
              </w:rPr>
              <w:t>18,667,848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9,621,930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22,390,097</w:t>
            </w:r>
          </w:p>
        </w:tc>
      </w:tr>
      <w:tr>
        <w:trPr>
          <w:trHeight w:val="212"/>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11,987,323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6,656,298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3,585,476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1,745,549</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w w:val="91"/>
              </w:rPr>
              <w:t>Northern Technologies International Corporation’s share of equity in income of joint ventures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5,519,794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3,318,213</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1,414,248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787,333</w:t>
            </w:r>
          </w:p>
        </w:tc>
      </w:tr>
      <w:tr>
        <w:trPr>
          <w:trHeight w:val="584"/>
        </w:trPr>
        <w:tc>
          <w:tcPr>
            <w:tcW w:w="6780" w:type="dxa"/>
            <w:vAlign w:val="bottom"/>
          </w:tcPr>
          <w:p>
            <w:pPr>
              <w:ind w:left="562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4"/>
        </w:trPr>
        <w:tc>
          <w:tcPr>
            <w:tcW w:w="678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-37465</wp:posOffset>
            </wp:positionV>
            <wp:extent cx="1270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wp:posOffset>
            </wp:positionV>
            <wp:extent cx="1270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0"/>
        </w:trPr>
        <w:tc>
          <w:tcPr>
            <w:tcW w:w="6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8"/>
                <w:szCs w:val="18"/>
                <w:b w:val="1"/>
                <w:bCs w:val="1"/>
                <w:color w:val="auto"/>
              </w:rPr>
              <w:t>Fiscal Year Ended August 31, 2011</w:t>
            </w:r>
          </w:p>
        </w:tc>
        <w:tc>
          <w:tcPr>
            <w:tcW w:w="920" w:type="dxa"/>
            <w:vAlign w:val="bottom"/>
            <w:tcBorders>
              <w:bottom w:val="single" w:sz="8" w:color="auto"/>
            </w:tcBorders>
          </w:tcPr>
          <w:p>
            <w:pPr>
              <w:spacing w:after="0"/>
              <w:rPr>
                <w:sz w:val="20"/>
                <w:szCs w:val="20"/>
                <w:color w:val="auto"/>
              </w:rPr>
            </w:pPr>
          </w:p>
        </w:tc>
      </w:tr>
      <w:tr>
        <w:trPr>
          <w:trHeight w:val="219"/>
        </w:trPr>
        <w:tc>
          <w:tcPr>
            <w:tcW w:w="6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EXCOR</w:t>
            </w:r>
          </w:p>
        </w:tc>
        <w:tc>
          <w:tcPr>
            <w:tcW w:w="100" w:type="dxa"/>
            <w:vAlign w:val="bottom"/>
          </w:tcPr>
          <w:p>
            <w:pPr>
              <w:spacing w:after="0"/>
              <w:rPr>
                <w:sz w:val="19"/>
                <w:szCs w:val="19"/>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NTI ASEAN</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2"/>
              </w:rPr>
              <w:t>All Other</w:t>
            </w:r>
          </w:p>
        </w:tc>
      </w:tr>
      <w:tr>
        <w:trPr>
          <w:trHeight w:val="205"/>
        </w:trPr>
        <w:tc>
          <w:tcPr>
            <w:tcW w:w="69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85"/>
              </w:rPr>
              <w:t>119,276,553</w:t>
            </w:r>
          </w:p>
        </w:tc>
        <w:tc>
          <w:tcPr>
            <w:tcW w:w="22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86"/>
              </w:rPr>
              <w:t>39,038,653</w:t>
            </w:r>
          </w:p>
        </w:tc>
        <w:tc>
          <w:tcPr>
            <w:tcW w:w="240" w:type="dxa"/>
            <w:vAlign w:val="bottom"/>
            <w:gridSpan w:val="2"/>
            <w:shd w:val="clear" w:color="auto" w:fill="CCEEFF"/>
          </w:tcPr>
          <w:p>
            <w:pPr>
              <w:ind w:left="100"/>
              <w:spacing w:after="0" w:line="20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88"/>
              </w:rPr>
              <w:t>18,938,928</w:t>
            </w:r>
          </w:p>
        </w:tc>
        <w:tc>
          <w:tcPr>
            <w:tcW w:w="2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88"/>
              </w:rPr>
              <w:t>61,298,972</w:t>
            </w:r>
          </w:p>
        </w:tc>
      </w:tr>
      <w:tr>
        <w:trPr>
          <w:trHeight w:val="212"/>
        </w:trPr>
        <w:tc>
          <w:tcPr>
            <w:tcW w:w="692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w w:val="95"/>
              </w:rPr>
              <w:t>54,135,274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86"/>
              </w:rPr>
              <w:t>19,080,420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8,812,415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26,242,439</w:t>
            </w:r>
          </w:p>
        </w:tc>
      </w:tr>
      <w:tr>
        <w:trPr>
          <w:trHeight w:val="212"/>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12,221,658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6,804,175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3,147,978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2,269,505</w:t>
            </w: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w w:val="93"/>
              </w:rPr>
              <w:t>Northern Technologies International Corporation’s share of equity in income of joint ventures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5,536,243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3,274,333</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1,212,250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1,049,660</w:t>
            </w:r>
          </w:p>
        </w:tc>
      </w:tr>
    </w:tbl>
    <w:p>
      <w:pPr>
        <w:spacing w:after="0" w:line="21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records expenses that are directly attributable to the joint ventures on its consolidated statements of operations on the line “Expenses incurred in support of joint ventures”. The expenses include items such as employee compensation and benefit expenses, travel expense, consulting expense and legal expense.</w:t>
      </w:r>
    </w:p>
    <w:p>
      <w:pPr>
        <w:spacing w:after="0" w:line="215"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During fiscal 2011, the Company invested $38,217, respectively, in a joint venture in Russia to specifically engage in the oil and gas industry. The Company has a 50% ownership interest in this Russian joint venture.</w:t>
      </w:r>
    </w:p>
    <w:p>
      <w:pPr>
        <w:spacing w:after="0" w:line="20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During fiscal 2012, both the Company and the other 50% owner in Harita NTI Limited agreed to receive additional equity interest in consideration for outstanding fees for services receivable of $484,545 due to each party. The Company did not make any other joint venture investments during fiscal 2012 and fiscal 2011.</w:t>
      </w:r>
    </w:p>
    <w:p>
      <w:pPr>
        <w:spacing w:after="0" w:line="209" w:lineRule="exact"/>
        <w:rPr>
          <w:sz w:val="20"/>
          <w:szCs w:val="20"/>
          <w:color w:val="auto"/>
        </w:rPr>
      </w:pPr>
    </w:p>
    <w:p>
      <w:pPr>
        <w:ind w:left="620" w:hanging="614"/>
        <w:spacing w:after="0"/>
        <w:tabs>
          <w:tab w:leader="none" w:pos="6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50"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As of May 31, 2012, Northern Technologies Holding Company, LLC (NTI LLC) had a term loan with a principal amount of $1,009,533 outstanding that NTI LLC obtained from PNC Bank, National Association (PNC Bank) in connection with the purchase of NTIC’s corporate headquarters in September 2006. The term loan matures on January 10, 2016, bears interest at an annual rate based on the daily LIBOR rate plus 2.15% and is payable in consecutive monthly installments equal to approximately $6,343 (inclusive of principal but exclusive of interest). The term loan is secured by a first lien on the real estate and building owned by NTI LLC and all of the assets of the Company and is guaranteed by the Company.</w:t>
      </w:r>
    </w:p>
    <w:p>
      <w:pPr>
        <w:spacing w:after="0" w:line="204" w:lineRule="exact"/>
        <w:rPr>
          <w:sz w:val="20"/>
          <w:szCs w:val="20"/>
          <w:color w:val="auto"/>
        </w:rPr>
      </w:pPr>
    </w:p>
    <w:p>
      <w:pPr>
        <w:ind w:right="440"/>
        <w:spacing w:after="0" w:line="300" w:lineRule="auto"/>
        <w:rPr>
          <w:sz w:val="20"/>
          <w:szCs w:val="20"/>
          <w:color w:val="auto"/>
        </w:rPr>
      </w:pPr>
      <w:r>
        <w:rPr>
          <w:rFonts w:ascii="Arial" w:cs="Arial" w:eastAsia="Arial" w:hAnsi="Arial"/>
          <w:sz w:val="15"/>
          <w:szCs w:val="15"/>
          <w:color w:val="auto"/>
        </w:rPr>
        <w:t>The Company has a revolving line of credit with PNC Bank of $3,000,000 that expires on January 9, 2013. No amounts were outstanding under the line of credit as of August 31, 2012 and August 31, 2011. It is anticipated that the Company will attempt to renew the line of credit prior to the January 9, 2013 expiration date. At the option of the Company, outstanding advances under the line of credit bear interest at either (a) an annual rate based on LIBOR plus</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2.15% for the applicable LIBOR interest period selected by the Company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As of August 31, 2012, the interest rate was 3.18% and the weighted average rate was 3.17% for fiscal 2012. As of August 31, 2011, the interest rate was 2.50% and the weighted average rate was 2.43% for fiscal 2011. The revolving line of credit is secured by cash, receivables and inventory.</w:t>
      </w:r>
    </w:p>
    <w:p>
      <w:pPr>
        <w:spacing w:after="0" w:line="22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term loan and the line of credit are governed under separate loan agreements (collectively, the Loan Agreements). The Loan Agreements contain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Agreements, the Company is subject to a minimum fixed charge coverage ratio of 1.10:1.00. As of August 31, 2012 the Company is in compliance with all debt covenants.</w:t>
      </w:r>
    </w:p>
    <w:p>
      <w:pPr>
        <w:spacing w:after="0" w:line="204"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On January 10, 2012, the Company and PNC Bank entered into a Waiver and First Amendment to Loan Documents pursuant to which the Company and PNC Bank amended the loan agreement and other documents evidencing the Company’s $3,000,000 line of credit with PNC Bank effective as of January 11, 2012 to extend the maturity date of the line of credit from January 10, 2012 to January 9, 2013, and waive a technical covenant default by the Company to deliver a compliance certificate for the period ended November 30, 2011. All other terms of the line of credit and the loan agreement and other documents evidencing the line of credit remain the same.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sectPr>
      </w:pPr>
    </w:p>
    <w:bookmarkStart w:id="65" w:name="page66"/>
    <w:bookmarkEnd w:id="65"/>
    <w:p>
      <w:pPr>
        <w:ind w:left="620" w:hanging="614"/>
        <w:spacing w:after="0"/>
        <w:tabs>
          <w:tab w:leader="none" w:pos="6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0"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During fiscal 2012, the Company did not purchase or retire any shares of its common stock. The following stock options to purchase shares of common stock were exercised during fiscal 2012: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40" w:type="dxa"/>
            <w:vAlign w:val="bottom"/>
          </w:tcPr>
          <w:p>
            <w:pPr>
              <w:spacing w:after="0"/>
              <w:rPr>
                <w:sz w:val="18"/>
                <w:szCs w:val="18"/>
                <w:color w:val="auto"/>
              </w:rPr>
            </w:pPr>
          </w:p>
        </w:tc>
        <w:tc>
          <w:tcPr>
            <w:tcW w:w="9460" w:type="dxa"/>
            <w:vAlign w:val="bottom"/>
            <w:gridSpan w:val="2"/>
          </w:tcPr>
          <w:p>
            <w:pPr>
              <w:jc w:val="center"/>
              <w:ind w:right="7760"/>
              <w:spacing w:after="0"/>
              <w:rPr>
                <w:sz w:val="20"/>
                <w:szCs w:val="20"/>
                <w:color w:val="auto"/>
              </w:rPr>
            </w:pPr>
            <w:r>
              <w:rPr>
                <w:rFonts w:ascii="Arial" w:cs="Arial" w:eastAsia="Arial" w:hAnsi="Arial"/>
                <w:sz w:val="18"/>
                <w:szCs w:val="18"/>
                <w:b w:val="1"/>
                <w:bCs w:val="1"/>
                <w:color w:val="auto"/>
                <w:w w:val="83"/>
              </w:rPr>
              <w:t>Exercise</w:t>
            </w:r>
          </w:p>
        </w:tc>
      </w:tr>
      <w:tr>
        <w:trPr>
          <w:trHeight w:val="230"/>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Exercised</w:t>
            </w:r>
          </w:p>
        </w:tc>
        <w:tc>
          <w:tcPr>
            <w:tcW w:w="24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Price</w:t>
            </w:r>
          </w:p>
        </w:tc>
        <w:tc>
          <w:tcPr>
            <w:tcW w:w="7760" w:type="dxa"/>
            <w:vAlign w:val="bottom"/>
          </w:tcPr>
          <w:p>
            <w:pPr>
              <w:spacing w:after="0"/>
              <w:rPr>
                <w:sz w:val="20"/>
                <w:szCs w:val="20"/>
                <w:color w:val="auto"/>
              </w:rPr>
            </w:pPr>
          </w:p>
        </w:tc>
      </w:tr>
      <w:tr>
        <w:trPr>
          <w:trHeight w:val="206"/>
        </w:trPr>
        <w:tc>
          <w:tcPr>
            <w:tcW w:w="172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88"/>
              </w:rPr>
              <w:t>1,966</w:t>
            </w:r>
          </w:p>
        </w:tc>
        <w:tc>
          <w:tcPr>
            <w:tcW w:w="1940" w:type="dxa"/>
            <w:vAlign w:val="bottom"/>
            <w:gridSpan w:val="2"/>
            <w:shd w:val="clear" w:color="auto" w:fill="CCEEFF"/>
          </w:tcPr>
          <w:p>
            <w:pPr>
              <w:jc w:val="center"/>
              <w:ind w:left="152"/>
              <w:spacing w:after="0" w:line="206" w:lineRule="exact"/>
              <w:rPr>
                <w:sz w:val="20"/>
                <w:szCs w:val="20"/>
                <w:color w:val="auto"/>
              </w:rPr>
            </w:pPr>
            <w:r>
              <w:rPr>
                <w:rFonts w:ascii="Arial" w:cs="Arial" w:eastAsia="Arial" w:hAnsi="Arial"/>
                <w:sz w:val="18"/>
                <w:szCs w:val="18"/>
                <w:color w:val="auto"/>
                <w:w w:val="84"/>
              </w:rPr>
              <w:t>$7.65</w:t>
            </w:r>
          </w:p>
        </w:tc>
        <w:tc>
          <w:tcPr>
            <w:tcW w:w="7760" w:type="dxa"/>
            <w:vAlign w:val="bottom"/>
            <w:shd w:val="clear" w:color="auto" w:fill="CCEEFF"/>
          </w:tcPr>
          <w:p>
            <w:pPr>
              <w:spacing w:after="0"/>
              <w:rPr>
                <w:sz w:val="17"/>
                <w:szCs w:val="17"/>
                <w:color w:val="auto"/>
              </w:rPr>
            </w:pPr>
          </w:p>
        </w:tc>
      </w:tr>
      <w:tr>
        <w:trPr>
          <w:trHeight w:val="223"/>
        </w:trPr>
        <w:tc>
          <w:tcPr>
            <w:tcW w:w="172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1940" w:type="dxa"/>
            <w:vAlign w:val="bottom"/>
            <w:gridSpan w:val="2"/>
          </w:tcPr>
          <w:p>
            <w:pPr>
              <w:jc w:val="center"/>
              <w:ind w:left="152"/>
              <w:spacing w:after="0"/>
              <w:rPr>
                <w:sz w:val="20"/>
                <w:szCs w:val="20"/>
                <w:color w:val="auto"/>
              </w:rPr>
            </w:pPr>
            <w:r>
              <w:rPr>
                <w:rFonts w:ascii="Arial" w:cs="Arial" w:eastAsia="Arial" w:hAnsi="Arial"/>
                <w:sz w:val="18"/>
                <w:szCs w:val="18"/>
                <w:color w:val="auto"/>
                <w:w w:val="84"/>
              </w:rPr>
              <w:t>$9.75</w:t>
            </w:r>
          </w:p>
        </w:tc>
        <w:tc>
          <w:tcPr>
            <w:tcW w:w="77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-276225</wp:posOffset>
            </wp:positionV>
            <wp:extent cx="4925060" cy="134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25060" cy="13462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the options exercised during fiscal 2012 was $13,872.</w:t>
      </w:r>
    </w:p>
    <w:p>
      <w:pPr>
        <w:spacing w:after="0" w:line="244"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During fiscal 2012, the Company granted stock for payment of fiscal 2011 bonuses under the 2007 Plan for an aggregate of 42,707 shares of its common stock to various employees at a grant price of $14.42 per share. The aggregate fair value of the shares of the Company’s common stock as of the date of grant of the stock bonuses was $615,830, based on the closing sale price of a share of the Company’s common stock on the date of grant. The fair value of common stock granted during fiscal 2012 was based on fiscal 2011 performance and was included in accrued liabilities at August 31, 2011.</w:t>
      </w:r>
    </w:p>
    <w:p>
      <w:pPr>
        <w:spacing w:after="0" w:line="173"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During fiscal 2011, the Company granted stock for payment of fiscal 2010 bonuses under the 2007 Plan for an aggregate of 22,686 shares of its common stock to various employees at a grant price of $14.09 per share. The aggregate fair value of the shares of the Company’s common stock as of the date of grant of the stock bonuses was $319,649, based on the closing sale price of a share of the Company’s common stock on the date of grant. The fair value of common stock granted during fiscal 2011 was based on fiscal 2010 performance and was included in accrued liabilities at August 31, 2010.</w:t>
      </w:r>
    </w:p>
    <w:p>
      <w:pPr>
        <w:spacing w:after="0" w:line="173"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During fiscal 2011, the Company did not purchase or retire any shares of its common stock. The following stock options to purchase shares of common stock were exercised during fiscal 2011: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20" w:type="dxa"/>
            <w:vAlign w:val="bottom"/>
          </w:tcPr>
          <w:p>
            <w:pPr>
              <w:jc w:val="right"/>
              <w:ind w:right="472"/>
              <w:spacing w:after="0"/>
              <w:rPr>
                <w:sz w:val="20"/>
                <w:szCs w:val="20"/>
                <w:color w:val="auto"/>
              </w:rPr>
            </w:pPr>
            <w:r>
              <w:rPr>
                <w:rFonts w:ascii="Arial" w:cs="Arial" w:eastAsia="Arial" w:hAnsi="Arial"/>
                <w:sz w:val="18"/>
                <w:szCs w:val="18"/>
                <w:b w:val="1"/>
                <w:bCs w:val="1"/>
                <w:color w:val="auto"/>
              </w:rPr>
              <w:t>Options</w:t>
            </w:r>
          </w:p>
        </w:tc>
        <w:tc>
          <w:tcPr>
            <w:tcW w:w="240" w:type="dxa"/>
            <w:vAlign w:val="bottom"/>
          </w:tcPr>
          <w:p>
            <w:pPr>
              <w:spacing w:after="0"/>
              <w:rPr>
                <w:sz w:val="18"/>
                <w:szCs w:val="18"/>
                <w:color w:val="auto"/>
              </w:rPr>
            </w:pPr>
          </w:p>
        </w:tc>
        <w:tc>
          <w:tcPr>
            <w:tcW w:w="9460" w:type="dxa"/>
            <w:vAlign w:val="bottom"/>
            <w:gridSpan w:val="2"/>
          </w:tcPr>
          <w:p>
            <w:pPr>
              <w:ind w:left="540"/>
              <w:spacing w:after="0"/>
              <w:rPr>
                <w:sz w:val="20"/>
                <w:szCs w:val="20"/>
                <w:color w:val="auto"/>
              </w:rPr>
            </w:pPr>
            <w:r>
              <w:rPr>
                <w:rFonts w:ascii="Arial" w:cs="Arial" w:eastAsia="Arial" w:hAnsi="Arial"/>
                <w:sz w:val="18"/>
                <w:szCs w:val="18"/>
                <w:b w:val="1"/>
                <w:bCs w:val="1"/>
                <w:color w:val="auto"/>
              </w:rPr>
              <w:t>Exercise</w:t>
            </w:r>
          </w:p>
        </w:tc>
      </w:tr>
      <w:tr>
        <w:trPr>
          <w:trHeight w:val="230"/>
        </w:trPr>
        <w:tc>
          <w:tcPr>
            <w:tcW w:w="17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Exercised</w:t>
            </w:r>
          </w:p>
        </w:tc>
        <w:tc>
          <w:tcPr>
            <w:tcW w:w="240" w:type="dxa"/>
            <w:vAlign w:val="bottom"/>
          </w:tcPr>
          <w:p>
            <w:pPr>
              <w:spacing w:after="0"/>
              <w:rPr>
                <w:sz w:val="20"/>
                <w:szCs w:val="20"/>
                <w:color w:val="auto"/>
              </w:rPr>
            </w:pPr>
          </w:p>
        </w:tc>
        <w:tc>
          <w:tcPr>
            <w:tcW w:w="17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Price</w:t>
            </w:r>
          </w:p>
        </w:tc>
        <w:tc>
          <w:tcPr>
            <w:tcW w:w="7760" w:type="dxa"/>
            <w:vAlign w:val="bottom"/>
          </w:tcPr>
          <w:p>
            <w:pPr>
              <w:spacing w:after="0"/>
              <w:rPr>
                <w:sz w:val="20"/>
                <w:szCs w:val="20"/>
                <w:color w:val="auto"/>
              </w:rPr>
            </w:pPr>
          </w:p>
        </w:tc>
      </w:tr>
      <w:tr>
        <w:trPr>
          <w:trHeight w:val="206"/>
        </w:trPr>
        <w:tc>
          <w:tcPr>
            <w:tcW w:w="1720" w:type="dxa"/>
            <w:vAlign w:val="bottom"/>
            <w:shd w:val="clear" w:color="auto" w:fill="CCEEFF"/>
          </w:tcPr>
          <w:p>
            <w:pPr>
              <w:jc w:val="right"/>
              <w:ind w:right="512"/>
              <w:spacing w:after="0" w:line="206" w:lineRule="exact"/>
              <w:rPr>
                <w:sz w:val="20"/>
                <w:szCs w:val="20"/>
                <w:color w:val="auto"/>
              </w:rPr>
            </w:pPr>
            <w:r>
              <w:rPr>
                <w:rFonts w:ascii="Arial" w:cs="Arial" w:eastAsia="Arial" w:hAnsi="Arial"/>
                <w:sz w:val="18"/>
                <w:szCs w:val="18"/>
                <w:color w:val="auto"/>
              </w:rPr>
              <w:t>40,000</w:t>
            </w:r>
          </w:p>
        </w:tc>
        <w:tc>
          <w:tcPr>
            <w:tcW w:w="1940" w:type="dxa"/>
            <w:vAlign w:val="bottom"/>
            <w:gridSpan w:val="2"/>
            <w:shd w:val="clear" w:color="auto" w:fill="CCEEFF"/>
          </w:tcPr>
          <w:p>
            <w:pPr>
              <w:jc w:val="right"/>
              <w:ind w:right="472"/>
              <w:spacing w:after="0" w:line="206" w:lineRule="exact"/>
              <w:rPr>
                <w:sz w:val="20"/>
                <w:szCs w:val="20"/>
                <w:color w:val="auto"/>
              </w:rPr>
            </w:pPr>
            <w:r>
              <w:rPr>
                <w:rFonts w:ascii="Arial" w:cs="Arial" w:eastAsia="Arial" w:hAnsi="Arial"/>
                <w:sz w:val="18"/>
                <w:szCs w:val="18"/>
                <w:color w:val="auto"/>
              </w:rPr>
              <w:t>$  5.38</w:t>
            </w:r>
          </w:p>
        </w:tc>
        <w:tc>
          <w:tcPr>
            <w:tcW w:w="7760" w:type="dxa"/>
            <w:vAlign w:val="bottom"/>
            <w:shd w:val="clear" w:color="auto" w:fill="CCEEFF"/>
          </w:tcPr>
          <w:p>
            <w:pPr>
              <w:spacing w:after="0"/>
              <w:rPr>
                <w:sz w:val="17"/>
                <w:szCs w:val="17"/>
                <w:color w:val="auto"/>
              </w:rPr>
            </w:pPr>
          </w:p>
        </w:tc>
      </w:tr>
      <w:tr>
        <w:trPr>
          <w:trHeight w:val="212"/>
        </w:trPr>
        <w:tc>
          <w:tcPr>
            <w:tcW w:w="1720" w:type="dxa"/>
            <w:vAlign w:val="bottom"/>
          </w:tcPr>
          <w:p>
            <w:pPr>
              <w:jc w:val="right"/>
              <w:ind w:right="512"/>
              <w:spacing w:after="0"/>
              <w:rPr>
                <w:sz w:val="20"/>
                <w:szCs w:val="20"/>
                <w:color w:val="auto"/>
              </w:rPr>
            </w:pPr>
            <w:r>
              <w:rPr>
                <w:rFonts w:ascii="Arial" w:cs="Arial" w:eastAsia="Arial" w:hAnsi="Arial"/>
                <w:sz w:val="18"/>
                <w:szCs w:val="18"/>
                <w:color w:val="auto"/>
              </w:rPr>
              <w:t>3,300</w:t>
            </w:r>
          </w:p>
        </w:tc>
        <w:tc>
          <w:tcPr>
            <w:tcW w:w="1940" w:type="dxa"/>
            <w:vAlign w:val="bottom"/>
            <w:gridSpan w:val="2"/>
          </w:tcPr>
          <w:p>
            <w:pPr>
              <w:jc w:val="right"/>
              <w:ind w:right="472"/>
              <w:spacing w:after="0"/>
              <w:rPr>
                <w:sz w:val="20"/>
                <w:szCs w:val="20"/>
                <w:color w:val="auto"/>
              </w:rPr>
            </w:pPr>
            <w:r>
              <w:rPr>
                <w:rFonts w:ascii="Arial" w:cs="Arial" w:eastAsia="Arial" w:hAnsi="Arial"/>
                <w:sz w:val="18"/>
                <w:szCs w:val="18"/>
                <w:color w:val="auto"/>
              </w:rPr>
              <w:t>7.65</w:t>
            </w:r>
          </w:p>
        </w:tc>
        <w:tc>
          <w:tcPr>
            <w:tcW w:w="7760" w:type="dxa"/>
            <w:vAlign w:val="bottom"/>
          </w:tcPr>
          <w:p>
            <w:pPr>
              <w:spacing w:after="0"/>
              <w:rPr>
                <w:sz w:val="18"/>
                <w:szCs w:val="18"/>
                <w:color w:val="auto"/>
              </w:rPr>
            </w:pPr>
          </w:p>
        </w:tc>
      </w:tr>
      <w:tr>
        <w:trPr>
          <w:trHeight w:val="212"/>
        </w:trPr>
        <w:tc>
          <w:tcPr>
            <w:tcW w:w="17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666</w:t>
            </w:r>
          </w:p>
        </w:tc>
        <w:tc>
          <w:tcPr>
            <w:tcW w:w="19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7.75</w:t>
            </w:r>
          </w:p>
        </w:tc>
        <w:tc>
          <w:tcPr>
            <w:tcW w:w="7760" w:type="dxa"/>
            <w:vAlign w:val="bottom"/>
            <w:shd w:val="clear" w:color="auto" w:fill="CCEEFF"/>
          </w:tcPr>
          <w:p>
            <w:pPr>
              <w:spacing w:after="0"/>
              <w:rPr>
                <w:sz w:val="18"/>
                <w:szCs w:val="18"/>
                <w:color w:val="auto"/>
              </w:rPr>
            </w:pPr>
          </w:p>
        </w:tc>
      </w:tr>
      <w:tr>
        <w:trPr>
          <w:trHeight w:val="212"/>
        </w:trPr>
        <w:tc>
          <w:tcPr>
            <w:tcW w:w="1720" w:type="dxa"/>
            <w:vAlign w:val="bottom"/>
          </w:tcPr>
          <w:p>
            <w:pPr>
              <w:jc w:val="right"/>
              <w:ind w:right="552"/>
              <w:spacing w:after="0"/>
              <w:rPr>
                <w:sz w:val="20"/>
                <w:szCs w:val="20"/>
                <w:color w:val="auto"/>
              </w:rPr>
            </w:pPr>
            <w:r>
              <w:rPr>
                <w:rFonts w:ascii="Arial" w:cs="Arial" w:eastAsia="Arial" w:hAnsi="Arial"/>
                <w:sz w:val="18"/>
                <w:szCs w:val="18"/>
                <w:color w:val="auto"/>
              </w:rPr>
              <w:t>8,000</w:t>
            </w:r>
          </w:p>
        </w:tc>
        <w:tc>
          <w:tcPr>
            <w:tcW w:w="1940" w:type="dxa"/>
            <w:vAlign w:val="bottom"/>
            <w:gridSpan w:val="2"/>
          </w:tcPr>
          <w:p>
            <w:pPr>
              <w:jc w:val="right"/>
              <w:ind w:right="472"/>
              <w:spacing w:after="0"/>
              <w:rPr>
                <w:sz w:val="20"/>
                <w:szCs w:val="20"/>
                <w:color w:val="auto"/>
              </w:rPr>
            </w:pPr>
            <w:r>
              <w:rPr>
                <w:rFonts w:ascii="Arial" w:cs="Arial" w:eastAsia="Arial" w:hAnsi="Arial"/>
                <w:sz w:val="18"/>
                <w:szCs w:val="18"/>
                <w:color w:val="auto"/>
              </w:rPr>
              <w:t>8.01</w:t>
            </w:r>
          </w:p>
        </w:tc>
        <w:tc>
          <w:tcPr>
            <w:tcW w:w="7760" w:type="dxa"/>
            <w:vAlign w:val="bottom"/>
          </w:tcPr>
          <w:p>
            <w:pPr>
              <w:spacing w:after="0"/>
              <w:rPr>
                <w:sz w:val="18"/>
                <w:szCs w:val="18"/>
                <w:color w:val="auto"/>
              </w:rPr>
            </w:pPr>
          </w:p>
        </w:tc>
      </w:tr>
      <w:tr>
        <w:trPr>
          <w:trHeight w:val="212"/>
        </w:trPr>
        <w:tc>
          <w:tcPr>
            <w:tcW w:w="17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4,000</w:t>
            </w:r>
          </w:p>
        </w:tc>
        <w:tc>
          <w:tcPr>
            <w:tcW w:w="19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8.57</w:t>
            </w:r>
          </w:p>
        </w:tc>
        <w:tc>
          <w:tcPr>
            <w:tcW w:w="7760" w:type="dxa"/>
            <w:vAlign w:val="bottom"/>
            <w:shd w:val="clear" w:color="auto" w:fill="CCEEFF"/>
          </w:tcPr>
          <w:p>
            <w:pPr>
              <w:spacing w:after="0"/>
              <w:rPr>
                <w:sz w:val="18"/>
                <w:szCs w:val="18"/>
                <w:color w:val="auto"/>
              </w:rPr>
            </w:pPr>
          </w:p>
        </w:tc>
      </w:tr>
      <w:tr>
        <w:trPr>
          <w:trHeight w:val="212"/>
        </w:trPr>
        <w:tc>
          <w:tcPr>
            <w:tcW w:w="1720" w:type="dxa"/>
            <w:vAlign w:val="bottom"/>
          </w:tcPr>
          <w:p>
            <w:pPr>
              <w:jc w:val="right"/>
              <w:ind w:right="552"/>
              <w:spacing w:after="0"/>
              <w:rPr>
                <w:sz w:val="20"/>
                <w:szCs w:val="20"/>
                <w:color w:val="auto"/>
              </w:rPr>
            </w:pPr>
            <w:r>
              <w:rPr>
                <w:rFonts w:ascii="Arial" w:cs="Arial" w:eastAsia="Arial" w:hAnsi="Arial"/>
                <w:sz w:val="18"/>
                <w:szCs w:val="18"/>
                <w:color w:val="auto"/>
              </w:rPr>
              <w:t>1,334</w:t>
            </w:r>
          </w:p>
        </w:tc>
        <w:tc>
          <w:tcPr>
            <w:tcW w:w="1940" w:type="dxa"/>
            <w:vAlign w:val="bottom"/>
            <w:gridSpan w:val="2"/>
          </w:tcPr>
          <w:p>
            <w:pPr>
              <w:jc w:val="right"/>
              <w:ind w:right="472"/>
              <w:spacing w:after="0"/>
              <w:rPr>
                <w:sz w:val="20"/>
                <w:szCs w:val="20"/>
                <w:color w:val="auto"/>
              </w:rPr>
            </w:pPr>
            <w:r>
              <w:rPr>
                <w:rFonts w:ascii="Arial" w:cs="Arial" w:eastAsia="Arial" w:hAnsi="Arial"/>
                <w:sz w:val="18"/>
                <w:szCs w:val="18"/>
                <w:color w:val="auto"/>
              </w:rPr>
              <w:t>9.75</w:t>
            </w:r>
          </w:p>
        </w:tc>
        <w:tc>
          <w:tcPr>
            <w:tcW w:w="7760" w:type="dxa"/>
            <w:vAlign w:val="bottom"/>
          </w:tcPr>
          <w:p>
            <w:pPr>
              <w:spacing w:after="0"/>
              <w:rPr>
                <w:sz w:val="18"/>
                <w:szCs w:val="18"/>
                <w:color w:val="auto"/>
              </w:rPr>
            </w:pPr>
          </w:p>
        </w:tc>
      </w:tr>
      <w:tr>
        <w:trPr>
          <w:trHeight w:val="212"/>
        </w:trPr>
        <w:tc>
          <w:tcPr>
            <w:tcW w:w="17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4,000</w:t>
            </w:r>
          </w:p>
        </w:tc>
        <w:tc>
          <w:tcPr>
            <w:tcW w:w="19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9.76</w:t>
            </w:r>
          </w:p>
        </w:tc>
        <w:tc>
          <w:tcPr>
            <w:tcW w:w="7760" w:type="dxa"/>
            <w:vAlign w:val="bottom"/>
            <w:shd w:val="clear" w:color="auto" w:fill="CCEEFF"/>
          </w:tcPr>
          <w:p>
            <w:pPr>
              <w:spacing w:after="0"/>
              <w:rPr>
                <w:sz w:val="18"/>
                <w:szCs w:val="18"/>
                <w:color w:val="auto"/>
              </w:rPr>
            </w:pPr>
          </w:p>
        </w:tc>
      </w:tr>
      <w:tr>
        <w:trPr>
          <w:trHeight w:val="223"/>
        </w:trPr>
        <w:tc>
          <w:tcPr>
            <w:tcW w:w="1720" w:type="dxa"/>
            <w:vAlign w:val="bottom"/>
          </w:tcPr>
          <w:p>
            <w:pPr>
              <w:jc w:val="right"/>
              <w:ind w:right="552"/>
              <w:spacing w:after="0"/>
              <w:rPr>
                <w:sz w:val="20"/>
                <w:szCs w:val="20"/>
                <w:color w:val="auto"/>
              </w:rPr>
            </w:pPr>
            <w:r>
              <w:rPr>
                <w:rFonts w:ascii="Arial" w:cs="Arial" w:eastAsia="Arial" w:hAnsi="Arial"/>
                <w:sz w:val="18"/>
                <w:szCs w:val="18"/>
                <w:color w:val="auto"/>
              </w:rPr>
              <w:t>5,333</w:t>
            </w:r>
          </w:p>
        </w:tc>
        <w:tc>
          <w:tcPr>
            <w:tcW w:w="1940" w:type="dxa"/>
            <w:vAlign w:val="bottom"/>
            <w:gridSpan w:val="2"/>
          </w:tcPr>
          <w:p>
            <w:pPr>
              <w:jc w:val="right"/>
              <w:ind w:right="472"/>
              <w:spacing w:after="0"/>
              <w:rPr>
                <w:sz w:val="20"/>
                <w:szCs w:val="20"/>
                <w:color w:val="auto"/>
              </w:rPr>
            </w:pPr>
            <w:r>
              <w:rPr>
                <w:rFonts w:ascii="Arial" w:cs="Arial" w:eastAsia="Arial" w:hAnsi="Arial"/>
                <w:sz w:val="18"/>
                <w:szCs w:val="18"/>
                <w:color w:val="auto"/>
              </w:rPr>
              <w:t>12.84</w:t>
            </w:r>
          </w:p>
        </w:tc>
        <w:tc>
          <w:tcPr>
            <w:tcW w:w="77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-1083945</wp:posOffset>
            </wp:positionV>
            <wp:extent cx="4925060" cy="134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25060" cy="13462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-814705</wp:posOffset>
            </wp:positionV>
            <wp:extent cx="4925060" cy="134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25060" cy="13462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-545465</wp:posOffset>
            </wp:positionV>
            <wp:extent cx="4925060" cy="134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25060" cy="13462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-276225</wp:posOffset>
            </wp:positionV>
            <wp:extent cx="4925060" cy="134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25060" cy="13462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the options exercised during fiscal 2011 was $480,203.</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66" w:name="page67"/>
    <w:bookmarkEnd w:id="66"/>
    <w:p>
      <w:pPr>
        <w:ind w:left="620" w:hanging="614"/>
        <w:spacing w:after="0"/>
        <w:tabs>
          <w:tab w:leader="none" w:pos="6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TOTAL COMPREHENSIVE INCOME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comprehensive income was as follows for fiscal 2012 and fiscal 2011:</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2011</w:t>
            </w:r>
          </w:p>
        </w:tc>
      </w:tr>
      <w:tr>
        <w:trPr>
          <w:trHeight w:val="206"/>
        </w:trPr>
        <w:tc>
          <w:tcPr>
            <w:tcW w:w="92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Net income attributable to NTIC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w w:val="97"/>
              </w:rPr>
              <w:t>3,448,196</w:t>
            </w:r>
          </w:p>
        </w:tc>
        <w:tc>
          <w:tcPr>
            <w:tcW w:w="26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92"/>
              </w:rPr>
              <w:t>3,900,120</w:t>
            </w:r>
          </w:p>
        </w:tc>
      </w:tr>
      <w:tr>
        <w:trPr>
          <w:trHeight w:val="225"/>
        </w:trPr>
        <w:tc>
          <w:tcPr>
            <w:tcW w:w="9260" w:type="dxa"/>
            <w:vAlign w:val="bottom"/>
            <w:gridSpan w:val="2"/>
          </w:tcPr>
          <w:p>
            <w:pPr>
              <w:spacing w:after="0"/>
              <w:rPr>
                <w:sz w:val="20"/>
                <w:szCs w:val="20"/>
                <w:color w:val="auto"/>
              </w:rPr>
            </w:pPr>
            <w:r>
              <w:rPr>
                <w:rFonts w:ascii="Arial" w:cs="Arial" w:eastAsia="Arial" w:hAnsi="Arial"/>
                <w:sz w:val="18"/>
                <w:szCs w:val="18"/>
                <w:color w:val="auto"/>
              </w:rPr>
              <w:t>Other comprehensive income (loss) – foreign currency translation adjustment</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(2,219,357)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2"/>
              </w:rPr>
              <w:t>1,792,467</w:t>
            </w:r>
          </w:p>
        </w:tc>
      </w:tr>
      <w:tr>
        <w:trPr>
          <w:trHeight w:val="259"/>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 (loss) attributable to NTIC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1,228,839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5,692,587</w:t>
            </w:r>
          </w:p>
        </w:tc>
      </w:tr>
      <w:tr>
        <w:trPr>
          <w:trHeight w:val="430"/>
        </w:trPr>
        <w:tc>
          <w:tcPr>
            <w:tcW w:w="4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10.</w:t>
            </w:r>
          </w:p>
        </w:tc>
        <w:tc>
          <w:tcPr>
            <w:tcW w:w="8780" w:type="dxa"/>
            <w:vAlign w:val="bottom"/>
            <w:tcBorders>
              <w:top w:val="single" w:sz="8" w:color="CCEEFF"/>
            </w:tcBorders>
          </w:tcPr>
          <w:p>
            <w:pPr>
              <w:ind w:left="240"/>
              <w:spacing w:after="0"/>
              <w:rPr>
                <w:sz w:val="20"/>
                <w:szCs w:val="20"/>
                <w:color w:val="auto"/>
              </w:rPr>
            </w:pPr>
            <w:r>
              <w:rPr>
                <w:rFonts w:ascii="Arial" w:cs="Arial" w:eastAsia="Arial" w:hAnsi="Arial"/>
                <w:sz w:val="18"/>
                <w:szCs w:val="18"/>
                <w:b w:val="1"/>
                <w:bCs w:val="1"/>
                <w:color w:val="auto"/>
              </w:rPr>
              <w:t>NET INCOME PER COMMON SHARE</w:t>
            </w: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bl>
    <w:p>
      <w:pPr>
        <w:spacing w:after="0" w:line="227"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20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Options to purchase shares of common stock of 48,000 were excluded from the computation of common share equivalents for fiscal 2012, as the exercise prices of such options were greater than market price of a share of common stock. No options to purchase shares of common stock were excluded from the computation of common share equivalents for fiscal 2011.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earnings per share computation for fiscal 2012 and fiscal 2011:</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5"/>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Numerators:</w:t>
            </w: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91"/>
              </w:rPr>
              <w:t>August 31, 2012</w:t>
            </w:r>
          </w:p>
        </w:tc>
        <w:tc>
          <w:tcPr>
            <w:tcW w:w="1400" w:type="dxa"/>
            <w:vAlign w:val="bottom"/>
            <w:gridSpan w:val="3"/>
          </w:tcPr>
          <w:p>
            <w:pPr>
              <w:ind w:left="120"/>
              <w:spacing w:after="0"/>
              <w:rPr>
                <w:sz w:val="20"/>
                <w:szCs w:val="20"/>
                <w:color w:val="auto"/>
              </w:rPr>
            </w:pPr>
            <w:r>
              <w:rPr>
                <w:rFonts w:ascii="Arial" w:cs="Arial" w:eastAsia="Arial" w:hAnsi="Arial"/>
                <w:sz w:val="18"/>
                <w:szCs w:val="18"/>
                <w:b w:val="1"/>
                <w:bCs w:val="1"/>
                <w:color w:val="auto"/>
                <w:w w:val="91"/>
              </w:rPr>
              <w:t>August 31, 2011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income attributable to NTIC</w:t>
            </w:r>
          </w:p>
        </w:tc>
        <w:tc>
          <w:tcPr>
            <w:tcW w:w="2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rPr>
              <w:t>3,448,196</w:t>
            </w:r>
          </w:p>
        </w:tc>
        <w:tc>
          <w:tcPr>
            <w:tcW w:w="400" w:type="dxa"/>
            <w:vAlign w:val="bottom"/>
            <w:gridSpan w:val="2"/>
            <w:shd w:val="clear" w:color="auto" w:fill="CCEEFF"/>
          </w:tcPr>
          <w:p>
            <w:pPr>
              <w:ind w:left="120"/>
              <w:spacing w:after="0" w:line="20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rPr>
              <w:t>3,900,120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Basic – weighted shares outstanding</w:t>
            </w:r>
          </w:p>
        </w:tc>
        <w:tc>
          <w:tcPr>
            <w:tcW w:w="2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4,391,424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4,325,863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60,170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78,237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Diluted – weighted shares outstanding</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4,451,594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4,404,100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tcPr>
          <w:p>
            <w:pPr>
              <w:spacing w:after="0"/>
              <w:rPr>
                <w:sz w:val="16"/>
                <w:szCs w:val="16"/>
                <w:color w:val="auto"/>
              </w:rPr>
            </w:pPr>
          </w:p>
        </w:tc>
        <w:tc>
          <w:tcPr>
            <w:tcW w:w="8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0.79</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0.78</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dilutive impact summarized above relates to the periods when the average market price of Company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w:t>
      </w:r>
    </w:p>
    <w:p>
      <w:pPr>
        <w:spacing w:after="0" w:line="212" w:lineRule="exact"/>
        <w:rPr>
          <w:sz w:val="20"/>
          <w:szCs w:val="20"/>
          <w:color w:val="auto"/>
        </w:rPr>
      </w:pPr>
    </w:p>
    <w:p>
      <w:pPr>
        <w:ind w:left="700" w:hanging="694"/>
        <w:spacing w:after="0"/>
        <w:tabs>
          <w:tab w:leader="none" w:pos="7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0" w:lineRule="exact"/>
        <w:rPr>
          <w:sz w:val="20"/>
          <w:szCs w:val="20"/>
          <w:color w:val="auto"/>
        </w:rPr>
      </w:pPr>
    </w:p>
    <w:p>
      <w:pPr>
        <w:ind w:right="60"/>
        <w:spacing w:after="0" w:line="330" w:lineRule="auto"/>
        <w:rPr>
          <w:sz w:val="20"/>
          <w:szCs w:val="20"/>
          <w:color w:val="auto"/>
        </w:rPr>
      </w:pPr>
      <w:r>
        <w:rPr>
          <w:rFonts w:ascii="Arial" w:cs="Arial" w:eastAsia="Arial" w:hAnsi="Arial"/>
          <w:sz w:val="15"/>
          <w:szCs w:val="15"/>
          <w:color w:val="auto"/>
        </w:rPr>
        <w:t>The Company has two stock-based compensation plans under which stock options and other stock-based awards have been granted, the Northern Technologies International Corporation Amended and Restated 2007 Stock Incentive Plan (the 2007 Plan) and the Northern Technologies International Corporation Employee Stock Purchase Plan (the ESPP). The Compensation Committee of the Board of Directors and the Board of Directors administers these plans.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67" w:name="page68"/>
    <w:bookmarkEnd w:id="67"/>
    <w:p>
      <w:pPr>
        <w:ind w:right="40"/>
        <w:spacing w:after="0" w:line="307" w:lineRule="auto"/>
        <w:rPr>
          <w:sz w:val="20"/>
          <w:szCs w:val="20"/>
          <w:color w:val="auto"/>
        </w:rPr>
      </w:pPr>
      <w:r>
        <w:rPr>
          <w:rFonts w:ascii="Arial" w:cs="Arial" w:eastAsia="Arial" w:hAnsi="Arial"/>
          <w:sz w:val="15"/>
          <w:szCs w:val="15"/>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five years and become exercisable over a three- or four-year period beginning on the one-year anniversary of the date of grant. Options are granted at per share exercise prices equal to the market value of the Company’s common stock on the date of grant. As of August 31, 2012, only stock options and stock bonuses had been granted under the 2007 Plan.</w:t>
      </w:r>
    </w:p>
    <w:p>
      <w:pPr>
        <w:spacing w:after="0" w:line="17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221"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The fair value of option grants is determined at date of grant, using the Black-Scholes option pricing model with the assumptions listed below. The volatility factor used in the Black-Scholes option pricing model is based on historical stock price fluctuations and the risk free interest rate is based on U.S. treasury rates appropriate for the expected term. Dividend yield and expected volatility are estimated using historical amounts that are anticipated to be consistent with current values. Expected life of option is based on the life of the option agreements. Based on these valuations, the Company recognized compensation expense of $288,396 and $177,937 during fiscal 2012 and 2011, respectively, related to the options that vested during such time period. As of August 31, 2012, the total compensation cost for nonvested options not yet recognized in the Company’s consolidated statements of operations was $28,076. That cost is expected to be recognized over an expected weighted-average period of one year. Stock-based compensation expense of $28,076 is expected to be recognized during fiscal 2013, based on outstanding options as of August 31, 2012. Future option grants will impact the compensation expense recognized.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estimates a ten percent forfeiture rate for stock options, but will continue to review this estimate in future periods.</w:t>
      </w:r>
    </w:p>
    <w:p>
      <w:pPr>
        <w:spacing w:after="0" w:line="244"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August 31, 2012</w:t>
            </w:r>
          </w:p>
        </w:tc>
        <w:tc>
          <w:tcPr>
            <w:tcW w:w="24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August 31, 2011</w:t>
            </w:r>
          </w:p>
        </w:tc>
      </w:tr>
      <w:tr>
        <w:trPr>
          <w:trHeight w:val="206"/>
        </w:trPr>
        <w:tc>
          <w:tcPr>
            <w:tcW w:w="42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Dividend yield</w:t>
            </w:r>
          </w:p>
        </w:tc>
        <w:tc>
          <w:tcPr>
            <w:tcW w:w="5280" w:type="dxa"/>
            <w:vAlign w:val="bottom"/>
            <w:gridSpan w:val="2"/>
            <w:shd w:val="clear" w:color="auto" w:fill="CCEEFF"/>
          </w:tcPr>
          <w:p>
            <w:pPr>
              <w:jc w:val="center"/>
              <w:ind w:left="3492"/>
              <w:spacing w:after="0" w:line="206" w:lineRule="exact"/>
              <w:rPr>
                <w:sz w:val="20"/>
                <w:szCs w:val="20"/>
                <w:color w:val="auto"/>
              </w:rPr>
            </w:pPr>
            <w:r>
              <w:rPr>
                <w:rFonts w:ascii="Arial" w:cs="Arial" w:eastAsia="Arial" w:hAnsi="Arial"/>
                <w:sz w:val="18"/>
                <w:szCs w:val="18"/>
                <w:color w:val="auto"/>
                <w:w w:val="90"/>
              </w:rPr>
              <w:t>0.00%</w:t>
            </w:r>
          </w:p>
        </w:tc>
        <w:tc>
          <w:tcPr>
            <w:tcW w:w="1940" w:type="dxa"/>
            <w:vAlign w:val="bottom"/>
            <w:gridSpan w:val="2"/>
            <w:shd w:val="clear" w:color="auto" w:fill="CCEEFF"/>
          </w:tcPr>
          <w:p>
            <w:pPr>
              <w:jc w:val="center"/>
              <w:ind w:left="152"/>
              <w:spacing w:after="0" w:line="206" w:lineRule="exact"/>
              <w:rPr>
                <w:sz w:val="20"/>
                <w:szCs w:val="20"/>
                <w:color w:val="auto"/>
              </w:rPr>
            </w:pPr>
            <w:r>
              <w:rPr>
                <w:rFonts w:ascii="Arial" w:cs="Arial" w:eastAsia="Arial" w:hAnsi="Arial"/>
                <w:sz w:val="18"/>
                <w:szCs w:val="18"/>
                <w:color w:val="auto"/>
                <w:w w:val="90"/>
              </w:rPr>
              <w:t>0.00%</w:t>
            </w:r>
          </w:p>
        </w:tc>
      </w:tr>
      <w:tr>
        <w:trPr>
          <w:trHeight w:val="212"/>
        </w:trPr>
        <w:tc>
          <w:tcPr>
            <w:tcW w:w="4200" w:type="dxa"/>
            <w:vAlign w:val="bottom"/>
          </w:tcPr>
          <w:p>
            <w:pPr>
              <w:spacing w:after="0"/>
              <w:rPr>
                <w:sz w:val="20"/>
                <w:szCs w:val="20"/>
                <w:color w:val="auto"/>
              </w:rPr>
            </w:pPr>
            <w:r>
              <w:rPr>
                <w:rFonts w:ascii="Arial" w:cs="Arial" w:eastAsia="Arial" w:hAnsi="Arial"/>
                <w:sz w:val="18"/>
                <w:szCs w:val="18"/>
                <w:color w:val="auto"/>
              </w:rPr>
              <w:t>Expected volatility</w:t>
            </w:r>
          </w:p>
        </w:tc>
        <w:tc>
          <w:tcPr>
            <w:tcW w:w="5280" w:type="dxa"/>
            <w:vAlign w:val="bottom"/>
            <w:gridSpan w:val="2"/>
          </w:tcPr>
          <w:p>
            <w:pPr>
              <w:jc w:val="center"/>
              <w:ind w:left="3492"/>
              <w:spacing w:after="0"/>
              <w:rPr>
                <w:sz w:val="20"/>
                <w:szCs w:val="20"/>
                <w:color w:val="auto"/>
              </w:rPr>
            </w:pPr>
            <w:r>
              <w:rPr>
                <w:rFonts w:ascii="Arial" w:cs="Arial" w:eastAsia="Arial" w:hAnsi="Arial"/>
                <w:sz w:val="18"/>
                <w:szCs w:val="18"/>
                <w:color w:val="auto"/>
                <w:w w:val="90"/>
              </w:rPr>
              <w:t>48.8%</w:t>
            </w:r>
          </w:p>
        </w:tc>
        <w:tc>
          <w:tcPr>
            <w:tcW w:w="194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49.2%</w:t>
            </w:r>
          </w:p>
        </w:tc>
      </w:tr>
      <w:tr>
        <w:trPr>
          <w:trHeight w:val="212"/>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35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Weighted average risk-free interest rate</w:t>
            </w:r>
          </w:p>
        </w:tc>
        <w:tc>
          <w:tcPr>
            <w:tcW w:w="5280" w:type="dxa"/>
            <w:vAlign w:val="bottom"/>
            <w:gridSpan w:val="2"/>
          </w:tcPr>
          <w:p>
            <w:pPr>
              <w:jc w:val="center"/>
              <w:ind w:left="3492"/>
              <w:spacing w:after="0"/>
              <w:rPr>
                <w:sz w:val="20"/>
                <w:szCs w:val="20"/>
                <w:color w:val="auto"/>
              </w:rPr>
            </w:pPr>
            <w:r>
              <w:rPr>
                <w:rFonts w:ascii="Arial" w:cs="Arial" w:eastAsia="Arial" w:hAnsi="Arial"/>
                <w:sz w:val="18"/>
                <w:szCs w:val="18"/>
                <w:color w:val="auto"/>
                <w:w w:val="89"/>
              </w:rPr>
              <w:t>1.31 %</w:t>
            </w:r>
          </w:p>
        </w:tc>
        <w:tc>
          <w:tcPr>
            <w:tcW w:w="194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1.31 %</w:t>
            </w:r>
          </w:p>
        </w:tc>
      </w:tr>
      <w:tr>
        <w:trPr>
          <w:trHeight w:val="584"/>
        </w:trPr>
        <w:tc>
          <w:tcPr>
            <w:tcW w:w="4200" w:type="dxa"/>
            <w:vAlign w:val="bottom"/>
          </w:tcPr>
          <w:p>
            <w:pPr>
              <w:spacing w:after="0"/>
              <w:rPr>
                <w:sz w:val="24"/>
                <w:szCs w:val="24"/>
                <w:color w:val="auto"/>
              </w:rPr>
            </w:pPr>
          </w:p>
        </w:tc>
        <w:tc>
          <w:tcPr>
            <w:tcW w:w="3580" w:type="dxa"/>
            <w:vAlign w:val="bottom"/>
          </w:tcPr>
          <w:p>
            <w:pPr>
              <w:jc w:val="right"/>
              <w:ind w:right="1892"/>
              <w:spacing w:after="0"/>
              <w:rPr>
                <w:sz w:val="20"/>
                <w:szCs w:val="20"/>
                <w:color w:val="auto"/>
              </w:rPr>
            </w:pPr>
            <w:r>
              <w:rPr>
                <w:rFonts w:ascii="Arial" w:cs="Arial" w:eastAsia="Arial" w:hAnsi="Arial"/>
                <w:sz w:val="18"/>
                <w:szCs w:val="18"/>
                <w:color w:val="auto"/>
              </w:rPr>
              <w:t>65</w:t>
            </w: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44"/>
        </w:trPr>
        <w:tc>
          <w:tcPr>
            <w:tcW w:w="4200" w:type="dxa"/>
            <w:vAlign w:val="bottom"/>
            <w:tcBorders>
              <w:bottom w:val="single" w:sz="8" w:color="808080"/>
            </w:tcBorders>
          </w:tcPr>
          <w:p>
            <w:pPr>
              <w:spacing w:after="0"/>
              <w:rPr>
                <w:sz w:val="12"/>
                <w:szCs w:val="12"/>
                <w:color w:val="auto"/>
              </w:rPr>
            </w:pPr>
          </w:p>
        </w:tc>
        <w:tc>
          <w:tcPr>
            <w:tcW w:w="3580" w:type="dxa"/>
            <w:vAlign w:val="bottom"/>
            <w:tcBorders>
              <w:bottom w:val="single" w:sz="8" w:color="808080"/>
            </w:tcBorders>
          </w:tcPr>
          <w:p>
            <w:pPr>
              <w:spacing w:after="0"/>
              <w:rPr>
                <w:sz w:val="12"/>
                <w:szCs w:val="12"/>
                <w:color w:val="auto"/>
              </w:rPr>
            </w:pPr>
          </w:p>
        </w:tc>
        <w:tc>
          <w:tcPr>
            <w:tcW w:w="170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7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-37465</wp:posOffset>
            </wp:positionV>
            <wp:extent cx="1270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wp:posOffset>
            </wp:positionV>
            <wp:extent cx="1270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Stock option activity during the periods indicated is as follows: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w w:val="92"/>
              </w:rPr>
              <w:t>Weighted Average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1"/>
              </w:rPr>
              <w:t>Shares (#)</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Intrinsic Value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Outstanding at August 31, 2010</w:t>
            </w:r>
          </w:p>
        </w:tc>
        <w:tc>
          <w:tcPr>
            <w:tcW w:w="100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rPr>
              <w:t>232,472</w:t>
            </w:r>
          </w:p>
        </w:tc>
        <w:tc>
          <w:tcPr>
            <w:tcW w:w="240" w:type="dxa"/>
            <w:vAlign w:val="bottom"/>
            <w:gridSpan w:val="2"/>
            <w:shd w:val="clear" w:color="auto" w:fill="CCEEFF"/>
          </w:tcPr>
          <w:p>
            <w:pPr>
              <w:ind w:left="120"/>
              <w:spacing w:after="0" w:line="20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tcPr>
          <w:p>
            <w:pPr>
              <w:ind w:left="300"/>
              <w:spacing w:after="0"/>
              <w:rPr>
                <w:sz w:val="20"/>
                <w:szCs w:val="20"/>
                <w:color w:val="auto"/>
              </w:rPr>
            </w:pPr>
            <w:r>
              <w:rPr>
                <w:rFonts w:ascii="Arial" w:cs="Arial" w:eastAsia="Arial" w:hAnsi="Arial"/>
                <w:sz w:val="18"/>
                <w:szCs w:val="18"/>
                <w:color w:val="auto"/>
              </w:rPr>
              <w:t>Options granted</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Options exercised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80" w:type="dxa"/>
            <w:vAlign w:val="bottom"/>
          </w:tcPr>
          <w:p>
            <w:pPr>
              <w:ind w:left="300"/>
              <w:spacing w:after="0"/>
              <w:rPr>
                <w:sz w:val="20"/>
                <w:szCs w:val="20"/>
                <w:color w:val="auto"/>
              </w:rPr>
            </w:pPr>
            <w:r>
              <w:rPr>
                <w:rFonts w:ascii="Arial" w:cs="Arial" w:eastAsia="Arial" w:hAnsi="Arial"/>
                <w:sz w:val="18"/>
                <w:szCs w:val="18"/>
                <w:color w:val="auto"/>
              </w:rPr>
              <w:t>Options terminated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7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Outstanding at August 31, 2011</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189,839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Options granted</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tcPr>
          <w:p>
            <w:pPr>
              <w:ind w:left="300"/>
              <w:spacing w:after="0"/>
              <w:rPr>
                <w:sz w:val="20"/>
                <w:szCs w:val="20"/>
                <w:color w:val="auto"/>
              </w:rPr>
            </w:pPr>
            <w:r>
              <w:rPr>
                <w:rFonts w:ascii="Arial" w:cs="Arial" w:eastAsia="Arial" w:hAnsi="Arial"/>
                <w:sz w:val="18"/>
                <w:szCs w:val="18"/>
                <w:color w:val="auto"/>
              </w:rPr>
              <w:t>Options exercised</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3,966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Options terminated</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7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August 31, 2012</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203,873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10.01</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266,332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August 31, 2012</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166,753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190,095</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The weighted average per share fair value of options granted during fiscal 2012 and fiscal 2011 were $7.14 and $3.60, respectively. The weighted average remaining contractual life of the options outstanding as of August 31, 2012 and 2011 was 2.14 years and 2.80 years, respectively.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0" w:type="dxa"/>
            <w:vAlign w:val="bottom"/>
          </w:tcPr>
          <w:p>
            <w:pPr>
              <w:spacing w:after="0"/>
              <w:rPr>
                <w:sz w:val="20"/>
                <w:szCs w:val="20"/>
                <w:color w:val="auto"/>
              </w:rPr>
            </w:pPr>
            <w:r>
              <w:rPr>
                <w:rFonts w:ascii="Arial" w:cs="Arial" w:eastAsia="Arial" w:hAnsi="Arial"/>
                <w:sz w:val="18"/>
                <w:szCs w:val="18"/>
                <w:b w:val="1"/>
                <w:bCs w:val="1"/>
                <w:color w:val="auto"/>
              </w:rPr>
              <w:t>12.</w:t>
            </w:r>
          </w:p>
        </w:tc>
        <w:tc>
          <w:tcPr>
            <w:tcW w:w="8740" w:type="dxa"/>
            <w:vAlign w:val="bottom"/>
          </w:tcPr>
          <w:p>
            <w:pPr>
              <w:ind w:left="440"/>
              <w:spacing w:after="0"/>
              <w:rPr>
                <w:sz w:val="20"/>
                <w:szCs w:val="20"/>
                <w:color w:val="auto"/>
              </w:rPr>
            </w:pPr>
            <w:r>
              <w:rPr>
                <w:rFonts w:ascii="Arial" w:cs="Arial" w:eastAsia="Arial" w:hAnsi="Arial"/>
                <w:sz w:val="18"/>
                <w:szCs w:val="18"/>
                <w:b w:val="1"/>
                <w:bCs w:val="1"/>
                <w:color w:val="auto"/>
              </w:rPr>
              <w:t>GEOGRAPHIC AND SEGMENT INFORMATION</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1"/>
        </w:trPr>
        <w:tc>
          <w:tcPr>
            <w:tcW w:w="9020" w:type="dxa"/>
            <w:vAlign w:val="bottom"/>
            <w:gridSpan w:val="2"/>
          </w:tcPr>
          <w:p>
            <w:pPr>
              <w:spacing w:after="0"/>
              <w:rPr>
                <w:sz w:val="20"/>
                <w:szCs w:val="20"/>
                <w:color w:val="auto"/>
              </w:rPr>
            </w:pPr>
            <w:r>
              <w:rPr>
                <w:rFonts w:ascii="Arial" w:cs="Arial" w:eastAsia="Arial" w:hAnsi="Arial"/>
                <w:sz w:val="18"/>
                <w:szCs w:val="18"/>
                <w:color w:val="auto"/>
              </w:rPr>
              <w:t>Net sales by geographic location as a percentage of total consolidated net sales were as follows: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5"/>
        </w:trPr>
        <w:tc>
          <w:tcPr>
            <w:tcW w:w="28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24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8"/>
                <w:szCs w:val="18"/>
                <w:b w:val="1"/>
                <w:bCs w:val="1"/>
                <w:color w:val="auto"/>
                <w:w w:val="88"/>
              </w:rPr>
              <w:t>Fiscal Year Ended August 31,</w:t>
            </w:r>
          </w:p>
        </w:tc>
      </w:tr>
      <w:tr>
        <w:trPr>
          <w:trHeight w:val="219"/>
        </w:trPr>
        <w:tc>
          <w:tcPr>
            <w:tcW w:w="280" w:type="dxa"/>
            <w:vAlign w:val="bottom"/>
          </w:tcPr>
          <w:p>
            <w:pPr>
              <w:spacing w:after="0"/>
              <w:rPr>
                <w:sz w:val="19"/>
                <w:szCs w:val="19"/>
                <w:color w:val="auto"/>
              </w:rPr>
            </w:pPr>
          </w:p>
        </w:tc>
        <w:tc>
          <w:tcPr>
            <w:tcW w:w="8740" w:type="dxa"/>
            <w:vAlign w:val="bottom"/>
          </w:tcPr>
          <w:p>
            <w:pPr>
              <w:spacing w:after="0"/>
              <w:rPr>
                <w:sz w:val="19"/>
                <w:szCs w:val="19"/>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2011</w:t>
            </w:r>
          </w:p>
        </w:tc>
      </w:tr>
      <w:tr>
        <w:trPr>
          <w:trHeight w:val="205"/>
        </w:trPr>
        <w:tc>
          <w:tcPr>
            <w:tcW w:w="902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Inside the U.S.A. to unaffiliated customers</w:t>
            </w:r>
          </w:p>
        </w:tc>
        <w:tc>
          <w:tcPr>
            <w:tcW w:w="11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64.0%</w:t>
            </w:r>
          </w:p>
        </w:tc>
        <w:tc>
          <w:tcPr>
            <w:tcW w:w="12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63.2%</w:t>
            </w:r>
          </w:p>
        </w:tc>
      </w:tr>
      <w:tr>
        <w:trPr>
          <w:trHeight w:val="212"/>
        </w:trPr>
        <w:tc>
          <w:tcPr>
            <w:tcW w:w="9020" w:type="dxa"/>
            <w:vAlign w:val="bottom"/>
            <w:gridSpan w:val="2"/>
          </w:tcPr>
          <w:p>
            <w:pPr>
              <w:spacing w:after="0"/>
              <w:rPr>
                <w:sz w:val="20"/>
                <w:szCs w:val="20"/>
                <w:color w:val="auto"/>
              </w:rPr>
            </w:pPr>
            <w:r>
              <w:rPr>
                <w:rFonts w:ascii="Arial" w:cs="Arial" w:eastAsia="Arial" w:hAnsi="Arial"/>
                <w:sz w:val="18"/>
                <w:szCs w:val="18"/>
                <w:color w:val="auto"/>
              </w:rPr>
              <w:t>Outside the U.S.A. to:</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2"/>
        </w:trPr>
        <w:tc>
          <w:tcPr>
            <w:tcW w:w="280" w:type="dxa"/>
            <w:vAlign w:val="bottom"/>
            <w:shd w:val="clear" w:color="auto" w:fill="CCEEFF"/>
          </w:tcPr>
          <w:p>
            <w:pPr>
              <w:spacing w:after="0"/>
              <w:rPr>
                <w:sz w:val="18"/>
                <w:szCs w:val="18"/>
                <w:color w:val="auto"/>
              </w:rPr>
            </w:pPr>
          </w:p>
        </w:tc>
        <w:tc>
          <w:tcPr>
            <w:tcW w:w="8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Joint ventures in which the Company is a shareholder directly and indirectly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25"/>
        </w:trPr>
        <w:tc>
          <w:tcPr>
            <w:tcW w:w="280" w:type="dxa"/>
            <w:vAlign w:val="bottom"/>
          </w:tcPr>
          <w:p>
            <w:pPr>
              <w:spacing w:after="0"/>
              <w:rPr>
                <w:sz w:val="19"/>
                <w:szCs w:val="19"/>
                <w:color w:val="auto"/>
              </w:rPr>
            </w:pPr>
          </w:p>
        </w:tc>
        <w:tc>
          <w:tcPr>
            <w:tcW w:w="8740" w:type="dxa"/>
            <w:vAlign w:val="bottom"/>
          </w:tcPr>
          <w:p>
            <w:pPr>
              <w:ind w:left="40"/>
              <w:spacing w:after="0"/>
              <w:rPr>
                <w:sz w:val="20"/>
                <w:szCs w:val="20"/>
                <w:color w:val="auto"/>
              </w:rPr>
            </w:pPr>
            <w:r>
              <w:rPr>
                <w:rFonts w:ascii="Arial" w:cs="Arial" w:eastAsia="Arial" w:hAnsi="Arial"/>
                <w:sz w:val="18"/>
                <w:szCs w:val="18"/>
                <w:color w:val="auto"/>
              </w:rPr>
              <w:t>Unaffiliated customers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59"/>
        </w:trPr>
        <w:tc>
          <w:tcPr>
            <w:tcW w:w="280" w:type="dxa"/>
            <w:vAlign w:val="bottom"/>
            <w:tcBorders>
              <w:bottom w:val="single" w:sz="8" w:color="CCEEFF"/>
            </w:tcBorders>
            <w:shd w:val="clear" w:color="auto" w:fill="CCEEFF"/>
          </w:tcPr>
          <w:p>
            <w:pPr>
              <w:spacing w:after="0"/>
              <w:rPr>
                <w:sz w:val="22"/>
                <w:szCs w:val="22"/>
                <w:color w:val="auto"/>
              </w:rPr>
            </w:pPr>
          </w:p>
        </w:tc>
        <w:tc>
          <w:tcPr>
            <w:tcW w:w="87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44" w:lineRule="exact"/>
        <w:rPr>
          <w:sz w:val="20"/>
          <w:szCs w:val="20"/>
          <w:color w:val="auto"/>
        </w:rPr>
      </w:pPr>
    </w:p>
    <w:p>
      <w:pPr>
        <w:ind w:right="340"/>
        <w:spacing w:after="0" w:line="265"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fiscal 2012 and fiscal 2011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 of Total Fees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72"/>
              <w:spacing w:after="0"/>
              <w:rPr>
                <w:sz w:val="20"/>
                <w:szCs w:val="20"/>
                <w:color w:val="auto"/>
              </w:rPr>
            </w:pPr>
            <w:r>
              <w:rPr>
                <w:rFonts w:ascii="Arial" w:cs="Arial" w:eastAsia="Arial" w:hAnsi="Arial"/>
                <w:sz w:val="18"/>
                <w:szCs w:val="18"/>
                <w:b w:val="1"/>
                <w:bCs w:val="1"/>
                <w:color w:val="auto"/>
                <w:w w:val="89"/>
              </w:rPr>
              <w:t>% of Total Fees</w:t>
            </w:r>
          </w:p>
        </w:tc>
      </w:tr>
      <w:tr>
        <w:trPr>
          <w:trHeight w:val="212"/>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right="132"/>
              <w:spacing w:after="0"/>
              <w:rPr>
                <w:sz w:val="20"/>
                <w:szCs w:val="20"/>
                <w:color w:val="auto"/>
              </w:rPr>
            </w:pPr>
            <w:r>
              <w:rPr>
                <w:rFonts w:ascii="Arial" w:cs="Arial" w:eastAsia="Arial" w:hAnsi="Arial"/>
                <w:sz w:val="18"/>
                <w:szCs w:val="18"/>
                <w:b w:val="1"/>
                <w:bCs w:val="1"/>
                <w:color w:val="auto"/>
                <w:w w:val="85"/>
              </w:rPr>
              <w:t>for Services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for Services</w:t>
            </w:r>
          </w:p>
        </w:tc>
      </w:tr>
      <w:tr>
        <w:trPr>
          <w:trHeight w:val="212"/>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Provided to Joint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Provided to Joint</w:t>
            </w:r>
          </w:p>
        </w:tc>
      </w:tr>
      <w:tr>
        <w:trPr>
          <w:trHeight w:val="212"/>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right="112"/>
              <w:spacing w:after="0"/>
              <w:rPr>
                <w:sz w:val="20"/>
                <w:szCs w:val="20"/>
                <w:color w:val="auto"/>
              </w:rPr>
            </w:pPr>
            <w:r>
              <w:rPr>
                <w:rFonts w:ascii="Arial" w:cs="Arial" w:eastAsia="Arial" w:hAnsi="Arial"/>
                <w:sz w:val="18"/>
                <w:szCs w:val="18"/>
                <w:b w:val="1"/>
                <w:bCs w:val="1"/>
                <w:color w:val="auto"/>
                <w:w w:val="86"/>
              </w:rPr>
              <w:t>Ventures in Fiscal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Ventures in</w:t>
            </w:r>
          </w:p>
        </w:tc>
      </w:tr>
      <w:tr>
        <w:trPr>
          <w:trHeight w:val="230"/>
        </w:trPr>
        <w:tc>
          <w:tcPr>
            <w:tcW w:w="3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w w:val="87"/>
              </w:rPr>
              <w:t>Fiscal 2012</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10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w w:val="89"/>
              </w:rPr>
              <w:t>Fiscal 2011</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5"/>
              </w:rPr>
              <w:t>Fiscal 2011</w:t>
            </w:r>
          </w:p>
        </w:tc>
      </w:tr>
      <w:tr>
        <w:trPr>
          <w:trHeight w:val="206"/>
        </w:trPr>
        <w:tc>
          <w:tcPr>
            <w:tcW w:w="34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Japan</w:t>
            </w:r>
          </w:p>
        </w:tc>
        <w:tc>
          <w:tcPr>
            <w:tcW w:w="28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92"/>
              </w:rPr>
              <w:t>1,022,386</w:t>
            </w:r>
          </w:p>
        </w:tc>
        <w:tc>
          <w:tcPr>
            <w:tcW w:w="16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22.1%</w:t>
            </w:r>
          </w:p>
        </w:tc>
        <w:tc>
          <w:tcPr>
            <w:tcW w:w="2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92"/>
              </w:rPr>
              <w:t>1,184,205</w:t>
            </w:r>
          </w:p>
        </w:tc>
        <w:tc>
          <w:tcPr>
            <w:tcW w:w="15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19.3%</w:t>
            </w:r>
          </w:p>
        </w:tc>
      </w:tr>
      <w:tr>
        <w:trPr>
          <w:trHeight w:val="212"/>
        </w:trPr>
        <w:tc>
          <w:tcPr>
            <w:tcW w:w="3420" w:type="dxa"/>
            <w:vAlign w:val="bottom"/>
          </w:tcPr>
          <w:p>
            <w:pPr>
              <w:spacing w:after="0"/>
              <w:rPr>
                <w:sz w:val="20"/>
                <w:szCs w:val="20"/>
                <w:color w:val="auto"/>
              </w:rPr>
            </w:pPr>
            <w:r>
              <w:rPr>
                <w:rFonts w:ascii="Arial" w:cs="Arial" w:eastAsia="Arial" w:hAnsi="Arial"/>
                <w:sz w:val="18"/>
                <w:szCs w:val="18"/>
                <w:color w:val="auto"/>
              </w:rPr>
              <w:t>Germany</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994,347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1,066,659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17.4%</w:t>
            </w:r>
          </w:p>
        </w:tc>
      </w:tr>
      <w:tr>
        <w:trPr>
          <w:trHeight w:val="212"/>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587,069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575,271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12"/>
        </w:trPr>
        <w:tc>
          <w:tcPr>
            <w:tcW w:w="3420" w:type="dxa"/>
            <w:vAlign w:val="bottom"/>
          </w:tcPr>
          <w:p>
            <w:pPr>
              <w:spacing w:after="0"/>
              <w:rPr>
                <w:sz w:val="20"/>
                <w:szCs w:val="20"/>
                <w:color w:val="auto"/>
              </w:rPr>
            </w:pPr>
            <w:r>
              <w:rPr>
                <w:rFonts w:ascii="Arial" w:cs="Arial" w:eastAsia="Arial" w:hAnsi="Arial"/>
                <w:sz w:val="18"/>
                <w:szCs w:val="18"/>
                <w:color w:val="auto"/>
              </w:rPr>
              <w:t>France</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517,708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727,653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11.9%</w:t>
            </w:r>
          </w:p>
        </w:tc>
      </w:tr>
      <w:tr>
        <w:trPr>
          <w:trHeight w:val="212"/>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491,988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535,913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2"/>
        </w:trPr>
        <w:tc>
          <w:tcPr>
            <w:tcW w:w="3420" w:type="dxa"/>
            <w:vAlign w:val="bottom"/>
          </w:tcPr>
          <w:p>
            <w:pPr>
              <w:spacing w:after="0"/>
              <w:rPr>
                <w:sz w:val="20"/>
                <w:szCs w:val="20"/>
                <w:color w:val="auto"/>
              </w:rPr>
            </w:pPr>
            <w:r>
              <w:rPr>
                <w:rFonts w:ascii="Arial" w:cs="Arial" w:eastAsia="Arial" w:hAnsi="Arial"/>
                <w:sz w:val="18"/>
                <w:szCs w:val="18"/>
                <w:color w:val="auto"/>
              </w:rPr>
              <w:t>Poland</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456,837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317,020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2"/>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309,938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306,586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2"/>
        </w:trPr>
        <w:tc>
          <w:tcPr>
            <w:tcW w:w="3420" w:type="dxa"/>
            <w:vAlign w:val="bottom"/>
          </w:tcPr>
          <w:p>
            <w:pPr>
              <w:spacing w:after="0"/>
              <w:rPr>
                <w:sz w:val="20"/>
                <w:szCs w:val="20"/>
                <w:color w:val="auto"/>
              </w:rPr>
            </w:pPr>
            <w:r>
              <w:rPr>
                <w:rFonts w:ascii="Arial" w:cs="Arial" w:eastAsia="Arial" w:hAnsi="Arial"/>
                <w:sz w:val="18"/>
                <w:szCs w:val="18"/>
                <w:color w:val="auto"/>
              </w:rPr>
              <w:t>India</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(192,758)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844,147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13.8%</w:t>
            </w:r>
          </w:p>
        </w:tc>
      </w:tr>
      <w:tr>
        <w:trPr>
          <w:trHeight w:val="225"/>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435,398</w:t>
            </w:r>
          </w:p>
        </w:tc>
        <w:tc>
          <w:tcPr>
            <w:tcW w:w="1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572,525</w:t>
            </w: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18"/>
        </w:trPr>
        <w:tc>
          <w:tcPr>
            <w:tcW w:w="3420" w:type="dxa"/>
            <w:vAlign w:val="bottom"/>
          </w:tcPr>
          <w:p>
            <w:pPr>
              <w:spacing w:after="0"/>
              <w:rPr>
                <w:sz w:val="18"/>
                <w:szCs w:val="18"/>
                <w:color w:val="auto"/>
              </w:rPr>
            </w:pP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4,622,912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6,129,979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590"/>
        </w:trPr>
        <w:tc>
          <w:tcPr>
            <w:tcW w:w="3420" w:type="dxa"/>
            <w:vAlign w:val="bottom"/>
          </w:tcPr>
          <w:p>
            <w:pPr>
              <w:spacing w:after="0"/>
              <w:rPr>
                <w:sz w:val="24"/>
                <w:szCs w:val="24"/>
                <w:color w:val="auto"/>
              </w:rPr>
            </w:pPr>
          </w:p>
        </w:tc>
        <w:tc>
          <w:tcPr>
            <w:tcW w:w="2660" w:type="dxa"/>
            <w:vAlign w:val="bottom"/>
          </w:tcPr>
          <w:p>
            <w:pPr>
              <w:jc w:val="right"/>
              <w:ind w:right="192"/>
              <w:spacing w:after="0"/>
              <w:rPr>
                <w:sz w:val="20"/>
                <w:szCs w:val="20"/>
                <w:color w:val="auto"/>
              </w:rPr>
            </w:pPr>
            <w:r>
              <w:rPr>
                <w:rFonts w:ascii="Arial" w:cs="Arial" w:eastAsia="Arial" w:hAnsi="Arial"/>
                <w:sz w:val="18"/>
                <w:szCs w:val="18"/>
                <w:color w:val="auto"/>
              </w:rPr>
              <w:t>66</w:t>
            </w: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r>
      <w:tr>
        <w:trPr>
          <w:trHeight w:val="144"/>
        </w:trPr>
        <w:tc>
          <w:tcPr>
            <w:tcW w:w="3420" w:type="dxa"/>
            <w:vAlign w:val="bottom"/>
            <w:tcBorders>
              <w:bottom w:val="single" w:sz="8" w:color="808080"/>
            </w:tcBorders>
          </w:tcPr>
          <w:p>
            <w:pPr>
              <w:spacing w:after="0"/>
              <w:rPr>
                <w:sz w:val="12"/>
                <w:szCs w:val="12"/>
                <w:color w:val="auto"/>
              </w:rPr>
            </w:pPr>
          </w:p>
        </w:tc>
        <w:tc>
          <w:tcPr>
            <w:tcW w:w="266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5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4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-37465</wp:posOffset>
            </wp:positionV>
            <wp:extent cx="1270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wp:posOffset>
            </wp:positionV>
            <wp:extent cx="1270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The following table sets forth the Company’s net sales for fiscal 2012 and fiscal 2011 by segment: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w:t>
            </w:r>
          </w:p>
        </w:tc>
      </w:tr>
      <w:tr>
        <w:trPr>
          <w:trHeight w:val="230"/>
        </w:trPr>
        <w:tc>
          <w:tcPr>
            <w:tcW w:w="43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8"/>
                <w:szCs w:val="18"/>
                <w:b w:val="1"/>
                <w:bCs w:val="1"/>
                <w:color w:val="auto"/>
                <w:w w:val="89"/>
              </w:rPr>
              <w:t>Fiscal 2012</w:t>
            </w:r>
          </w:p>
        </w:tc>
        <w:tc>
          <w:tcPr>
            <w:tcW w:w="120" w:type="dxa"/>
            <w:vAlign w:val="bottom"/>
          </w:tcPr>
          <w:p>
            <w:pPr>
              <w:spacing w:after="0"/>
              <w:rPr>
                <w:sz w:val="20"/>
                <w:szCs w:val="20"/>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Fiscal 2011</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3"/>
              </w:rPr>
              <w:t>Change</w:t>
            </w:r>
          </w:p>
        </w:tc>
        <w:tc>
          <w:tcPr>
            <w:tcW w:w="100" w:type="dxa"/>
            <w:vAlign w:val="bottom"/>
          </w:tcPr>
          <w:p>
            <w:pPr>
              <w:spacing w:after="0"/>
              <w:rPr>
                <w:sz w:val="20"/>
                <w:szCs w:val="20"/>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Change</w:t>
            </w:r>
          </w:p>
        </w:tc>
      </w:tr>
      <w:tr>
        <w:trPr>
          <w:trHeight w:val="206"/>
        </w:trPr>
        <w:tc>
          <w:tcPr>
            <w:tcW w:w="4320" w:type="dxa"/>
            <w:vAlign w:val="bottom"/>
            <w:shd w:val="clear" w:color="auto" w:fill="CCEEFF"/>
          </w:tcPr>
          <w:p>
            <w:pPr>
              <w:spacing w:after="0" w:line="205" w:lineRule="exact"/>
              <w:rPr>
                <w:sz w:val="20"/>
                <w:szCs w:val="20"/>
                <w:color w:val="auto"/>
              </w:rPr>
            </w:pPr>
            <w:r>
              <w:rPr>
                <w:rFonts w:ascii="Arial" w:cs="Arial" w:eastAsia="Arial" w:hAnsi="Arial"/>
                <w:sz w:val="17"/>
                <w:szCs w:val="17"/>
                <w:color w:val="auto"/>
              </w:rPr>
              <w:t>ZERUST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net sales</w:t>
            </w:r>
          </w:p>
        </w:tc>
        <w:tc>
          <w:tcPr>
            <w:tcW w:w="3700" w:type="dxa"/>
            <w:vAlign w:val="bottom"/>
            <w:gridSpan w:val="5"/>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$ 20,971,275</w:t>
            </w:r>
          </w:p>
        </w:tc>
        <w:tc>
          <w:tcPr>
            <w:tcW w:w="1060" w:type="dxa"/>
            <w:vAlign w:val="bottom"/>
            <w:gridSpan w:val="3"/>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w w:val="99"/>
              </w:rPr>
              <w:t>$18,542,523</w:t>
            </w:r>
          </w:p>
        </w:tc>
        <w:tc>
          <w:tcPr>
            <w:tcW w:w="260" w:type="dxa"/>
            <w:vAlign w:val="bottom"/>
            <w:gridSpan w:val="3"/>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97"/>
              </w:rPr>
              <w:t>2,428,752</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13.1%</w:t>
            </w:r>
          </w:p>
        </w:tc>
      </w:tr>
      <w:tr>
        <w:trPr>
          <w:trHeight w:val="239"/>
        </w:trPr>
        <w:tc>
          <w:tcPr>
            <w:tcW w:w="4320" w:type="dxa"/>
            <w:vAlign w:val="bottom"/>
            <w:tcBorders>
              <w:bottom w:val="single" w:sz="8" w:color="auto"/>
            </w:tcBorders>
          </w:tcPr>
          <w:p>
            <w:pPr>
              <w:spacing w:after="0" w:line="239" w:lineRule="exact"/>
              <w:rPr>
                <w:sz w:val="20"/>
                <w:szCs w:val="20"/>
                <w:color w:val="auto"/>
              </w:rPr>
            </w:pPr>
            <w:r>
              <w:rPr>
                <w:rFonts w:ascii="Arial" w:cs="Arial" w:eastAsia="Arial" w:hAnsi="Arial"/>
                <w:sz w:val="18"/>
                <w:szCs w:val="18"/>
                <w:color w:val="auto"/>
              </w:rPr>
              <w:t>Natur-Tec</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sales</w:t>
            </w:r>
          </w:p>
        </w:tc>
        <w:tc>
          <w:tcPr>
            <w:tcW w:w="3700" w:type="dxa"/>
            <w:vAlign w:val="bottom"/>
            <w:tcBorders>
              <w:bottom w:val="single" w:sz="8" w:color="auto"/>
            </w:tcBorders>
            <w:gridSpan w:val="5"/>
          </w:tcPr>
          <w:p>
            <w:pPr>
              <w:jc w:val="right"/>
              <w:ind w:right="32"/>
              <w:spacing w:after="0"/>
              <w:rPr>
                <w:sz w:val="20"/>
                <w:szCs w:val="20"/>
                <w:color w:val="auto"/>
              </w:rPr>
            </w:pPr>
            <w:r>
              <w:rPr>
                <w:rFonts w:ascii="Arial" w:cs="Arial" w:eastAsia="Arial" w:hAnsi="Arial"/>
                <w:sz w:val="18"/>
                <w:szCs w:val="18"/>
                <w:color w:val="auto"/>
              </w:rPr>
              <w:t>1,810,378</w:t>
            </w:r>
          </w:p>
        </w:tc>
        <w:tc>
          <w:tcPr>
            <w:tcW w:w="1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984,004</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826,374</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84.0%</w:t>
            </w:r>
          </w:p>
        </w:tc>
      </w:tr>
      <w:tr>
        <w:trPr>
          <w:trHeight w:val="205"/>
        </w:trPr>
        <w:tc>
          <w:tcPr>
            <w:tcW w:w="4320" w:type="dxa"/>
            <w:vAlign w:val="bottom"/>
            <w:shd w:val="clear" w:color="auto" w:fill="CCEEFF"/>
          </w:tcPr>
          <w:p>
            <w:pPr>
              <w:spacing w:after="0"/>
              <w:rPr>
                <w:sz w:val="17"/>
                <w:szCs w:val="17"/>
                <w:color w:val="auto"/>
              </w:rPr>
            </w:pPr>
          </w:p>
        </w:tc>
        <w:tc>
          <w:tcPr>
            <w:tcW w:w="3700" w:type="dxa"/>
            <w:vAlign w:val="bottom"/>
            <w:gridSpan w:val="5"/>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$ 22,781,653</w:t>
            </w:r>
          </w:p>
        </w:tc>
        <w:tc>
          <w:tcPr>
            <w:tcW w:w="1060" w:type="dxa"/>
            <w:vAlign w:val="bottom"/>
            <w:gridSpan w:val="3"/>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w w:val="99"/>
              </w:rPr>
              <w:t>$19,526,527</w:t>
            </w:r>
          </w:p>
        </w:tc>
        <w:tc>
          <w:tcPr>
            <w:tcW w:w="260" w:type="dxa"/>
            <w:vAlign w:val="bottom"/>
            <w:gridSpan w:val="3"/>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97"/>
              </w:rPr>
              <w:t>3,255,126</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16.7%</w:t>
            </w:r>
          </w:p>
        </w:tc>
      </w:tr>
      <w:tr>
        <w:trPr>
          <w:trHeight w:val="450"/>
        </w:trPr>
        <w:tc>
          <w:tcPr>
            <w:tcW w:w="8020" w:type="dxa"/>
            <w:vAlign w:val="bottom"/>
            <w:gridSpan w:val="6"/>
          </w:tcPr>
          <w:p>
            <w:pPr>
              <w:spacing w:after="0"/>
              <w:rPr>
                <w:sz w:val="20"/>
                <w:szCs w:val="20"/>
                <w:color w:val="auto"/>
              </w:rPr>
            </w:pPr>
            <w:r>
              <w:rPr>
                <w:rFonts w:ascii="Arial" w:cs="Arial" w:eastAsia="Arial" w:hAnsi="Arial"/>
                <w:sz w:val="18"/>
                <w:szCs w:val="18"/>
                <w:color w:val="auto"/>
                <w:w w:val="94"/>
              </w:rPr>
              <w:t>The following table sets forth the Company’s cost of goods sold for fiscal 2012 and fiscal 2011 by segment:</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33"/>
        </w:trPr>
        <w:tc>
          <w:tcPr>
            <w:tcW w:w="43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1"/>
              </w:rPr>
              <w:t>% of Product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w w:val="90"/>
              </w:rPr>
              <w:t>% of Product</w:t>
            </w:r>
          </w:p>
        </w:tc>
      </w:tr>
      <w:tr>
        <w:trPr>
          <w:trHeight w:val="229"/>
        </w:trPr>
        <w:tc>
          <w:tcPr>
            <w:tcW w:w="43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260" w:type="dxa"/>
            <w:vAlign w:val="bottom"/>
            <w:gridSpan w:val="4"/>
          </w:tcPr>
          <w:p>
            <w:pPr>
              <w:jc w:val="right"/>
              <w:ind w:right="312"/>
              <w:spacing w:after="0"/>
              <w:rPr>
                <w:sz w:val="20"/>
                <w:szCs w:val="20"/>
                <w:color w:val="auto"/>
              </w:rPr>
            </w:pPr>
            <w:r>
              <w:rPr>
                <w:rFonts w:ascii="Arial" w:cs="Arial" w:eastAsia="Arial" w:hAnsi="Arial"/>
                <w:sz w:val="18"/>
                <w:szCs w:val="18"/>
                <w:b w:val="1"/>
                <w:bCs w:val="1"/>
                <w:color w:val="auto"/>
                <w:w w:val="87"/>
              </w:rPr>
              <w:t>Fiscal 2012</w:t>
            </w:r>
          </w:p>
        </w:tc>
        <w:tc>
          <w:tcPr>
            <w:tcW w:w="120" w:type="dxa"/>
            <w:vAlign w:val="bottom"/>
          </w:tcPr>
          <w:p>
            <w:pPr>
              <w:spacing w:after="0"/>
              <w:rPr>
                <w:sz w:val="19"/>
                <w:szCs w:val="19"/>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Sales*</w:t>
            </w:r>
          </w:p>
        </w:tc>
        <w:tc>
          <w:tcPr>
            <w:tcW w:w="60" w:type="dxa"/>
            <w:vAlign w:val="bottom"/>
          </w:tcPr>
          <w:p>
            <w:pPr>
              <w:spacing w:after="0"/>
              <w:rPr>
                <w:sz w:val="19"/>
                <w:szCs w:val="19"/>
                <w:color w:val="auto"/>
              </w:rPr>
            </w:pPr>
          </w:p>
        </w:tc>
        <w:tc>
          <w:tcPr>
            <w:tcW w:w="11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87"/>
              </w:rPr>
              <w:t>Fiscal 2011</w:t>
            </w:r>
          </w:p>
        </w:tc>
        <w:tc>
          <w:tcPr>
            <w:tcW w:w="100" w:type="dxa"/>
            <w:vAlign w:val="bottom"/>
          </w:tcPr>
          <w:p>
            <w:pPr>
              <w:spacing w:after="0"/>
              <w:rPr>
                <w:sz w:val="19"/>
                <w:szCs w:val="19"/>
                <w:color w:val="auto"/>
              </w:rPr>
            </w:pPr>
          </w:p>
        </w:tc>
        <w:tc>
          <w:tcPr>
            <w:tcW w:w="1060" w:type="dxa"/>
            <w:vAlign w:val="bottom"/>
          </w:tcPr>
          <w:p>
            <w:pPr>
              <w:ind w:left="160"/>
              <w:spacing w:after="0"/>
              <w:rPr>
                <w:sz w:val="20"/>
                <w:szCs w:val="20"/>
                <w:color w:val="auto"/>
              </w:rPr>
            </w:pPr>
            <w:r>
              <w:rPr>
                <w:rFonts w:ascii="Arial" w:cs="Arial" w:eastAsia="Arial" w:hAnsi="Arial"/>
                <w:sz w:val="18"/>
                <w:szCs w:val="18"/>
                <w:b w:val="1"/>
                <w:bCs w:val="1"/>
                <w:color w:val="auto"/>
              </w:rPr>
              <w:t>Sales*</w:t>
            </w:r>
          </w:p>
        </w:tc>
      </w:tr>
      <w:tr>
        <w:trPr>
          <w:trHeight w:val="206"/>
        </w:trPr>
        <w:tc>
          <w:tcPr>
            <w:tcW w:w="4320" w:type="dxa"/>
            <w:vAlign w:val="bottom"/>
          </w:tcPr>
          <w:p>
            <w:pPr>
              <w:spacing w:after="0" w:line="206" w:lineRule="exact"/>
              <w:rPr>
                <w:sz w:val="20"/>
                <w:szCs w:val="20"/>
                <w:color w:val="auto"/>
              </w:rPr>
            </w:pPr>
            <w:r>
              <w:rPr>
                <w:rFonts w:ascii="Arial" w:cs="Arial" w:eastAsia="Arial" w:hAnsi="Arial"/>
                <w:sz w:val="18"/>
                <w:szCs w:val="18"/>
                <w:color w:val="auto"/>
              </w:rPr>
              <w:t>Direct cost of goods sold</w:t>
            </w:r>
          </w:p>
        </w:tc>
        <w:tc>
          <w:tcPr>
            <w:tcW w:w="24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13"/>
        </w:trPr>
        <w:tc>
          <w:tcPr>
            <w:tcW w:w="4320" w:type="dxa"/>
            <w:vAlign w:val="bottom"/>
            <w:shd w:val="clear" w:color="auto" w:fill="CCEEFF"/>
          </w:tcPr>
          <w:p>
            <w:pPr>
              <w:ind w:left="320"/>
              <w:spacing w:after="0" w:line="212" w:lineRule="exact"/>
              <w:rPr>
                <w:sz w:val="20"/>
                <w:szCs w:val="20"/>
                <w:color w:val="auto"/>
              </w:rPr>
            </w:pPr>
            <w:r>
              <w:rPr>
                <w:rFonts w:ascii="Arial" w:cs="Arial" w:eastAsia="Arial" w:hAnsi="Arial"/>
                <w:sz w:val="18"/>
                <w:szCs w:val="18"/>
                <w:color w:val="auto"/>
              </w:rPr>
              <w:t>ZERUST</w:t>
            </w:r>
            <w:r>
              <w:rPr>
                <w:rFonts w:ascii="Arial" w:cs="Arial" w:eastAsia="Arial" w:hAnsi="Arial"/>
                <w:sz w:val="24"/>
                <w:szCs w:val="24"/>
                <w:color w:val="auto"/>
                <w:vertAlign w:val="superscript"/>
              </w:rPr>
              <w:t>®</w:t>
            </w:r>
          </w:p>
        </w:tc>
        <w:tc>
          <w:tcPr>
            <w:tcW w:w="34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$10,748,865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w w:val="93"/>
              </w:rPr>
              <w:t>$10,087,637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w:t>
            </w:r>
          </w:p>
        </w:tc>
      </w:tr>
      <w:tr>
        <w:trPr>
          <w:trHeight w:val="212"/>
        </w:trPr>
        <w:tc>
          <w:tcPr>
            <w:tcW w:w="4320" w:type="dxa"/>
            <w:vAlign w:val="bottom"/>
          </w:tcPr>
          <w:p>
            <w:pPr>
              <w:ind w:left="320"/>
              <w:spacing w:after="0" w:line="212" w:lineRule="exact"/>
              <w:rPr>
                <w:sz w:val="20"/>
                <w:szCs w:val="20"/>
                <w:color w:val="auto"/>
              </w:rPr>
            </w:pPr>
            <w:r>
              <w:rPr>
                <w:rFonts w:ascii="Arial" w:cs="Arial" w:eastAsia="Arial" w:hAnsi="Arial"/>
                <w:sz w:val="18"/>
                <w:szCs w:val="18"/>
                <w:color w:val="auto"/>
              </w:rPr>
              <w:t>Natur-Tec</w:t>
            </w:r>
            <w:r>
              <w:rPr>
                <w:rFonts w:ascii="Arial" w:cs="Arial" w:eastAsia="Arial" w:hAnsi="Arial"/>
                <w:sz w:val="24"/>
                <w:szCs w:val="24"/>
                <w:color w:val="auto"/>
                <w:vertAlign w:val="superscript"/>
              </w:rPr>
              <w:t>®</w:t>
            </w:r>
          </w:p>
        </w:tc>
        <w:tc>
          <w:tcPr>
            <w:tcW w:w="3440" w:type="dxa"/>
            <w:vAlign w:val="bottom"/>
            <w:gridSpan w:val="3"/>
          </w:tcPr>
          <w:p>
            <w:pPr>
              <w:jc w:val="right"/>
              <w:ind w:right="12"/>
              <w:spacing w:after="0"/>
              <w:rPr>
                <w:sz w:val="20"/>
                <w:szCs w:val="20"/>
                <w:color w:val="auto"/>
              </w:rPr>
            </w:pPr>
            <w:r>
              <w:rPr>
                <w:rFonts w:ascii="Arial" w:cs="Arial" w:eastAsia="Arial" w:hAnsi="Arial"/>
                <w:sz w:val="18"/>
                <w:szCs w:val="18"/>
                <w:color w:val="auto"/>
              </w:rPr>
              <w:t>1,585,731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87.6%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702,608</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71.4%</w:t>
            </w:r>
          </w:p>
        </w:tc>
      </w:tr>
      <w:tr>
        <w:trPr>
          <w:trHeight w:val="238"/>
        </w:trPr>
        <w:tc>
          <w:tcPr>
            <w:tcW w:w="4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Indirect cost of goods sold</w:t>
            </w:r>
          </w:p>
        </w:tc>
        <w:tc>
          <w:tcPr>
            <w:tcW w:w="3440" w:type="dxa"/>
            <w:vAlign w:val="bottom"/>
            <w:tcBorders>
              <w:bottom w:val="single" w:sz="8" w:color="auto"/>
            </w:tcBorders>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2,194,190</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4"/>
              </w:rPr>
              <w:t>1,978,395</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17"/>
        </w:trPr>
        <w:tc>
          <w:tcPr>
            <w:tcW w:w="4320" w:type="dxa"/>
            <w:vAlign w:val="bottom"/>
          </w:tcPr>
          <w:p>
            <w:pPr>
              <w:spacing w:after="0"/>
              <w:rPr>
                <w:sz w:val="18"/>
                <w:szCs w:val="18"/>
                <w:color w:val="auto"/>
              </w:rPr>
            </w:pPr>
          </w:p>
        </w:tc>
        <w:tc>
          <w:tcPr>
            <w:tcW w:w="3440" w:type="dxa"/>
            <w:vAlign w:val="bottom"/>
            <w:gridSpan w:val="3"/>
          </w:tcPr>
          <w:p>
            <w:pPr>
              <w:jc w:val="right"/>
              <w:ind w:right="12"/>
              <w:spacing w:after="0"/>
              <w:rPr>
                <w:sz w:val="20"/>
                <w:szCs w:val="20"/>
                <w:color w:val="auto"/>
              </w:rPr>
            </w:pPr>
            <w:r>
              <w:rPr>
                <w:rFonts w:ascii="Arial" w:cs="Arial" w:eastAsia="Arial" w:hAnsi="Arial"/>
                <w:sz w:val="18"/>
                <w:szCs w:val="18"/>
                <w:color w:val="auto"/>
              </w:rPr>
              <w:t>$14,528,785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63.8%</w:t>
            </w:r>
          </w:p>
        </w:tc>
        <w:tc>
          <w:tcPr>
            <w:tcW w:w="40" w:type="dxa"/>
            <w:vAlign w:val="bottom"/>
          </w:tcPr>
          <w:p>
            <w:pPr>
              <w:spacing w:after="0"/>
              <w:rPr>
                <w:sz w:val="18"/>
                <w:szCs w:val="18"/>
                <w:color w:val="auto"/>
              </w:rPr>
            </w:pPr>
          </w:p>
        </w:tc>
        <w:tc>
          <w:tcPr>
            <w:tcW w:w="1060" w:type="dxa"/>
            <w:vAlign w:val="bottom"/>
            <w:gridSpan w:val="4"/>
          </w:tcPr>
          <w:p>
            <w:pPr>
              <w:jc w:val="right"/>
              <w:ind w:right="12"/>
              <w:spacing w:after="0"/>
              <w:rPr>
                <w:sz w:val="20"/>
                <w:szCs w:val="20"/>
                <w:color w:val="auto"/>
              </w:rPr>
            </w:pPr>
            <w:r>
              <w:rPr>
                <w:rFonts w:ascii="Arial" w:cs="Arial" w:eastAsia="Arial" w:hAnsi="Arial"/>
                <w:sz w:val="18"/>
                <w:szCs w:val="18"/>
                <w:color w:val="auto"/>
                <w:w w:val="93"/>
              </w:rPr>
              <w:t>$12,768,640</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65.4%</w:t>
            </w:r>
          </w:p>
        </w:tc>
      </w:tr>
    </w:tbl>
    <w:p>
      <w:pPr>
        <w:spacing w:after="0" w:line="215" w:lineRule="exact"/>
        <w:rPr>
          <w:sz w:val="20"/>
          <w:szCs w:val="20"/>
          <w:color w:val="auto"/>
        </w:rPr>
      </w:pPr>
    </w:p>
    <w:p>
      <w:pPr>
        <w:ind w:left="320" w:right="600" w:hanging="314"/>
        <w:spacing w:after="0" w:line="265"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sales for each individual segment category by the net sales for each segment category.</w:t>
      </w:r>
    </w:p>
    <w:p>
      <w:pPr>
        <w:spacing w:after="0" w:line="20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Company’s management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215"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geographical distribution of key financial statement data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At August 31, 2012</w:t>
            </w:r>
          </w:p>
        </w:tc>
        <w:tc>
          <w:tcPr>
            <w:tcW w:w="1560" w:type="dxa"/>
            <w:vAlign w:val="bottom"/>
            <w:tcBorders>
              <w:bottom w:val="single" w:sz="8" w:color="auto"/>
            </w:tcBorders>
          </w:tcPr>
          <w:p>
            <w:pPr>
              <w:spacing w:after="0"/>
              <w:rPr>
                <w:sz w:val="20"/>
                <w:szCs w:val="20"/>
                <w:color w:val="auto"/>
              </w:rPr>
            </w:pPr>
          </w:p>
        </w:tc>
      </w:tr>
      <w:tr>
        <w:trPr>
          <w:trHeight w:val="206"/>
        </w:trPr>
        <w:tc>
          <w:tcPr>
            <w:tcW w:w="5160" w:type="dxa"/>
            <w:vAlign w:val="bottom"/>
          </w:tcPr>
          <w:p>
            <w:pPr>
              <w:spacing w:after="0"/>
              <w:rPr>
                <w:sz w:val="17"/>
                <w:szCs w:val="17"/>
                <w:color w:val="auto"/>
              </w:rPr>
            </w:pPr>
          </w:p>
        </w:tc>
        <w:tc>
          <w:tcPr>
            <w:tcW w:w="1520" w:type="dxa"/>
            <w:vAlign w:val="bottom"/>
            <w:tcBorders>
              <w:bottom w:val="single" w:sz="8" w:color="auto"/>
            </w:tcBorders>
          </w:tcPr>
          <w:p>
            <w:pPr>
              <w:ind w:left="620"/>
              <w:spacing w:after="0" w:line="206" w:lineRule="exact"/>
              <w:rPr>
                <w:sz w:val="20"/>
                <w:szCs w:val="20"/>
                <w:color w:val="auto"/>
              </w:rPr>
            </w:pPr>
            <w:r>
              <w:rPr>
                <w:rFonts w:ascii="Arial" w:cs="Arial" w:eastAsia="Arial" w:hAnsi="Arial"/>
                <w:sz w:val="18"/>
                <w:szCs w:val="18"/>
                <w:b w:val="1"/>
                <w:bCs w:val="1"/>
                <w:color w:val="auto"/>
              </w:rPr>
              <w:t>Brazil</w:t>
            </w:r>
          </w:p>
        </w:tc>
        <w:tc>
          <w:tcPr>
            <w:tcW w:w="3180" w:type="dxa"/>
            <w:vAlign w:val="bottom"/>
            <w:tcBorders>
              <w:bottom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1"/>
              </w:rPr>
              <w:t>North America</w:t>
            </w:r>
          </w:p>
        </w:tc>
        <w:tc>
          <w:tcPr>
            <w:tcW w:w="1560" w:type="dxa"/>
            <w:vAlign w:val="bottom"/>
            <w:tcBorders>
              <w:bottom w:val="single" w:sz="8" w:color="auto"/>
            </w:tcBorders>
          </w:tcPr>
          <w:p>
            <w:pPr>
              <w:ind w:left="520"/>
              <w:spacing w:after="0" w:line="206" w:lineRule="exact"/>
              <w:rPr>
                <w:sz w:val="20"/>
                <w:szCs w:val="20"/>
                <w:color w:val="auto"/>
              </w:rPr>
            </w:pPr>
            <w:r>
              <w:rPr>
                <w:rFonts w:ascii="Arial" w:cs="Arial" w:eastAsia="Arial" w:hAnsi="Arial"/>
                <w:sz w:val="18"/>
                <w:szCs w:val="18"/>
                <w:b w:val="1"/>
                <w:bCs w:val="1"/>
                <w:color w:val="auto"/>
              </w:rPr>
              <w:t>Total</w:t>
            </w:r>
          </w:p>
        </w:tc>
      </w:tr>
      <w:tr>
        <w:trPr>
          <w:trHeight w:val="205"/>
        </w:trPr>
        <w:tc>
          <w:tcPr>
            <w:tcW w:w="51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Total assets</w:t>
            </w:r>
          </w:p>
        </w:tc>
        <w:tc>
          <w:tcPr>
            <w:tcW w:w="1520" w:type="dxa"/>
            <w:vAlign w:val="bottom"/>
            <w:shd w:val="clear" w:color="auto" w:fill="CCEEFF"/>
          </w:tcPr>
          <w:p>
            <w:pPr>
              <w:jc w:val="center"/>
              <w:ind w:left="72"/>
              <w:spacing w:after="0" w:line="206" w:lineRule="exact"/>
              <w:rPr>
                <w:sz w:val="20"/>
                <w:szCs w:val="20"/>
                <w:color w:val="auto"/>
              </w:rPr>
            </w:pPr>
            <w:r>
              <w:rPr>
                <w:rFonts w:ascii="Arial" w:cs="Arial" w:eastAsia="Arial" w:hAnsi="Arial"/>
                <w:sz w:val="18"/>
                <w:szCs w:val="18"/>
                <w:color w:val="auto"/>
                <w:w w:val="88"/>
              </w:rPr>
              <w:t>$1,744,693</w:t>
            </w:r>
          </w:p>
        </w:tc>
        <w:tc>
          <w:tcPr>
            <w:tcW w:w="318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87"/>
              </w:rPr>
              <w:t>$40,132,934</w:t>
            </w:r>
          </w:p>
        </w:tc>
        <w:tc>
          <w:tcPr>
            <w:tcW w:w="1560" w:type="dxa"/>
            <w:vAlign w:val="bottom"/>
            <w:shd w:val="clear" w:color="auto" w:fill="CCEEFF"/>
          </w:tcPr>
          <w:p>
            <w:pPr>
              <w:jc w:val="center"/>
              <w:ind w:right="72"/>
              <w:spacing w:after="0" w:line="206" w:lineRule="exact"/>
              <w:rPr>
                <w:sz w:val="20"/>
                <w:szCs w:val="20"/>
                <w:color w:val="auto"/>
              </w:rPr>
            </w:pPr>
            <w:r>
              <w:rPr>
                <w:rFonts w:ascii="Arial" w:cs="Arial" w:eastAsia="Arial" w:hAnsi="Arial"/>
                <w:sz w:val="18"/>
                <w:szCs w:val="18"/>
                <w:color w:val="auto"/>
                <w:w w:val="87"/>
              </w:rPr>
              <w:t>$41,877,627</w:t>
            </w:r>
          </w:p>
        </w:tc>
      </w:tr>
      <w:tr>
        <w:trPr>
          <w:trHeight w:val="662"/>
        </w:trPr>
        <w:tc>
          <w:tcPr>
            <w:tcW w:w="516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At August 31, 2011</w:t>
            </w:r>
          </w:p>
        </w:tc>
        <w:tc>
          <w:tcPr>
            <w:tcW w:w="1560" w:type="dxa"/>
            <w:vAlign w:val="bottom"/>
            <w:tcBorders>
              <w:bottom w:val="single" w:sz="8" w:color="auto"/>
            </w:tcBorders>
          </w:tcPr>
          <w:p>
            <w:pPr>
              <w:spacing w:after="0"/>
              <w:rPr>
                <w:sz w:val="24"/>
                <w:szCs w:val="24"/>
                <w:color w:val="auto"/>
              </w:rPr>
            </w:pPr>
          </w:p>
        </w:tc>
      </w:tr>
      <w:tr>
        <w:trPr>
          <w:trHeight w:val="206"/>
        </w:trPr>
        <w:tc>
          <w:tcPr>
            <w:tcW w:w="5160" w:type="dxa"/>
            <w:vAlign w:val="bottom"/>
          </w:tcPr>
          <w:p>
            <w:pPr>
              <w:spacing w:after="0"/>
              <w:rPr>
                <w:sz w:val="17"/>
                <w:szCs w:val="17"/>
                <w:color w:val="auto"/>
              </w:rPr>
            </w:pPr>
          </w:p>
        </w:tc>
        <w:tc>
          <w:tcPr>
            <w:tcW w:w="1520" w:type="dxa"/>
            <w:vAlign w:val="bottom"/>
            <w:tcBorders>
              <w:bottom w:val="single" w:sz="8" w:color="auto"/>
            </w:tcBorders>
          </w:tcPr>
          <w:p>
            <w:pPr>
              <w:ind w:left="620"/>
              <w:spacing w:after="0" w:line="206" w:lineRule="exact"/>
              <w:rPr>
                <w:sz w:val="20"/>
                <w:szCs w:val="20"/>
                <w:color w:val="auto"/>
              </w:rPr>
            </w:pPr>
            <w:r>
              <w:rPr>
                <w:rFonts w:ascii="Arial" w:cs="Arial" w:eastAsia="Arial" w:hAnsi="Arial"/>
                <w:sz w:val="18"/>
                <w:szCs w:val="18"/>
                <w:b w:val="1"/>
                <w:bCs w:val="1"/>
                <w:color w:val="auto"/>
              </w:rPr>
              <w:t>Brazil</w:t>
            </w:r>
          </w:p>
        </w:tc>
        <w:tc>
          <w:tcPr>
            <w:tcW w:w="3180" w:type="dxa"/>
            <w:vAlign w:val="bottom"/>
            <w:tcBorders>
              <w:bottom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1"/>
              </w:rPr>
              <w:t>North America</w:t>
            </w:r>
          </w:p>
        </w:tc>
        <w:tc>
          <w:tcPr>
            <w:tcW w:w="1560" w:type="dxa"/>
            <w:vAlign w:val="bottom"/>
            <w:tcBorders>
              <w:bottom w:val="single" w:sz="8" w:color="auto"/>
            </w:tcBorders>
          </w:tcPr>
          <w:p>
            <w:pPr>
              <w:ind w:left="520"/>
              <w:spacing w:after="0" w:line="206" w:lineRule="exact"/>
              <w:rPr>
                <w:sz w:val="20"/>
                <w:szCs w:val="20"/>
                <w:color w:val="auto"/>
              </w:rPr>
            </w:pPr>
            <w:r>
              <w:rPr>
                <w:rFonts w:ascii="Arial" w:cs="Arial" w:eastAsia="Arial" w:hAnsi="Arial"/>
                <w:sz w:val="18"/>
                <w:szCs w:val="18"/>
                <w:b w:val="1"/>
                <w:bCs w:val="1"/>
                <w:color w:val="auto"/>
              </w:rPr>
              <w:t>Total</w:t>
            </w:r>
          </w:p>
        </w:tc>
      </w:tr>
      <w:tr>
        <w:trPr>
          <w:trHeight w:val="205"/>
        </w:trPr>
        <w:tc>
          <w:tcPr>
            <w:tcW w:w="51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Total assets</w:t>
            </w:r>
          </w:p>
        </w:tc>
        <w:tc>
          <w:tcPr>
            <w:tcW w:w="1520" w:type="dxa"/>
            <w:vAlign w:val="bottom"/>
            <w:shd w:val="clear" w:color="auto" w:fill="CCEEFF"/>
          </w:tcPr>
          <w:p>
            <w:pPr>
              <w:jc w:val="center"/>
              <w:ind w:left="72"/>
              <w:spacing w:after="0" w:line="206" w:lineRule="exact"/>
              <w:rPr>
                <w:sz w:val="20"/>
                <w:szCs w:val="20"/>
                <w:color w:val="auto"/>
              </w:rPr>
            </w:pPr>
            <w:r>
              <w:rPr>
                <w:rFonts w:ascii="Arial" w:cs="Arial" w:eastAsia="Arial" w:hAnsi="Arial"/>
                <w:sz w:val="18"/>
                <w:szCs w:val="18"/>
                <w:color w:val="auto"/>
                <w:w w:val="88"/>
              </w:rPr>
              <w:t>$1,308,996</w:t>
            </w:r>
          </w:p>
        </w:tc>
        <w:tc>
          <w:tcPr>
            <w:tcW w:w="318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87"/>
              </w:rPr>
              <w:t>$38,730,746</w:t>
            </w:r>
          </w:p>
        </w:tc>
        <w:tc>
          <w:tcPr>
            <w:tcW w:w="1560" w:type="dxa"/>
            <w:vAlign w:val="bottom"/>
            <w:shd w:val="clear" w:color="auto" w:fill="CCEEFF"/>
          </w:tcPr>
          <w:p>
            <w:pPr>
              <w:jc w:val="center"/>
              <w:ind w:right="72"/>
              <w:spacing w:after="0" w:line="206" w:lineRule="exact"/>
              <w:rPr>
                <w:sz w:val="20"/>
                <w:szCs w:val="20"/>
                <w:color w:val="auto"/>
              </w:rPr>
            </w:pPr>
            <w:r>
              <w:rPr>
                <w:rFonts w:ascii="Arial" w:cs="Arial" w:eastAsia="Arial" w:hAnsi="Arial"/>
                <w:sz w:val="18"/>
                <w:szCs w:val="18"/>
                <w:color w:val="auto"/>
                <w:w w:val="87"/>
              </w:rPr>
              <w:t>$40,039,742</w:t>
            </w:r>
          </w:p>
        </w:tc>
      </w:tr>
      <w:tr>
        <w:trPr>
          <w:trHeight w:val="662"/>
        </w:trPr>
        <w:tc>
          <w:tcPr>
            <w:tcW w:w="516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Fiscal Year Ended August 31, 2012</w:t>
            </w:r>
          </w:p>
        </w:tc>
        <w:tc>
          <w:tcPr>
            <w:tcW w:w="1560" w:type="dxa"/>
            <w:vAlign w:val="bottom"/>
            <w:tcBorders>
              <w:bottom w:val="single" w:sz="8" w:color="auto"/>
            </w:tcBorders>
          </w:tcPr>
          <w:p>
            <w:pPr>
              <w:spacing w:after="0"/>
              <w:rPr>
                <w:sz w:val="24"/>
                <w:szCs w:val="24"/>
                <w:color w:val="auto"/>
              </w:rPr>
            </w:pPr>
          </w:p>
        </w:tc>
      </w:tr>
      <w:tr>
        <w:trPr>
          <w:trHeight w:val="206"/>
        </w:trPr>
        <w:tc>
          <w:tcPr>
            <w:tcW w:w="5160" w:type="dxa"/>
            <w:vAlign w:val="bottom"/>
          </w:tcPr>
          <w:p>
            <w:pPr>
              <w:spacing w:after="0"/>
              <w:rPr>
                <w:sz w:val="17"/>
                <w:szCs w:val="17"/>
                <w:color w:val="auto"/>
              </w:rPr>
            </w:pPr>
          </w:p>
        </w:tc>
        <w:tc>
          <w:tcPr>
            <w:tcW w:w="1520" w:type="dxa"/>
            <w:vAlign w:val="bottom"/>
            <w:tcBorders>
              <w:bottom w:val="single" w:sz="8" w:color="auto"/>
            </w:tcBorders>
          </w:tcPr>
          <w:p>
            <w:pPr>
              <w:ind w:left="620"/>
              <w:spacing w:after="0" w:line="206" w:lineRule="exact"/>
              <w:rPr>
                <w:sz w:val="20"/>
                <w:szCs w:val="20"/>
                <w:color w:val="auto"/>
              </w:rPr>
            </w:pPr>
            <w:r>
              <w:rPr>
                <w:rFonts w:ascii="Arial" w:cs="Arial" w:eastAsia="Arial" w:hAnsi="Arial"/>
                <w:sz w:val="18"/>
                <w:szCs w:val="18"/>
                <w:b w:val="1"/>
                <w:bCs w:val="1"/>
                <w:color w:val="auto"/>
              </w:rPr>
              <w:t>Brazil</w:t>
            </w:r>
          </w:p>
        </w:tc>
        <w:tc>
          <w:tcPr>
            <w:tcW w:w="3180" w:type="dxa"/>
            <w:vAlign w:val="bottom"/>
            <w:tcBorders>
              <w:bottom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1"/>
              </w:rPr>
              <w:t>North America</w:t>
            </w:r>
          </w:p>
        </w:tc>
        <w:tc>
          <w:tcPr>
            <w:tcW w:w="1560" w:type="dxa"/>
            <w:vAlign w:val="bottom"/>
            <w:tcBorders>
              <w:bottom w:val="single" w:sz="8" w:color="auto"/>
            </w:tcBorders>
          </w:tcPr>
          <w:p>
            <w:pPr>
              <w:ind w:left="520"/>
              <w:spacing w:after="0" w:line="206" w:lineRule="exact"/>
              <w:rPr>
                <w:sz w:val="20"/>
                <w:szCs w:val="20"/>
                <w:color w:val="auto"/>
              </w:rPr>
            </w:pPr>
            <w:r>
              <w:rPr>
                <w:rFonts w:ascii="Arial" w:cs="Arial" w:eastAsia="Arial" w:hAnsi="Arial"/>
                <w:sz w:val="18"/>
                <w:szCs w:val="18"/>
                <w:b w:val="1"/>
                <w:bCs w:val="1"/>
                <w:color w:val="auto"/>
              </w:rPr>
              <w:t>Total</w:t>
            </w:r>
          </w:p>
        </w:tc>
      </w:tr>
      <w:tr>
        <w:trPr>
          <w:trHeight w:val="205"/>
        </w:trPr>
        <w:tc>
          <w:tcPr>
            <w:tcW w:w="51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sales</w:t>
            </w:r>
          </w:p>
        </w:tc>
        <w:tc>
          <w:tcPr>
            <w:tcW w:w="1520" w:type="dxa"/>
            <w:vAlign w:val="bottom"/>
            <w:shd w:val="clear" w:color="auto" w:fill="CCEEFF"/>
          </w:tcPr>
          <w:p>
            <w:pPr>
              <w:jc w:val="center"/>
              <w:ind w:left="72"/>
              <w:spacing w:after="0" w:line="206" w:lineRule="exact"/>
              <w:rPr>
                <w:sz w:val="20"/>
                <w:szCs w:val="20"/>
                <w:color w:val="auto"/>
              </w:rPr>
            </w:pPr>
            <w:r>
              <w:rPr>
                <w:rFonts w:ascii="Arial" w:cs="Arial" w:eastAsia="Arial" w:hAnsi="Arial"/>
                <w:sz w:val="18"/>
                <w:szCs w:val="18"/>
                <w:color w:val="auto"/>
                <w:w w:val="88"/>
              </w:rPr>
              <w:t>$4,783,900</w:t>
            </w:r>
          </w:p>
        </w:tc>
        <w:tc>
          <w:tcPr>
            <w:tcW w:w="318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87"/>
              </w:rPr>
              <w:t>$17,997,753</w:t>
            </w:r>
          </w:p>
        </w:tc>
        <w:tc>
          <w:tcPr>
            <w:tcW w:w="1560" w:type="dxa"/>
            <w:vAlign w:val="bottom"/>
            <w:shd w:val="clear" w:color="auto" w:fill="CCEEFF"/>
          </w:tcPr>
          <w:p>
            <w:pPr>
              <w:jc w:val="center"/>
              <w:ind w:right="72"/>
              <w:spacing w:after="0" w:line="206" w:lineRule="exact"/>
              <w:rPr>
                <w:sz w:val="20"/>
                <w:szCs w:val="20"/>
                <w:color w:val="auto"/>
              </w:rPr>
            </w:pPr>
            <w:r>
              <w:rPr>
                <w:rFonts w:ascii="Arial" w:cs="Arial" w:eastAsia="Arial" w:hAnsi="Arial"/>
                <w:sz w:val="18"/>
                <w:szCs w:val="18"/>
                <w:color w:val="auto"/>
                <w:w w:val="87"/>
              </w:rPr>
              <w:t>$22,781,653</w:t>
            </w: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Operating income</w:t>
            </w:r>
          </w:p>
        </w:tc>
        <w:tc>
          <w:tcPr>
            <w:tcW w:w="1520" w:type="dxa"/>
            <w:vAlign w:val="bottom"/>
          </w:tcPr>
          <w:p>
            <w:pPr>
              <w:jc w:val="center"/>
              <w:ind w:left="72"/>
              <w:spacing w:after="0"/>
              <w:rPr>
                <w:sz w:val="20"/>
                <w:szCs w:val="20"/>
                <w:color w:val="auto"/>
              </w:rPr>
            </w:pPr>
            <w:r>
              <w:rPr>
                <w:rFonts w:ascii="Arial" w:cs="Arial" w:eastAsia="Arial" w:hAnsi="Arial"/>
                <w:sz w:val="18"/>
                <w:szCs w:val="18"/>
                <w:color w:val="auto"/>
                <w:w w:val="88"/>
              </w:rPr>
              <w:t>$1,513,891</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$3,055,878</w:t>
            </w:r>
          </w:p>
        </w:tc>
        <w:tc>
          <w:tcPr>
            <w:tcW w:w="1560" w:type="dxa"/>
            <w:vAlign w:val="bottom"/>
          </w:tcPr>
          <w:p>
            <w:pPr>
              <w:jc w:val="center"/>
              <w:ind w:right="72"/>
              <w:spacing w:after="0"/>
              <w:rPr>
                <w:sz w:val="20"/>
                <w:szCs w:val="20"/>
                <w:color w:val="auto"/>
              </w:rPr>
            </w:pPr>
            <w:r>
              <w:rPr>
                <w:rFonts w:ascii="Arial" w:cs="Arial" w:eastAsia="Arial" w:hAnsi="Arial"/>
                <w:sz w:val="18"/>
                <w:szCs w:val="18"/>
                <w:color w:val="auto"/>
                <w:w w:val="88"/>
              </w:rPr>
              <w:t>$4,569,769</w:t>
            </w:r>
          </w:p>
        </w:tc>
      </w:tr>
      <w:tr>
        <w:trPr>
          <w:trHeight w:val="439"/>
        </w:trPr>
        <w:tc>
          <w:tcPr>
            <w:tcW w:w="516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Fiscal Year Ended August 31, 2011</w:t>
            </w:r>
          </w:p>
        </w:tc>
        <w:tc>
          <w:tcPr>
            <w:tcW w:w="1560" w:type="dxa"/>
            <w:vAlign w:val="bottom"/>
            <w:tcBorders>
              <w:bottom w:val="single" w:sz="8" w:color="auto"/>
            </w:tcBorders>
          </w:tcPr>
          <w:p>
            <w:pPr>
              <w:spacing w:after="0"/>
              <w:rPr>
                <w:sz w:val="24"/>
                <w:szCs w:val="24"/>
                <w:color w:val="auto"/>
              </w:rPr>
            </w:pPr>
          </w:p>
        </w:tc>
      </w:tr>
      <w:tr>
        <w:trPr>
          <w:trHeight w:val="206"/>
        </w:trPr>
        <w:tc>
          <w:tcPr>
            <w:tcW w:w="5160" w:type="dxa"/>
            <w:vAlign w:val="bottom"/>
          </w:tcPr>
          <w:p>
            <w:pPr>
              <w:spacing w:after="0"/>
              <w:rPr>
                <w:sz w:val="17"/>
                <w:szCs w:val="17"/>
                <w:color w:val="auto"/>
              </w:rPr>
            </w:pPr>
          </w:p>
        </w:tc>
        <w:tc>
          <w:tcPr>
            <w:tcW w:w="1520" w:type="dxa"/>
            <w:vAlign w:val="bottom"/>
            <w:tcBorders>
              <w:bottom w:val="single" w:sz="8" w:color="auto"/>
            </w:tcBorders>
          </w:tcPr>
          <w:p>
            <w:pPr>
              <w:ind w:left="620"/>
              <w:spacing w:after="0" w:line="206" w:lineRule="exact"/>
              <w:rPr>
                <w:sz w:val="20"/>
                <w:szCs w:val="20"/>
                <w:color w:val="auto"/>
              </w:rPr>
            </w:pPr>
            <w:r>
              <w:rPr>
                <w:rFonts w:ascii="Arial" w:cs="Arial" w:eastAsia="Arial" w:hAnsi="Arial"/>
                <w:sz w:val="18"/>
                <w:szCs w:val="18"/>
                <w:b w:val="1"/>
                <w:bCs w:val="1"/>
                <w:color w:val="auto"/>
              </w:rPr>
              <w:t>Brazil</w:t>
            </w:r>
          </w:p>
        </w:tc>
        <w:tc>
          <w:tcPr>
            <w:tcW w:w="3180" w:type="dxa"/>
            <w:vAlign w:val="bottom"/>
            <w:tcBorders>
              <w:bottom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1"/>
              </w:rPr>
              <w:t>North America</w:t>
            </w:r>
          </w:p>
        </w:tc>
        <w:tc>
          <w:tcPr>
            <w:tcW w:w="1560" w:type="dxa"/>
            <w:vAlign w:val="bottom"/>
            <w:tcBorders>
              <w:bottom w:val="single" w:sz="8" w:color="auto"/>
            </w:tcBorders>
          </w:tcPr>
          <w:p>
            <w:pPr>
              <w:ind w:left="520"/>
              <w:spacing w:after="0" w:line="206" w:lineRule="exact"/>
              <w:rPr>
                <w:sz w:val="20"/>
                <w:szCs w:val="20"/>
                <w:color w:val="auto"/>
              </w:rPr>
            </w:pPr>
            <w:r>
              <w:rPr>
                <w:rFonts w:ascii="Arial" w:cs="Arial" w:eastAsia="Arial" w:hAnsi="Arial"/>
                <w:sz w:val="18"/>
                <w:szCs w:val="18"/>
                <w:b w:val="1"/>
                <w:bCs w:val="1"/>
                <w:color w:val="auto"/>
              </w:rPr>
              <w:t>Total</w:t>
            </w:r>
          </w:p>
        </w:tc>
      </w:tr>
      <w:tr>
        <w:trPr>
          <w:trHeight w:val="205"/>
        </w:trPr>
        <w:tc>
          <w:tcPr>
            <w:tcW w:w="5160" w:type="dxa"/>
            <w:vAlign w:val="bottom"/>
          </w:tcPr>
          <w:p>
            <w:pPr>
              <w:spacing w:after="0" w:line="204" w:lineRule="exact"/>
              <w:rPr>
                <w:sz w:val="20"/>
                <w:szCs w:val="20"/>
                <w:color w:val="auto"/>
              </w:rPr>
            </w:pPr>
            <w:r>
              <w:rPr>
                <w:rFonts w:ascii="Arial" w:cs="Arial" w:eastAsia="Arial" w:hAnsi="Arial"/>
                <w:sz w:val="18"/>
                <w:szCs w:val="18"/>
                <w:color w:val="auto"/>
              </w:rPr>
              <w:t>Net sales</w:t>
            </w:r>
          </w:p>
        </w:tc>
        <w:tc>
          <w:tcPr>
            <w:tcW w:w="1520" w:type="dxa"/>
            <w:vAlign w:val="bottom"/>
          </w:tcPr>
          <w:p>
            <w:pPr>
              <w:jc w:val="center"/>
              <w:ind w:left="72"/>
              <w:spacing w:after="0" w:line="206" w:lineRule="exact"/>
              <w:rPr>
                <w:sz w:val="20"/>
                <w:szCs w:val="20"/>
                <w:color w:val="auto"/>
              </w:rPr>
            </w:pPr>
            <w:r>
              <w:rPr>
                <w:rFonts w:ascii="Arial" w:cs="Arial" w:eastAsia="Arial" w:hAnsi="Arial"/>
                <w:sz w:val="18"/>
                <w:szCs w:val="18"/>
                <w:color w:val="auto"/>
                <w:w w:val="88"/>
              </w:rPr>
              <w:t>$3,530,531</w:t>
            </w:r>
          </w:p>
        </w:tc>
        <w:tc>
          <w:tcPr>
            <w:tcW w:w="3180" w:type="dxa"/>
            <w:vAlign w:val="bottom"/>
          </w:tcPr>
          <w:p>
            <w:pPr>
              <w:jc w:val="center"/>
              <w:spacing w:after="0" w:line="206" w:lineRule="exact"/>
              <w:rPr>
                <w:sz w:val="20"/>
                <w:szCs w:val="20"/>
                <w:color w:val="auto"/>
              </w:rPr>
            </w:pPr>
            <w:r>
              <w:rPr>
                <w:rFonts w:ascii="Arial" w:cs="Arial" w:eastAsia="Arial" w:hAnsi="Arial"/>
                <w:sz w:val="18"/>
                <w:szCs w:val="18"/>
                <w:color w:val="auto"/>
                <w:w w:val="87"/>
              </w:rPr>
              <w:t>$15,995,996</w:t>
            </w:r>
          </w:p>
        </w:tc>
        <w:tc>
          <w:tcPr>
            <w:tcW w:w="1560" w:type="dxa"/>
            <w:vAlign w:val="bottom"/>
          </w:tcPr>
          <w:p>
            <w:pPr>
              <w:jc w:val="center"/>
              <w:ind w:right="72"/>
              <w:spacing w:after="0" w:line="206" w:lineRule="exact"/>
              <w:rPr>
                <w:sz w:val="20"/>
                <w:szCs w:val="20"/>
                <w:color w:val="auto"/>
              </w:rPr>
            </w:pPr>
            <w:r>
              <w:rPr>
                <w:rFonts w:ascii="Arial" w:cs="Arial" w:eastAsia="Arial" w:hAnsi="Arial"/>
                <w:sz w:val="18"/>
                <w:szCs w:val="18"/>
                <w:color w:val="auto"/>
                <w:w w:val="87"/>
              </w:rPr>
              <w:t>$19,526,527</w:t>
            </w:r>
          </w:p>
        </w:tc>
      </w:tr>
      <w:tr>
        <w:trPr>
          <w:trHeight w:val="212"/>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2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87"/>
              </w:rPr>
              <w:t>$708,378</w:t>
            </w:r>
          </w:p>
        </w:tc>
        <w:tc>
          <w:tcPr>
            <w:tcW w:w="3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$3,917,059</w:t>
            </w:r>
          </w:p>
        </w:tc>
        <w:tc>
          <w:tcPr>
            <w:tcW w:w="156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88"/>
              </w:rPr>
              <w:t>$4,625,437</w:t>
            </w:r>
          </w:p>
        </w:tc>
      </w:tr>
      <w:tr>
        <w:trPr>
          <w:trHeight w:val="596"/>
        </w:trPr>
        <w:tc>
          <w:tcPr>
            <w:tcW w:w="5160" w:type="dxa"/>
            <w:vAlign w:val="bottom"/>
          </w:tcPr>
          <w:p>
            <w:pPr>
              <w:spacing w:after="0"/>
              <w:rPr>
                <w:sz w:val="24"/>
                <w:szCs w:val="24"/>
                <w:color w:val="auto"/>
              </w:rPr>
            </w:pPr>
          </w:p>
        </w:tc>
        <w:tc>
          <w:tcPr>
            <w:tcW w:w="1520" w:type="dxa"/>
            <w:vAlign w:val="bottom"/>
          </w:tcPr>
          <w:p>
            <w:pPr>
              <w:ind w:left="460"/>
              <w:spacing w:after="0"/>
              <w:rPr>
                <w:sz w:val="20"/>
                <w:szCs w:val="20"/>
                <w:color w:val="auto"/>
              </w:rPr>
            </w:pPr>
            <w:r>
              <w:rPr>
                <w:rFonts w:ascii="Arial" w:cs="Arial" w:eastAsia="Arial" w:hAnsi="Arial"/>
                <w:sz w:val="18"/>
                <w:szCs w:val="18"/>
                <w:color w:val="auto"/>
              </w:rPr>
              <w:t>67</w:t>
            </w:r>
          </w:p>
        </w:tc>
        <w:tc>
          <w:tcPr>
            <w:tcW w:w="3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44"/>
        </w:trPr>
        <w:tc>
          <w:tcPr>
            <w:tcW w:w="5160" w:type="dxa"/>
            <w:vAlign w:val="bottom"/>
            <w:tcBorders>
              <w:bottom w:val="single" w:sz="8" w:color="808080"/>
            </w:tcBorders>
          </w:tcPr>
          <w:p>
            <w:pPr>
              <w:spacing w:after="0"/>
              <w:rPr>
                <w:sz w:val="12"/>
                <w:szCs w:val="12"/>
                <w:color w:val="auto"/>
              </w:rPr>
            </w:pPr>
          </w:p>
        </w:tc>
        <w:tc>
          <w:tcPr>
            <w:tcW w:w="1520" w:type="dxa"/>
            <w:vAlign w:val="bottom"/>
            <w:tcBorders>
              <w:bottom w:val="single" w:sz="8" w:color="808080"/>
            </w:tcBorders>
          </w:tcPr>
          <w:p>
            <w:pPr>
              <w:spacing w:after="0"/>
              <w:rPr>
                <w:sz w:val="12"/>
                <w:szCs w:val="12"/>
                <w:color w:val="auto"/>
              </w:rPr>
            </w:pPr>
          </w:p>
        </w:tc>
        <w:tc>
          <w:tcPr>
            <w:tcW w:w="3180" w:type="dxa"/>
            <w:vAlign w:val="bottom"/>
            <w:tcBorders>
              <w:bottom w:val="single" w:sz="8" w:color="808080"/>
            </w:tcBorders>
          </w:tcPr>
          <w:p>
            <w:pPr>
              <w:spacing w:after="0"/>
              <w:rPr>
                <w:sz w:val="12"/>
                <w:szCs w:val="12"/>
                <w:color w:val="auto"/>
              </w:rPr>
            </w:pPr>
          </w:p>
        </w:tc>
        <w:tc>
          <w:tcPr>
            <w:tcW w:w="1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-37465</wp:posOffset>
            </wp:positionV>
            <wp:extent cx="1270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wp:posOffset>
            </wp:positionV>
            <wp:extent cx="1270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70" w:name="page71"/>
    <w:bookmarkEnd w:id="70"/>
    <w:p>
      <w:pPr>
        <w:spacing w:after="0" w:line="265" w:lineRule="auto"/>
        <w:rPr>
          <w:sz w:val="20"/>
          <w:szCs w:val="20"/>
          <w:color w:val="auto"/>
        </w:rPr>
      </w:pPr>
      <w:r>
        <w:rPr>
          <w:rFonts w:ascii="Arial" w:cs="Arial" w:eastAsia="Arial" w:hAnsi="Arial"/>
          <w:sz w:val="18"/>
          <w:szCs w:val="18"/>
          <w:color w:val="auto"/>
        </w:rPr>
        <w:t>Total assets primarily consist of cash and cash equivalents, customer receivables and inventory. These assets are periodically reviewed to assure the net realizable value from the estimated future production based on forecasted sales exceeds the carrying value of the assets.</w:t>
      </w:r>
    </w:p>
    <w:p>
      <w:pPr>
        <w:spacing w:after="0" w:line="200" w:lineRule="exact"/>
        <w:rPr>
          <w:sz w:val="20"/>
          <w:szCs w:val="20"/>
          <w:color w:val="auto"/>
        </w:rPr>
      </w:pPr>
    </w:p>
    <w:p>
      <w:pPr>
        <w:ind w:left="760" w:hanging="710"/>
        <w:spacing w:after="0"/>
        <w:tabs>
          <w:tab w:leader="none" w:pos="7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250"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The Company has a 401(k) employee savings plan. Employees who meet certain age and service requirements may elect to contribute up to 15% of their salaries. The Company typically contributes the lesser of 50% of the participant’s contributions or 3.5% of the employee’s salary. The Company recognized expense for the savings plan of $166,201 and $150,223 for fiscal 2012 and fiscal 2011, respectively.</w:t>
      </w:r>
    </w:p>
    <w:p>
      <w:pPr>
        <w:spacing w:after="0" w:line="209" w:lineRule="exact"/>
        <w:rPr>
          <w:sz w:val="20"/>
          <w:szCs w:val="20"/>
          <w:color w:val="auto"/>
        </w:rPr>
      </w:pPr>
    </w:p>
    <w:p>
      <w:pPr>
        <w:ind w:left="720" w:hanging="714"/>
        <w:spacing w:after="0"/>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0" w:lineRule="exact"/>
        <w:rPr>
          <w:sz w:val="20"/>
          <w:szCs w:val="20"/>
          <w:color w:val="auto"/>
        </w:rPr>
      </w:pPr>
    </w:p>
    <w:p>
      <w:pPr>
        <w:jc w:val="both"/>
        <w:ind w:right="520"/>
        <w:spacing w:after="0" w:line="255" w:lineRule="auto"/>
        <w:rPr>
          <w:sz w:val="20"/>
          <w:szCs w:val="20"/>
          <w:color w:val="auto"/>
        </w:rPr>
      </w:pPr>
      <w:r>
        <w:rPr>
          <w:rFonts w:ascii="Arial" w:cs="Arial" w:eastAsia="Arial" w:hAnsi="Arial"/>
          <w:sz w:val="18"/>
          <w:szCs w:val="18"/>
          <w:color w:val="auto"/>
        </w:rPr>
        <w:t>During fiscal 2012 and fiscal 2011, the Company made consulting payments totaling $100,000 per year, to Bioplastic Polymers LLC, an entity owned by Ramani Narayan, Ph.D., a director of the Company, and paid royalties of $7,745 and $5,624, respectively, based on net sales of the Company’s bioplastics products.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0" w:type="dxa"/>
            <w:vAlign w:val="bottom"/>
          </w:tcPr>
          <w:p>
            <w:pPr>
              <w:spacing w:after="0"/>
              <w:rPr>
                <w:sz w:val="20"/>
                <w:szCs w:val="20"/>
                <w:color w:val="auto"/>
              </w:rPr>
            </w:pPr>
            <w:r>
              <w:rPr>
                <w:rFonts w:ascii="Arial" w:cs="Arial" w:eastAsia="Arial" w:hAnsi="Arial"/>
                <w:sz w:val="18"/>
                <w:szCs w:val="18"/>
                <w:b w:val="1"/>
                <w:bCs w:val="1"/>
                <w:color w:val="auto"/>
              </w:rPr>
              <w:t>15.</w:t>
            </w:r>
          </w:p>
        </w:tc>
        <w:tc>
          <w:tcPr>
            <w:tcW w:w="8840" w:type="dxa"/>
            <w:vAlign w:val="bottom"/>
          </w:tcPr>
          <w:p>
            <w:pPr>
              <w:ind w:left="440"/>
              <w:spacing w:after="0"/>
              <w:rPr>
                <w:sz w:val="20"/>
                <w:szCs w:val="20"/>
                <w:color w:val="auto"/>
              </w:rPr>
            </w:pPr>
            <w:r>
              <w:rPr>
                <w:rFonts w:ascii="Arial" w:cs="Arial" w:eastAsia="Arial" w:hAnsi="Arial"/>
                <w:sz w:val="18"/>
                <w:szCs w:val="18"/>
                <w:b w:val="1"/>
                <w:bCs w:val="1"/>
                <w:color w:val="auto"/>
              </w:rPr>
              <w:t>INCOME TAXES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51"/>
        </w:trPr>
        <w:tc>
          <w:tcPr>
            <w:tcW w:w="9120" w:type="dxa"/>
            <w:vAlign w:val="bottom"/>
            <w:gridSpan w:val="2"/>
          </w:tcPr>
          <w:p>
            <w:pPr>
              <w:spacing w:after="0"/>
              <w:rPr>
                <w:sz w:val="20"/>
                <w:szCs w:val="20"/>
                <w:color w:val="auto"/>
              </w:rPr>
            </w:pPr>
            <w:r>
              <w:rPr>
                <w:rFonts w:ascii="Arial" w:cs="Arial" w:eastAsia="Arial" w:hAnsi="Arial"/>
                <w:sz w:val="18"/>
                <w:szCs w:val="18"/>
                <w:color w:val="auto"/>
              </w:rPr>
              <w:t>The provision for income taxes for the fiscal years ended August 31, 2012 and 2011 consists of the following:</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65"/>
        </w:trPr>
        <w:tc>
          <w:tcPr>
            <w:tcW w:w="28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23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0"/>
              </w:rPr>
              <w:t>Fiscal Year Ended August 31,</w:t>
            </w:r>
          </w:p>
        </w:tc>
      </w:tr>
      <w:tr>
        <w:trPr>
          <w:trHeight w:val="219"/>
        </w:trPr>
        <w:tc>
          <w:tcPr>
            <w:tcW w:w="280" w:type="dxa"/>
            <w:vAlign w:val="bottom"/>
          </w:tcPr>
          <w:p>
            <w:pPr>
              <w:spacing w:after="0"/>
              <w:rPr>
                <w:sz w:val="19"/>
                <w:szCs w:val="19"/>
                <w:color w:val="auto"/>
              </w:rPr>
            </w:pPr>
          </w:p>
        </w:tc>
        <w:tc>
          <w:tcPr>
            <w:tcW w:w="8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2011</w:t>
            </w:r>
          </w:p>
        </w:tc>
      </w:tr>
      <w:tr>
        <w:trPr>
          <w:trHeight w:val="205"/>
        </w:trPr>
        <w:tc>
          <w:tcPr>
            <w:tcW w:w="9120" w:type="dxa"/>
            <w:vAlign w:val="bottom"/>
            <w:gridSpan w:val="2"/>
          </w:tcPr>
          <w:p>
            <w:pPr>
              <w:spacing w:after="0" w:line="204" w:lineRule="exact"/>
              <w:rPr>
                <w:sz w:val="20"/>
                <w:szCs w:val="20"/>
                <w:color w:val="auto"/>
              </w:rPr>
            </w:pPr>
            <w:r>
              <w:rPr>
                <w:rFonts w:ascii="Arial" w:cs="Arial" w:eastAsia="Arial" w:hAnsi="Arial"/>
                <w:sz w:val="18"/>
                <w:szCs w:val="18"/>
                <w:color w:val="auto"/>
              </w:rPr>
              <w:t>Current:</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3"/>
        </w:trPr>
        <w:tc>
          <w:tcPr>
            <w:tcW w:w="280" w:type="dxa"/>
            <w:vAlign w:val="bottom"/>
            <w:shd w:val="clear" w:color="auto" w:fill="CCEEFF"/>
          </w:tcPr>
          <w:p>
            <w:pPr>
              <w:spacing w:after="0"/>
              <w:rPr>
                <w:sz w:val="18"/>
                <w:szCs w:val="18"/>
                <w:color w:val="auto"/>
              </w:rPr>
            </w:pPr>
          </w:p>
        </w:tc>
        <w:tc>
          <w:tcPr>
            <w:tcW w:w="8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12"/>
        </w:trPr>
        <w:tc>
          <w:tcPr>
            <w:tcW w:w="280" w:type="dxa"/>
            <w:vAlign w:val="bottom"/>
          </w:tcPr>
          <w:p>
            <w:pPr>
              <w:spacing w:after="0"/>
              <w:rPr>
                <w:sz w:val="18"/>
                <w:szCs w:val="18"/>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State</w:t>
            </w:r>
          </w:p>
        </w:tc>
        <w:tc>
          <w:tcPr>
            <w:tcW w:w="18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40,000</w:t>
            </w:r>
          </w:p>
        </w:tc>
      </w:tr>
      <w:tr>
        <w:trPr>
          <w:trHeight w:val="225"/>
        </w:trPr>
        <w:tc>
          <w:tcPr>
            <w:tcW w:w="280" w:type="dxa"/>
            <w:vAlign w:val="bottom"/>
            <w:tcBorders>
              <w:bottom w:val="single" w:sz="8" w:color="CCEEFF"/>
            </w:tcBorders>
            <w:shd w:val="clear" w:color="auto" w:fill="CCEEFF"/>
          </w:tcPr>
          <w:p>
            <w:pPr>
              <w:spacing w:after="0"/>
              <w:rPr>
                <w:sz w:val="19"/>
                <w:szCs w:val="19"/>
                <w:color w:val="auto"/>
              </w:rPr>
            </w:pPr>
          </w:p>
        </w:tc>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1,015,000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344,000</w:t>
            </w:r>
          </w:p>
        </w:tc>
      </w:tr>
      <w:tr>
        <w:trPr>
          <w:trHeight w:val="206"/>
        </w:trPr>
        <w:tc>
          <w:tcPr>
            <w:tcW w:w="280" w:type="dxa"/>
            <w:vAlign w:val="bottom"/>
          </w:tcPr>
          <w:p>
            <w:pPr>
              <w:spacing w:after="0"/>
              <w:rPr>
                <w:sz w:val="17"/>
                <w:szCs w:val="17"/>
                <w:color w:val="auto"/>
              </w:rPr>
            </w:pPr>
          </w:p>
        </w:tc>
        <w:tc>
          <w:tcPr>
            <w:tcW w:w="8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32"/>
              <w:spacing w:after="0" w:line="206" w:lineRule="exact"/>
              <w:rPr>
                <w:sz w:val="20"/>
                <w:szCs w:val="20"/>
                <w:color w:val="auto"/>
              </w:rPr>
            </w:pPr>
            <w:r>
              <w:rPr>
                <w:rFonts w:ascii="Arial" w:cs="Arial" w:eastAsia="Arial" w:hAnsi="Arial"/>
                <w:sz w:val="18"/>
                <w:szCs w:val="18"/>
                <w:color w:val="auto"/>
                <w:w w:val="97"/>
              </w:rPr>
              <w:t>1,040,000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2"/>
              <w:spacing w:after="0" w:line="206" w:lineRule="exact"/>
              <w:rPr>
                <w:sz w:val="20"/>
                <w:szCs w:val="20"/>
                <w:color w:val="auto"/>
              </w:rPr>
            </w:pPr>
            <w:r>
              <w:rPr>
                <w:rFonts w:ascii="Arial" w:cs="Arial" w:eastAsia="Arial" w:hAnsi="Arial"/>
                <w:sz w:val="18"/>
                <w:szCs w:val="18"/>
                <w:color w:val="auto"/>
              </w:rPr>
              <w:t>384,000</w:t>
            </w:r>
          </w:p>
        </w:tc>
      </w:tr>
      <w:tr>
        <w:trPr>
          <w:trHeight w:val="212"/>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2"/>
        </w:trPr>
        <w:tc>
          <w:tcPr>
            <w:tcW w:w="280" w:type="dxa"/>
            <w:vAlign w:val="bottom"/>
          </w:tcPr>
          <w:p>
            <w:pPr>
              <w:spacing w:after="0"/>
              <w:rPr>
                <w:sz w:val="18"/>
                <w:szCs w:val="18"/>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Federal</w:t>
            </w:r>
          </w:p>
        </w:tc>
        <w:tc>
          <w:tcPr>
            <w:tcW w:w="18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44,000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303,000</w:t>
            </w:r>
          </w:p>
        </w:tc>
      </w:tr>
      <w:tr>
        <w:trPr>
          <w:trHeight w:val="212"/>
        </w:trPr>
        <w:tc>
          <w:tcPr>
            <w:tcW w:w="280" w:type="dxa"/>
            <w:vAlign w:val="bottom"/>
            <w:shd w:val="clear" w:color="auto" w:fill="CCEEFF"/>
          </w:tcPr>
          <w:p>
            <w:pPr>
              <w:spacing w:after="0"/>
              <w:rPr>
                <w:sz w:val="18"/>
                <w:szCs w:val="18"/>
                <w:color w:val="auto"/>
              </w:rPr>
            </w:pPr>
          </w:p>
        </w:tc>
        <w:tc>
          <w:tcPr>
            <w:tcW w:w="8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19,000</w:t>
            </w:r>
          </w:p>
        </w:tc>
      </w:tr>
      <w:tr>
        <w:trPr>
          <w:trHeight w:val="225"/>
        </w:trPr>
        <w:tc>
          <w:tcPr>
            <w:tcW w:w="280" w:type="dxa"/>
            <w:vAlign w:val="bottom"/>
          </w:tcPr>
          <w:p>
            <w:pPr>
              <w:spacing w:after="0"/>
              <w:rPr>
                <w:sz w:val="19"/>
                <w:szCs w:val="19"/>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19"/>
        </w:trPr>
        <w:tc>
          <w:tcPr>
            <w:tcW w:w="280" w:type="dxa"/>
            <w:vAlign w:val="bottom"/>
            <w:tcBorders>
              <w:bottom w:val="single" w:sz="8" w:color="CCEEFF"/>
            </w:tcBorders>
            <w:shd w:val="clear" w:color="auto" w:fill="CCEEFF"/>
          </w:tcPr>
          <w:p>
            <w:pPr>
              <w:spacing w:after="0"/>
              <w:rPr>
                <w:sz w:val="19"/>
                <w:szCs w:val="19"/>
                <w:color w:val="auto"/>
              </w:rPr>
            </w:pPr>
          </w:p>
        </w:tc>
        <w:tc>
          <w:tcPr>
            <w:tcW w:w="88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322,000</w:t>
            </w:r>
          </w:p>
        </w:tc>
      </w:tr>
      <w:tr>
        <w:trPr>
          <w:trHeight w:val="219"/>
        </w:trPr>
        <w:tc>
          <w:tcPr>
            <w:tcW w:w="280" w:type="dxa"/>
            <w:vAlign w:val="bottom"/>
          </w:tcPr>
          <w:p>
            <w:pPr>
              <w:spacing w:after="0"/>
              <w:rPr>
                <w:sz w:val="19"/>
                <w:szCs w:val="19"/>
                <w:color w:val="auto"/>
              </w:rPr>
            </w:pPr>
          </w:p>
        </w:tc>
        <w:tc>
          <w:tcPr>
            <w:tcW w:w="88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1,041,000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706,000</w:t>
            </w:r>
          </w:p>
        </w:tc>
      </w:tr>
      <w:tr>
        <w:trPr>
          <w:trHeight w:val="20"/>
        </w:trPr>
        <w:tc>
          <w:tcPr>
            <w:tcW w:w="28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right="80"/>
        <w:spacing w:after="0" w:line="265" w:lineRule="auto"/>
        <w:rPr>
          <w:sz w:val="20"/>
          <w:szCs w:val="20"/>
          <w:color w:val="auto"/>
        </w:rPr>
      </w:pPr>
      <w:r>
        <w:rPr>
          <w:rFonts w:ascii="Arial" w:cs="Arial" w:eastAsia="Arial" w:hAnsi="Arial"/>
          <w:sz w:val="18"/>
          <w:szCs w:val="18"/>
          <w:color w:val="auto"/>
        </w:rPr>
        <w:t>Reconciliations of the expected federal income tax at the statutory rate with the provisions for income taxes for the fiscal years ended August 31, 2012 and 2011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20" w:type="dxa"/>
            <w:vAlign w:val="bottom"/>
          </w:tcPr>
          <w:p>
            <w:pPr>
              <w:spacing w:after="0"/>
              <w:rPr>
                <w:sz w:val="20"/>
                <w:szCs w:val="20"/>
                <w:color w:val="auto"/>
              </w:rPr>
            </w:pPr>
          </w:p>
        </w:tc>
        <w:tc>
          <w:tcPr>
            <w:tcW w:w="23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0"/>
              </w:rPr>
              <w:t>Fiscal Year Ended August 31,</w:t>
            </w:r>
          </w:p>
        </w:tc>
      </w:tr>
      <w:tr>
        <w:trPr>
          <w:trHeight w:val="219"/>
        </w:trPr>
        <w:tc>
          <w:tcPr>
            <w:tcW w:w="9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2011</w:t>
            </w:r>
          </w:p>
        </w:tc>
      </w:tr>
      <w:tr>
        <w:trPr>
          <w:trHeight w:val="205"/>
        </w:trPr>
        <w:tc>
          <w:tcPr>
            <w:tcW w:w="91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Tax computed at statutory rates</w:t>
            </w:r>
          </w:p>
        </w:tc>
        <w:tc>
          <w:tcPr>
            <w:tcW w:w="1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1,570,000</w:t>
            </w:r>
          </w:p>
        </w:tc>
        <w:tc>
          <w:tcPr>
            <w:tcW w:w="26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rPr>
              <w:t>1,692,000</w:t>
            </w:r>
          </w:p>
        </w:tc>
      </w:tr>
      <w:tr>
        <w:trPr>
          <w:trHeight w:val="212"/>
        </w:trPr>
        <w:tc>
          <w:tcPr>
            <w:tcW w:w="912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46,000</w:t>
            </w:r>
          </w:p>
        </w:tc>
      </w:tr>
      <w:tr>
        <w:trPr>
          <w:trHeight w:val="212"/>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Tax effect on equity in income (loss) of international joint ventures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(1,616,000)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(1,705,000)</w:t>
            </w:r>
          </w:p>
        </w:tc>
      </w:tr>
      <w:tr>
        <w:trPr>
          <w:trHeight w:val="212"/>
        </w:trPr>
        <w:tc>
          <w:tcPr>
            <w:tcW w:w="9120" w:type="dxa"/>
            <w:vAlign w:val="bottom"/>
          </w:tcPr>
          <w:p>
            <w:pPr>
              <w:spacing w:after="0"/>
              <w:rPr>
                <w:sz w:val="20"/>
                <w:szCs w:val="20"/>
                <w:color w:val="auto"/>
              </w:rPr>
            </w:pPr>
            <w:r>
              <w:rPr>
                <w:rFonts w:ascii="Arial" w:cs="Arial" w:eastAsia="Arial" w:hAnsi="Arial"/>
                <w:sz w:val="18"/>
                <w:szCs w:val="18"/>
                <w:color w:val="auto"/>
              </w:rPr>
              <w:t>Tax effect on dividends received from joint ventures</w:t>
            </w:r>
          </w:p>
        </w:tc>
        <w:tc>
          <w:tcPr>
            <w:tcW w:w="14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1,363,000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1,229,000</w:t>
            </w:r>
          </w:p>
        </w:tc>
      </w:tr>
      <w:tr>
        <w:trPr>
          <w:trHeight w:val="212"/>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Benefit of foreign operations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556,000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119,000</w:t>
            </w:r>
          </w:p>
        </w:tc>
      </w:tr>
      <w:tr>
        <w:trPr>
          <w:trHeight w:val="212"/>
        </w:trPr>
        <w:tc>
          <w:tcPr>
            <w:tcW w:w="9120" w:type="dxa"/>
            <w:vAlign w:val="bottom"/>
          </w:tcPr>
          <w:p>
            <w:pPr>
              <w:spacing w:after="0"/>
              <w:rPr>
                <w:sz w:val="20"/>
                <w:szCs w:val="20"/>
                <w:color w:val="auto"/>
              </w:rPr>
            </w:pPr>
            <w:r>
              <w:rPr>
                <w:rFonts w:ascii="Arial" w:cs="Arial" w:eastAsia="Arial" w:hAnsi="Arial"/>
                <w:sz w:val="18"/>
                <w:szCs w:val="18"/>
                <w:color w:val="auto"/>
              </w:rPr>
              <w:t>Foreign tax credit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(1,729,000)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(1,440,000)</w:t>
            </w:r>
          </w:p>
        </w:tc>
      </w:tr>
      <w:tr>
        <w:trPr>
          <w:trHeight w:val="212"/>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w:t>
            </w:r>
          </w:p>
        </w:tc>
      </w:tr>
      <w:tr>
        <w:trPr>
          <w:trHeight w:val="212"/>
        </w:trPr>
        <w:tc>
          <w:tcPr>
            <w:tcW w:w="9120" w:type="dxa"/>
            <w:vAlign w:val="bottom"/>
          </w:tcPr>
          <w:p>
            <w:pPr>
              <w:spacing w:after="0"/>
              <w:rPr>
                <w:sz w:val="20"/>
                <w:szCs w:val="20"/>
                <w:color w:val="auto"/>
              </w:rPr>
            </w:pPr>
            <w:r>
              <w:rPr>
                <w:rFonts w:ascii="Arial" w:cs="Arial" w:eastAsia="Arial" w:hAnsi="Arial"/>
                <w:sz w:val="18"/>
                <w:szCs w:val="18"/>
                <w:color w:val="auto"/>
              </w:rPr>
              <w:t>Valuation allowance</w:t>
            </w:r>
          </w:p>
        </w:tc>
        <w:tc>
          <w:tcPr>
            <w:tcW w:w="14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1,177,000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896,000</w:t>
            </w:r>
          </w:p>
        </w:tc>
      </w:tr>
      <w:tr>
        <w:trPr>
          <w:trHeight w:val="225"/>
        </w:trPr>
        <w:tc>
          <w:tcPr>
            <w:tcW w:w="9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67,000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74,000</w:t>
            </w:r>
          </w:p>
        </w:tc>
      </w:tr>
      <w:tr>
        <w:trPr>
          <w:trHeight w:val="219"/>
        </w:trPr>
        <w:tc>
          <w:tcPr>
            <w:tcW w:w="91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1,041,000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706,000</w:t>
            </w:r>
          </w:p>
        </w:tc>
      </w:tr>
      <w:tr>
        <w:trPr>
          <w:trHeight w:val="20"/>
        </w:trPr>
        <w:tc>
          <w:tcPr>
            <w:tcW w:w="9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The Company has not provided U.S. income taxes or foreign withholding taxes with respect to its portion of the cumulative undistributed earnings of foreign joint ventures that are essentially permanent in duration. The Company’s portion of the cumulative undistributed earnings of foreign joint ventures that are essentially permanent in duration were $18,185,000 and $17,948,000 at August 31, 2012 and 2011, respectively. If some or all of the undistributed earnings of the joint ventures are remitted to the Company in the future, income taxes, if any, after the application of foreign tax credits will be provided at that time. To the extent undistributed earnings of the Company’s joint ventures are distributed in the future, it is not expected to result in any material additional income tax liability after the application of foreign tax credits.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71" w:name="page72"/>
    <w:bookmarkEnd w:id="71"/>
    <w:p>
      <w:pPr>
        <w:ind w:right="380"/>
        <w:spacing w:after="0" w:line="265" w:lineRule="auto"/>
        <w:rPr>
          <w:sz w:val="20"/>
          <w:szCs w:val="20"/>
          <w:color w:val="auto"/>
        </w:rPr>
      </w:pPr>
      <w:r>
        <w:rPr>
          <w:rFonts w:ascii="Arial" w:cs="Arial" w:eastAsia="Arial" w:hAnsi="Arial"/>
          <w:sz w:val="18"/>
          <w:szCs w:val="18"/>
          <w:color w:val="auto"/>
        </w:rPr>
        <w:t>The tax effect of the temporary differences and tax carry forwards comprising the net deferred taxes shown on the consolidated balance sheets at August 31, 2012 and 2011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05"/>
        </w:trPr>
        <w:tc>
          <w:tcPr>
            <w:tcW w:w="9260" w:type="dxa"/>
            <w:vAlign w:val="bottom"/>
            <w:gridSpan w:val="2"/>
          </w:tcPr>
          <w:p>
            <w:pPr>
              <w:spacing w:after="0" w:line="204" w:lineRule="exact"/>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Accrued bonus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404,100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300"/>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7,200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Inventory costs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11,900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300"/>
              <w:spacing w:after="0"/>
              <w:rPr>
                <w:sz w:val="20"/>
                <w:szCs w:val="20"/>
                <w:color w:val="auto"/>
              </w:rPr>
            </w:pPr>
            <w:r>
              <w:rPr>
                <w:rFonts w:ascii="Arial" w:cs="Arial" w:eastAsia="Arial" w:hAnsi="Arial"/>
                <w:sz w:val="18"/>
                <w:szCs w:val="18"/>
                <w:color w:val="auto"/>
              </w:rPr>
              <w:t>Prepaid expenses and other</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accrued expenses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96,200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122,600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240" w:type="dxa"/>
            <w:vAlign w:val="bottom"/>
          </w:tcPr>
          <w:p>
            <w:pPr>
              <w:ind w:left="300"/>
              <w:spacing w:after="0"/>
              <w:rPr>
                <w:sz w:val="20"/>
                <w:szCs w:val="20"/>
                <w:color w:val="auto"/>
              </w:rPr>
            </w:pPr>
            <w:r>
              <w:rPr>
                <w:rFonts w:ascii="Arial" w:cs="Arial" w:eastAsia="Arial" w:hAnsi="Arial"/>
                <w:sz w:val="18"/>
                <w:szCs w:val="18"/>
                <w:color w:val="auto"/>
              </w:rPr>
              <w:t>Deferred joint venture expenses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104,100</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104,100</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9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596,200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221,600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2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300"/>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(159,500)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(141,100)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300"/>
              <w:spacing w:after="0"/>
              <w:rPr>
                <w:sz w:val="20"/>
                <w:szCs w:val="20"/>
                <w:color w:val="auto"/>
              </w:rPr>
            </w:pPr>
            <w:r>
              <w:rPr>
                <w:rFonts w:ascii="Arial" w:cs="Arial" w:eastAsia="Arial" w:hAnsi="Arial"/>
                <w:sz w:val="18"/>
                <w:szCs w:val="18"/>
                <w:color w:val="auto"/>
              </w:rPr>
              <w:t>Other intangible assets</w:t>
            </w: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949,200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497,200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Nonqualified stock options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196,100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300"/>
              <w:spacing w:after="0"/>
              <w:rPr>
                <w:sz w:val="20"/>
                <w:szCs w:val="20"/>
                <w:color w:val="auto"/>
              </w:rPr>
            </w:pPr>
            <w:r>
              <w:rPr>
                <w:rFonts w:ascii="Arial" w:cs="Arial" w:eastAsia="Arial" w:hAnsi="Arial"/>
                <w:sz w:val="18"/>
                <w:szCs w:val="18"/>
                <w:color w:val="auto"/>
              </w:rPr>
              <w:t>Foreign tax credit carryforward</w:t>
            </w: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3,438,300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3,524,300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300"/>
              <w:spacing w:after="0"/>
              <w:rPr>
                <w:sz w:val="20"/>
                <w:szCs w:val="20"/>
                <w:color w:val="auto"/>
              </w:rPr>
            </w:pPr>
            <w:r>
              <w:rPr>
                <w:rFonts w:ascii="Arial" w:cs="Arial" w:eastAsia="Arial" w:hAnsi="Arial"/>
                <w:sz w:val="18"/>
                <w:szCs w:val="18"/>
                <w:color w:val="auto"/>
              </w:rPr>
              <w:t>Research and development credit</w:t>
            </w: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1,485,800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1,155,600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New hire retention credit</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2"/>
              <w:spacing w:after="0" w:line="206" w:lineRule="exact"/>
              <w:rPr>
                <w:sz w:val="20"/>
                <w:szCs w:val="20"/>
                <w:color w:val="auto"/>
              </w:rPr>
            </w:pPr>
            <w:r>
              <w:rPr>
                <w:rFonts w:ascii="Arial" w:cs="Arial" w:eastAsia="Arial" w:hAnsi="Arial"/>
                <w:sz w:val="18"/>
                <w:szCs w:val="18"/>
                <w:color w:val="auto"/>
                <w:w w:val="97"/>
              </w:rPr>
              <w:t>5,962,000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2"/>
              <w:spacing w:after="0" w:line="206" w:lineRule="exact"/>
              <w:rPr>
                <w:sz w:val="20"/>
                <w:szCs w:val="20"/>
                <w:color w:val="auto"/>
              </w:rPr>
            </w:pPr>
            <w:r>
              <w:rPr>
                <w:rFonts w:ascii="Arial" w:cs="Arial" w:eastAsia="Arial" w:hAnsi="Arial"/>
                <w:sz w:val="18"/>
                <w:szCs w:val="18"/>
                <w:color w:val="auto"/>
                <w:w w:val="97"/>
              </w:rPr>
              <w:t>5,210,000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(4,933,100)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(3,799,300)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240" w:type="dxa"/>
            <w:vAlign w:val="bottom"/>
          </w:tcPr>
          <w:p>
            <w:pPr>
              <w:ind w:left="620"/>
              <w:spacing w:after="0"/>
              <w:rPr>
                <w:sz w:val="20"/>
                <w:szCs w:val="20"/>
                <w:color w:val="auto"/>
              </w:rPr>
            </w:pPr>
            <w:r>
              <w:rPr>
                <w:rFonts w:ascii="Arial" w:cs="Arial" w:eastAsia="Arial" w:hAnsi="Arial"/>
                <w:sz w:val="18"/>
                <w:szCs w:val="18"/>
                <w:color w:val="auto"/>
              </w:rPr>
              <w:t>Total noncurrent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1,028,900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1,410,700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line="330" w:lineRule="auto"/>
        <w:rPr>
          <w:sz w:val="20"/>
          <w:szCs w:val="20"/>
          <w:color w:val="auto"/>
        </w:rPr>
      </w:pPr>
      <w:r>
        <w:rPr>
          <w:rFonts w:ascii="Arial" w:cs="Arial" w:eastAsia="Arial" w:hAnsi="Arial"/>
          <w:sz w:val="15"/>
          <w:szCs w:val="15"/>
          <w:color w:val="auto"/>
        </w:rPr>
        <w:t>At August 31, 2012, the Company had foreign tax credit carryforwards of approximately $3,438,300, of which approximately $469,000 will expire if not utilized by August 31, 2013. In addition, the Company had federal and state tax credit carryforwards of $1,494,800 at August 31, 2012 which begin to expire in fiscal 2019. These federal and state tax credit carryforwards consist primarily of federal and Minnesota research and development credit carryforwards.</w:t>
      </w:r>
    </w:p>
    <w:p>
      <w:pPr>
        <w:spacing w:after="0" w:line="164"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The Company has recorded a valuation allowance of $3,438,300 with respect to the foreign tax credit carryforwards. In addition, the Company has recorded a valuation allowance of $1,494,800 with respect to Minnesota research and development credit carryforwards.</w:t>
      </w:r>
    </w:p>
    <w:p>
      <w:pPr>
        <w:spacing w:after="0" w:line="206"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The Company records a tax valuation allowance to reduce deferred tax assets to the amount expected to be realized when it is more likely than not that some portion or all of its deferred tax assets will not be realized. The Company determined based on all available evidence, including historical data and projections of future results, that it is more likely than not that all of its deferred tax assets, except for its foreign tax credit carryforward and Minnesota research and development credit carryforwards, will be fully realized. The Company determined that its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 In addition, based on historical data and future projections, the Company determined that it is more likely than not that its deferred tax asset related to federal and Minnesota research and development credit carryforwards will not be realized due to insufficient federal and Minnesota taxable income within the carryforward period after considering the foreign tax credit usage.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The following is a tabular reconciliation of the total amounts of unrecognized tax benefits: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65"/>
        </w:trPr>
        <w:tc>
          <w:tcPr>
            <w:tcW w:w="2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23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0"/>
              </w:rPr>
              <w:t>Fiscal Year Ended August 31,</w:t>
            </w:r>
          </w:p>
        </w:tc>
      </w:tr>
      <w:tr>
        <w:trPr>
          <w:trHeight w:val="219"/>
        </w:trPr>
        <w:tc>
          <w:tcPr>
            <w:tcW w:w="20" w:type="dxa"/>
            <w:vAlign w:val="bottom"/>
          </w:tcPr>
          <w:p>
            <w:pPr>
              <w:spacing w:after="0"/>
              <w:rPr>
                <w:sz w:val="19"/>
                <w:szCs w:val="19"/>
                <w:color w:val="auto"/>
              </w:rPr>
            </w:pPr>
          </w:p>
        </w:tc>
        <w:tc>
          <w:tcPr>
            <w:tcW w:w="9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2011</w:t>
            </w:r>
          </w:p>
        </w:tc>
      </w:tr>
      <w:tr>
        <w:trPr>
          <w:trHeight w:val="205"/>
        </w:trPr>
        <w:tc>
          <w:tcPr>
            <w:tcW w:w="20" w:type="dxa"/>
            <w:vAlign w:val="bottom"/>
          </w:tcPr>
          <w:p>
            <w:pPr>
              <w:spacing w:after="0"/>
              <w:rPr>
                <w:sz w:val="17"/>
                <w:szCs w:val="17"/>
                <w:color w:val="auto"/>
              </w:rPr>
            </w:pPr>
          </w:p>
        </w:tc>
        <w:tc>
          <w:tcPr>
            <w:tcW w:w="9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Gross unrecognized tax benefits – beginning balance</w:t>
            </w:r>
          </w:p>
        </w:tc>
        <w:tc>
          <w:tcPr>
            <w:tcW w:w="2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131,000</w:t>
            </w:r>
          </w:p>
        </w:tc>
        <w:tc>
          <w:tcPr>
            <w:tcW w:w="320" w:type="dxa"/>
            <w:vAlign w:val="bottom"/>
            <w:gridSpan w:val="2"/>
            <w:shd w:val="clear" w:color="auto" w:fill="CCEEFF"/>
          </w:tcPr>
          <w:p>
            <w:pPr>
              <w:jc w:val="right"/>
              <w:ind w:right="120"/>
              <w:spacing w:after="0" w:line="20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rPr>
              <w:t>105,000</w:t>
            </w:r>
          </w:p>
        </w:tc>
      </w:tr>
      <w:tr>
        <w:trPr>
          <w:trHeight w:val="212"/>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Gross increases - prior period tax positions</w:t>
            </w:r>
          </w:p>
        </w:tc>
        <w:tc>
          <w:tcPr>
            <w:tcW w:w="20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11,000</w:t>
            </w:r>
          </w:p>
        </w:tc>
      </w:tr>
      <w:tr>
        <w:trPr>
          <w:trHeight w:val="225"/>
        </w:trPr>
        <w:tc>
          <w:tcPr>
            <w:tcW w:w="20" w:type="dxa"/>
            <w:vAlign w:val="bottom"/>
          </w:tcPr>
          <w:p>
            <w:pPr>
              <w:spacing w:after="0"/>
              <w:rPr>
                <w:sz w:val="19"/>
                <w:szCs w:val="19"/>
                <w:color w:val="auto"/>
              </w:rPr>
            </w:pPr>
          </w:p>
        </w:tc>
        <w:tc>
          <w:tcPr>
            <w:tcW w:w="9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increases – current period tax positions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15,000</w:t>
            </w:r>
          </w:p>
        </w:tc>
      </w:tr>
      <w:tr>
        <w:trPr>
          <w:trHeight w:val="219"/>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Gross unrecognized tax benefits – ending balance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131,000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131,000</w:t>
            </w: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entire amount of unrecognized tax benefits would affect the effective tax rate. It is not expected that the amount of unrecognized tax benefits will change significantly in the next 12 months.</w:t>
      </w:r>
    </w:p>
    <w:p>
      <w:pPr>
        <w:spacing w:after="0" w:line="206"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The Company recognizes interest and penalties related to unrecognized tax benefits as a component of the Company’s income tax provision. Accrued interest and penalties are included within the related tax liability line in the consolidated balance sheet. The liability for the payment of interest and penalties was $0 at both August 31, 2012 and August 31, 2011.</w:t>
      </w:r>
    </w:p>
    <w:p>
      <w:pPr>
        <w:spacing w:after="0" w:line="215"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Company is subject to taxation in the United States and various states and foreign jurisdictions. With few exceptions, as of August 31, 2012, the Company is no longer subject to federal, state, local, or foreign examinations by tax authorities for years prior to August 31, 2009.</w:t>
      </w:r>
    </w:p>
    <w:p>
      <w:pPr>
        <w:spacing w:after="0" w:line="200" w:lineRule="exact"/>
        <w:rPr>
          <w:sz w:val="20"/>
          <w:szCs w:val="20"/>
          <w:color w:val="auto"/>
        </w:rPr>
      </w:pPr>
    </w:p>
    <w:p>
      <w:pPr>
        <w:ind w:left="720" w:hanging="714"/>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0"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On September 27, 2011, the Compensation Committee approved the material terms of an annual bonus plan for the Company’s executive officers and certain officers and employees for the fiscal year ending August 31, 2012. For fiscal 2012 as in past years, the total amount available under the bonus plan will be up to 25% of the Company’s EBITOI and will be $0 if EBITOI is below 70% of a pre-established target EBITOI for fiscal 2012. Each plan participant’s percentage of the overall bonus pool will be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2012 compared to the pre-established target EBITOI for fiscal 2012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NTIC common stock, the exact amount and percentages of which will be determined by the Company’s Board of Directors, upon recommendation of the Compensation Committee, after the completion of the Company’s consolidated financial statements for fiscal 2012.</w:t>
      </w:r>
    </w:p>
    <w:p>
      <w:pPr>
        <w:spacing w:after="0" w:line="210" w:lineRule="exact"/>
        <w:rPr>
          <w:sz w:val="20"/>
          <w:szCs w:val="20"/>
          <w:color w:val="auto"/>
        </w:rPr>
      </w:pPr>
    </w:p>
    <w:p>
      <w:pPr>
        <w:ind w:right="380"/>
        <w:spacing w:after="0" w:line="265" w:lineRule="auto"/>
        <w:rPr>
          <w:sz w:val="20"/>
          <w:szCs w:val="20"/>
          <w:color w:val="auto"/>
        </w:rPr>
      </w:pPr>
      <w:r>
        <w:rPr>
          <w:rFonts w:ascii="Arial" w:cs="Arial" w:eastAsia="Arial" w:hAnsi="Arial"/>
          <w:sz w:val="18"/>
          <w:szCs w:val="18"/>
          <w:color w:val="auto"/>
        </w:rPr>
        <w:t>There was $1,248,526 accrued for bonuses under this plan as of August 31, 2012. $1,379,565 was accrued for bonuses under the prior fiscal year plan as of August 31, 2011.</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73" w:name="page74"/>
    <w:bookmarkEnd w:id="73"/>
    <w:p>
      <w:pPr>
        <w:ind w:right="20"/>
        <w:spacing w:after="0" w:line="264" w:lineRule="auto"/>
        <w:rPr>
          <w:sz w:val="20"/>
          <w:szCs w:val="20"/>
          <w:color w:val="auto"/>
        </w:rPr>
      </w:pPr>
      <w:r>
        <w:rPr>
          <w:rFonts w:ascii="Arial" w:cs="Arial" w:eastAsia="Arial" w:hAnsi="Arial"/>
          <w:sz w:val="17"/>
          <w:szCs w:val="17"/>
          <w:color w:val="auto"/>
        </w:rPr>
        <w:t>On August 31, 2012, the Compensation Committee approved the material terms of an annual bonus plan for the Company’s executive officers and certain officers and employees for the fiscal year ending August 31, 2013. For fiscal 2013 as in past years, the total amount available under the bonus plan will be up to 25% of the Company’s EBITOI and will be $0 if EBITOI is below 70% of a pre-established target EBITOI for fiscal 2013. Each plan participant’s percentage of the overall bonus pool will be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2013 compared to the pre-established target EBITOI for fiscal 2013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NTIC common stock, the exact amount and percentages of which will be determined by the Company’s Board of Directors, upon recommendation of the Compensation Committee, after the completion of the Company’s consolidated financial statements for fiscal 2013.</w:t>
      </w:r>
    </w:p>
    <w:p>
      <w:pPr>
        <w:spacing w:after="0" w:line="210"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A subsidiary of the Company, NTI Facilities, Inc., leases property located at 23205 Mercantile Road, Beachwood, Ohio. Remaining rentals payable under such leases are as follows: fiscal 2013 - $238,500; fiscal 2014 - $59,500 and thereafter - $0.</w:t>
      </w:r>
    </w:p>
    <w:p>
      <w:pPr>
        <w:spacing w:after="0" w:line="206"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Three joint ventures accounted for 55.3% of the Company’s trade joint venture receivables at August 31, 2012 and one joint venture accounted for 53.5% of the Company’s trade joint venture receivables at August 31, 2011.</w:t>
      </w:r>
    </w:p>
    <w:p>
      <w:pPr>
        <w:spacing w:after="0" w:line="206" w:lineRule="exact"/>
        <w:rPr>
          <w:sz w:val="20"/>
          <w:szCs w:val="20"/>
          <w:color w:val="auto"/>
        </w:rPr>
      </w:pPr>
    </w:p>
    <w:p>
      <w:pPr>
        <w:ind w:right="180"/>
        <w:spacing w:after="0" w:line="366" w:lineRule="auto"/>
        <w:rPr>
          <w:sz w:val="20"/>
          <w:szCs w:val="20"/>
          <w:color w:val="auto"/>
        </w:rPr>
      </w:pPr>
      <w:r>
        <w:rPr>
          <w:rFonts w:ascii="Arial" w:cs="Arial" w:eastAsia="Arial" w:hAnsi="Arial"/>
          <w:sz w:val="15"/>
          <w:szCs w:val="15"/>
          <w:color w:val="auto"/>
        </w:rPr>
        <w:t>From time to time, the Company is subject to various claims and legal actions in the ordinary course of its business. The Company is not currently involved in any legal proceeding in which the Company believes, based on information currently available, that there is a reasonable possibility of a material loss.</w:t>
      </w:r>
    </w:p>
    <w:p>
      <w:pPr>
        <w:spacing w:after="0" w:line="131" w:lineRule="exact"/>
        <w:rPr>
          <w:sz w:val="20"/>
          <w:szCs w:val="20"/>
          <w:color w:val="auto"/>
        </w:rPr>
      </w:pPr>
    </w:p>
    <w:p>
      <w:pPr>
        <w:ind w:left="720" w:hanging="714"/>
        <w:spacing w:after="0"/>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OF CASH FLOWS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 for the fiscal years ended August 31, 2012 and 2011 consist of:</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4"/>
          </w:tcPr>
          <w:p>
            <w:pPr>
              <w:jc w:val="right"/>
              <w:ind w:right="352"/>
              <w:spacing w:after="0"/>
              <w:rPr>
                <w:sz w:val="20"/>
                <w:szCs w:val="20"/>
                <w:color w:val="auto"/>
              </w:rPr>
            </w:pPr>
            <w:r>
              <w:rPr>
                <w:rFonts w:ascii="Arial" w:cs="Arial" w:eastAsia="Arial" w:hAnsi="Arial"/>
                <w:sz w:val="18"/>
                <w:szCs w:val="18"/>
                <w:b w:val="1"/>
                <w:bCs w:val="1"/>
                <w:color w:val="auto"/>
                <w:w w:val="99"/>
              </w:rPr>
              <w:t>Fiscal 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Cash paid during the year for income tax</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Cash paid during the year for interest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29,388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59,541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Common stock issued in lieu of accrued payroll (42,707 and 22,686 shares, respectively)</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615,830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319,650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240" w:type="dxa"/>
            <w:vAlign w:val="bottom"/>
            <w:gridSpan w:val="8"/>
          </w:tcPr>
          <w:p>
            <w:pPr>
              <w:spacing w:after="0" w:line="200" w:lineRule="exact"/>
              <w:rPr>
                <w:sz w:val="20"/>
                <w:szCs w:val="20"/>
                <w:color w:val="auto"/>
              </w:rPr>
            </w:pPr>
            <w:r>
              <w:rPr>
                <w:rFonts w:ascii="Arial" w:cs="Arial" w:eastAsia="Arial" w:hAnsi="Arial"/>
                <w:sz w:val="18"/>
                <w:szCs w:val="18"/>
                <w:color w:val="auto"/>
                <w:w w:val="89"/>
              </w:rPr>
              <w:t>Decrease/(increase) in the Company’s investment in joint ventures and accumulated other comprehensive income due to changes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gridSpan w:val="2"/>
          </w:tcPr>
          <w:p>
            <w:pPr>
              <w:ind w:left="140"/>
              <w:spacing w:after="0"/>
              <w:rPr>
                <w:sz w:val="20"/>
                <w:szCs w:val="20"/>
                <w:color w:val="auto"/>
              </w:rPr>
            </w:pPr>
            <w:r>
              <w:rPr>
                <w:rFonts w:ascii="Arial" w:cs="Arial" w:eastAsia="Arial" w:hAnsi="Arial"/>
                <w:sz w:val="18"/>
                <w:szCs w:val="18"/>
                <w:color w:val="auto"/>
              </w:rPr>
              <w:t>in exchange rates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w w:val="92"/>
              </w:rPr>
              <w:t>2,219,357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1"/>
              </w:rPr>
              <w:t>(1,792,467)</w:t>
            </w:r>
          </w:p>
        </w:tc>
        <w:tc>
          <w:tcPr>
            <w:tcW w:w="0" w:type="dxa"/>
            <w:vAlign w:val="bottom"/>
          </w:tcPr>
          <w:p>
            <w:pPr>
              <w:spacing w:after="0"/>
              <w:rPr>
                <w:sz w:val="1"/>
                <w:szCs w:val="1"/>
                <w:color w:val="auto"/>
              </w:rPr>
            </w:pPr>
          </w:p>
        </w:tc>
      </w:tr>
      <w:tr>
        <w:trPr>
          <w:trHeight w:val="451"/>
        </w:trPr>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18.</w:t>
            </w:r>
          </w:p>
        </w:tc>
        <w:tc>
          <w:tcPr>
            <w:tcW w:w="6680" w:type="dxa"/>
            <w:vAlign w:val="bottom"/>
          </w:tcPr>
          <w:p>
            <w:pPr>
              <w:ind w:left="440"/>
              <w:spacing w:after="0"/>
              <w:rPr>
                <w:sz w:val="20"/>
                <w:szCs w:val="20"/>
                <w:color w:val="auto"/>
              </w:rPr>
            </w:pPr>
            <w:r>
              <w:rPr>
                <w:rFonts w:ascii="Arial" w:cs="Arial" w:eastAsia="Arial" w:hAnsi="Arial"/>
                <w:sz w:val="18"/>
                <w:szCs w:val="18"/>
                <w:b w:val="1"/>
                <w:bCs w:val="1"/>
                <w:color w:val="auto"/>
              </w:rPr>
              <w:t>QUARTERLY INFORMATION (UNAUDITED)</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right"/>
              <w:ind w:right="252"/>
              <w:spacing w:after="0"/>
              <w:rPr>
                <w:sz w:val="20"/>
                <w:szCs w:val="20"/>
                <w:color w:val="auto"/>
              </w:rPr>
            </w:pPr>
            <w:r>
              <w:rPr>
                <w:rFonts w:ascii="Arial" w:cs="Arial" w:eastAsia="Arial" w:hAnsi="Arial"/>
                <w:sz w:val="18"/>
                <w:szCs w:val="18"/>
                <w:b w:val="1"/>
                <w:bCs w:val="1"/>
                <w:color w:val="auto"/>
                <w:w w:val="91"/>
              </w:rPr>
              <w:t>Fiscal Quarter Ended</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5"/>
              </w:rPr>
              <w:t>November 30</w:t>
            </w:r>
          </w:p>
        </w:tc>
        <w:tc>
          <w:tcPr>
            <w:tcW w:w="1200" w:type="dxa"/>
            <w:vAlign w:val="bottom"/>
            <w:gridSpan w:val="4"/>
          </w:tcPr>
          <w:p>
            <w:pPr>
              <w:ind w:left="100"/>
              <w:spacing w:after="0"/>
              <w:rPr>
                <w:sz w:val="20"/>
                <w:szCs w:val="20"/>
                <w:color w:val="auto"/>
              </w:rPr>
            </w:pPr>
            <w:r>
              <w:rPr>
                <w:rFonts w:ascii="Arial" w:cs="Arial" w:eastAsia="Arial" w:hAnsi="Arial"/>
                <w:sz w:val="18"/>
                <w:szCs w:val="18"/>
                <w:b w:val="1"/>
                <w:bCs w:val="1"/>
                <w:color w:val="auto"/>
              </w:rPr>
              <w:t>February 29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b w:val="1"/>
                <w:bCs w:val="1"/>
                <w:color w:val="auto"/>
                <w:w w:val="99"/>
              </w:rPr>
              <w:t>May 31</w:t>
            </w:r>
          </w:p>
        </w:tc>
        <w:tc>
          <w:tcPr>
            <w:tcW w:w="120" w:type="dxa"/>
            <w:vAlign w:val="bottom"/>
          </w:tcPr>
          <w:p>
            <w:pPr>
              <w:spacing w:after="0"/>
              <w:rPr>
                <w:sz w:val="19"/>
                <w:szCs w:val="19"/>
                <w:color w:val="auto"/>
              </w:rPr>
            </w:pPr>
          </w:p>
        </w:tc>
        <w:tc>
          <w:tcPr>
            <w:tcW w:w="10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1"/>
              </w:rPr>
              <w:t>August 31</w:t>
            </w:r>
          </w:p>
        </w:tc>
        <w:tc>
          <w:tcPr>
            <w:tcW w:w="0" w:type="dxa"/>
            <w:vAlign w:val="bottom"/>
          </w:tcPr>
          <w:p>
            <w:pPr>
              <w:spacing w:after="0"/>
              <w:rPr>
                <w:sz w:val="1"/>
                <w:szCs w:val="1"/>
                <w:color w:val="auto"/>
              </w:rPr>
            </w:pPr>
          </w:p>
        </w:tc>
      </w:tr>
      <w:tr>
        <w:trPr>
          <w:trHeight w:val="205"/>
        </w:trPr>
        <w:tc>
          <w:tcPr>
            <w:tcW w:w="6960" w:type="dxa"/>
            <w:vAlign w:val="bottom"/>
            <w:gridSpan w:val="3"/>
          </w:tcPr>
          <w:p>
            <w:pPr>
              <w:spacing w:after="0" w:line="204" w:lineRule="exact"/>
              <w:rPr>
                <w:sz w:val="20"/>
                <w:szCs w:val="20"/>
                <w:color w:val="auto"/>
              </w:rPr>
            </w:pPr>
            <w:r>
              <w:rPr>
                <w:rFonts w:ascii="Arial" w:cs="Arial" w:eastAsia="Arial" w:hAnsi="Arial"/>
                <w:sz w:val="18"/>
                <w:szCs w:val="18"/>
                <w:color w:val="auto"/>
              </w:rPr>
              <w:t>Fiscal year 2012:</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4,832,114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4,974,328</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7,804,904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5,170,307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1,622,638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1,494,246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3,661,390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1,474,594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 expense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1,041,421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703,991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2,454,623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416,611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106,000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814,000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935,421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603,991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1,640,623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448,611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9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0.22</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0.14</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9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assumed outstanding:</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4,355,666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4,398,356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4,399,290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4,403,656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4,433,724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4,466,435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4,461,044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4,436,444</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80" w:type="dxa"/>
            <w:vAlign w:val="bottom"/>
          </w:tcPr>
          <w:p>
            <w:pPr>
              <w:ind w:left="534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668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-37465</wp:posOffset>
            </wp:positionV>
            <wp:extent cx="12700"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wp:posOffset>
            </wp:positionV>
            <wp:extent cx="12700"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8"/>
                <w:szCs w:val="18"/>
                <w:b w:val="1"/>
                <w:bCs w:val="1"/>
                <w:color w:val="auto"/>
                <w:w w:val="91"/>
              </w:rPr>
              <w:t>Fiscal Quarter Ended</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5"/>
              </w:rPr>
              <w:t>November 30</w:t>
            </w:r>
          </w:p>
        </w:tc>
        <w:tc>
          <w:tcPr>
            <w:tcW w:w="114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February 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b w:val="1"/>
                <w:bCs w:val="1"/>
                <w:color w:val="auto"/>
                <w:w w:val="99"/>
              </w:rPr>
              <w:t>May 31</w:t>
            </w:r>
          </w:p>
        </w:tc>
        <w:tc>
          <w:tcPr>
            <w:tcW w:w="120" w:type="dxa"/>
            <w:vAlign w:val="bottom"/>
          </w:tcPr>
          <w:p>
            <w:pPr>
              <w:spacing w:after="0"/>
              <w:rPr>
                <w:sz w:val="19"/>
                <w:szCs w:val="19"/>
                <w:color w:val="auto"/>
              </w:rPr>
            </w:pPr>
          </w:p>
        </w:tc>
        <w:tc>
          <w:tcPr>
            <w:tcW w:w="10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1"/>
              </w:rPr>
              <w:t>August 31</w:t>
            </w:r>
          </w:p>
        </w:tc>
        <w:tc>
          <w:tcPr>
            <w:tcW w:w="0" w:type="dxa"/>
            <w:vAlign w:val="bottom"/>
          </w:tcPr>
          <w:p>
            <w:pPr>
              <w:spacing w:after="0"/>
              <w:rPr>
                <w:sz w:val="1"/>
                <w:szCs w:val="1"/>
                <w:color w:val="auto"/>
              </w:rPr>
            </w:pPr>
          </w:p>
        </w:tc>
      </w:tr>
      <w:tr>
        <w:trPr>
          <w:trHeight w:val="205"/>
        </w:trPr>
        <w:tc>
          <w:tcPr>
            <w:tcW w:w="4800" w:type="dxa"/>
            <w:vAlign w:val="bottom"/>
            <w:gridSpan w:val="2"/>
          </w:tcPr>
          <w:p>
            <w:pPr>
              <w:spacing w:after="0" w:line="204" w:lineRule="exact"/>
              <w:rPr>
                <w:sz w:val="20"/>
                <w:szCs w:val="20"/>
                <w:color w:val="auto"/>
              </w:rPr>
            </w:pPr>
            <w:r>
              <w:rPr>
                <w:rFonts w:ascii="Arial" w:cs="Arial" w:eastAsia="Arial" w:hAnsi="Arial"/>
                <w:sz w:val="18"/>
                <w:szCs w:val="18"/>
                <w:color w:val="auto"/>
              </w:rPr>
              <w:t>Fiscal year 2011:</w:t>
            </w:r>
          </w:p>
        </w:tc>
        <w:tc>
          <w:tcPr>
            <w:tcW w:w="2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sales</w:t>
            </w:r>
          </w:p>
        </w:tc>
        <w:tc>
          <w:tcPr>
            <w:tcW w:w="234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4,098,441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4,778,118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5,100,778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5,549,190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tcPr>
          <w:p>
            <w:pPr>
              <w:ind w:left="300"/>
              <w:spacing w:after="0"/>
              <w:rPr>
                <w:sz w:val="20"/>
                <w:szCs w:val="20"/>
                <w:color w:val="auto"/>
              </w:rPr>
            </w:pPr>
            <w:r>
              <w:rPr>
                <w:rFonts w:ascii="Arial" w:cs="Arial" w:eastAsia="Arial" w:hAnsi="Arial"/>
                <w:sz w:val="18"/>
                <w:szCs w:val="18"/>
                <w:color w:val="auto"/>
              </w:rPr>
              <w:t>Gross profit</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1,407,736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1,771,886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1,641,927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1,936,338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before income tax expense</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1,016,874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1,141,219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1,250,155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1,293,640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tcPr>
          <w:p>
            <w:pPr>
              <w:ind w:left="300"/>
              <w:spacing w:after="0"/>
              <w:rPr>
                <w:sz w:val="20"/>
                <w:szCs w:val="20"/>
                <w:color w:val="auto"/>
              </w:rPr>
            </w:pPr>
            <w:r>
              <w:rPr>
                <w:rFonts w:ascii="Arial" w:cs="Arial" w:eastAsia="Arial" w:hAnsi="Arial"/>
                <w:sz w:val="18"/>
                <w:szCs w:val="18"/>
                <w:color w:val="auto"/>
              </w:rPr>
              <w:t>Income tax expense</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122,000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228,000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216,000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894,874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1,001,219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1,022,155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1,077,640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tcPr>
          <w:p>
            <w:pPr>
              <w:ind w:left="300"/>
              <w:spacing w:after="0"/>
              <w:rPr>
                <w:sz w:val="20"/>
                <w:szCs w:val="20"/>
                <w:color w:val="auto"/>
              </w:rPr>
            </w:pPr>
            <w:r>
              <w:rPr>
                <w:rFonts w:ascii="Arial" w:cs="Arial" w:eastAsia="Arial" w:hAnsi="Arial"/>
                <w:sz w:val="18"/>
                <w:szCs w:val="18"/>
                <w:color w:val="auto"/>
              </w:rPr>
              <w:t>Basic</w:t>
            </w:r>
          </w:p>
        </w:tc>
        <w:tc>
          <w:tcPr>
            <w:tcW w:w="234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0.21</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0.22</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Diluted</w:t>
            </w:r>
          </w:p>
        </w:tc>
        <w:tc>
          <w:tcPr>
            <w:tcW w:w="234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assumed outstanding:</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tcPr>
          <w:p>
            <w:pPr>
              <w:ind w:left="300"/>
              <w:spacing w:after="0"/>
              <w:rPr>
                <w:sz w:val="20"/>
                <w:szCs w:val="20"/>
                <w:color w:val="auto"/>
              </w:rPr>
            </w:pPr>
            <w:r>
              <w:rPr>
                <w:rFonts w:ascii="Arial" w:cs="Arial" w:eastAsia="Arial" w:hAnsi="Arial"/>
                <w:sz w:val="18"/>
                <w:szCs w:val="18"/>
                <w:color w:val="auto"/>
              </w:rPr>
              <w:t>Basic</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4,264,187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4,340,934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4,343,601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4,352,558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Diluted</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4,324,757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4,419,921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4,427,097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4,442,452</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160" w:type="dxa"/>
            <w:vAlign w:val="bottom"/>
          </w:tcPr>
          <w:p>
            <w:pPr>
              <w:jc w:val="right"/>
              <w:ind w:right="1072"/>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808080"/>
            </w:tcBorders>
          </w:tcPr>
          <w:p>
            <w:pPr>
              <w:spacing w:after="0"/>
              <w:rPr>
                <w:sz w:val="12"/>
                <w:szCs w:val="12"/>
                <w:color w:val="auto"/>
              </w:rPr>
            </w:pPr>
          </w:p>
        </w:tc>
        <w:tc>
          <w:tcPr>
            <w:tcW w:w="4780" w:type="dxa"/>
            <w:vAlign w:val="bottom"/>
            <w:tcBorders>
              <w:bottom w:val="single" w:sz="8" w:color="808080"/>
            </w:tcBorders>
          </w:tcPr>
          <w:p>
            <w:pPr>
              <w:spacing w:after="0"/>
              <w:rPr>
                <w:sz w:val="12"/>
                <w:szCs w:val="12"/>
                <w:color w:val="auto"/>
              </w:rPr>
            </w:pPr>
          </w:p>
        </w:tc>
        <w:tc>
          <w:tcPr>
            <w:tcW w:w="216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-37465</wp:posOffset>
            </wp:positionV>
            <wp:extent cx="12700"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wp:posOffset>
            </wp:positionV>
            <wp:extent cx="1270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sectPr>
      </w:pPr>
    </w:p>
    <w:bookmarkStart w:id="75" w:name="page76"/>
    <w:bookmarkEnd w:id="75"/>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0"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0"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 xml:space="preserve">NTIC’s management is responsible for establishing and maintaining adequate internal control over financial reporting, as such term is defined in Exchange Act Rules 13a-15(f) and 15d-15(f). Under the supervision and with the participation of NTIC’s Chief Executive Officer and Chief Financial Officer, NTIC’s management conducted an evaluation of the effectiveness of NTIC’s internal control over financial reporting based on the framework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issued by the Committee of Sponsoring Organizations of the Treadway Commission. Based on that evaluation, NTIC’s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concluded that NTIC’s internal control over financial reporting was effective as of August 31, 2012.</w:t>
      </w:r>
    </w:p>
    <w:p>
      <w:pPr>
        <w:spacing w:after="0" w:line="204"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This report does not include an attestation report of NTIC’s independent registered public accounting firm regarding internal control over financial reporting. Management’s report was not subject to attestation by NTIC’s independent registered public accounting firm pursuant to rules of the Securities and Exchange Commission that permit NTIC to provide only management’s report in this report.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August 31, 2012 that has materially affected, or is reasonably likely to materially affect NTIC’s internal control over financial reporting.</w:t>
      </w:r>
    </w:p>
    <w:p>
      <w:pPr>
        <w:spacing w:after="0" w:line="20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4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5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information in the “Proposal One – Election of Directors”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50" w:lineRule="exact"/>
        <w:rPr>
          <w:sz w:val="20"/>
          <w:szCs w:val="20"/>
          <w:color w:val="auto"/>
        </w:rPr>
      </w:pPr>
    </w:p>
    <w:p>
      <w:pPr>
        <w:ind w:right="640"/>
        <w:spacing w:after="0" w:line="265" w:lineRule="auto"/>
        <w:rPr>
          <w:sz w:val="20"/>
          <w:szCs w:val="20"/>
          <w:color w:val="auto"/>
        </w:rPr>
      </w:pPr>
      <w:r>
        <w:rPr>
          <w:rFonts w:ascii="Arial" w:cs="Arial" w:eastAsia="Arial" w:hAnsi="Arial"/>
          <w:sz w:val="18"/>
          <w:szCs w:val="18"/>
          <w:color w:val="auto"/>
        </w:rPr>
        <w:t>Information concerning NTIC’s executive officers and officers is included in this annual report on Form 10-K under Item 4A of Part I under the heading “Executive Officers of the Registrant.”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0"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information in the “Other Matters—Section 16(a) Beneficial Ownership Reporting Compliance”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50"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NTIC has adopted a code of ethics that applies to its principal executive officer, principal financial officer, principal accounting officer or controller or persons performing similar functions, as well as other employees and NTIC’s directors and meets the requirements of the SEC and the NASDAQ Global Market. A copy of NTIC’s Code of Ethics is filed as an exhibit to this report. NTIC intends to satisfy the disclosure requirements of Item 5.05 of Form 8-K regarding amendments to or waivers from any provision of its code of ethics by posting such information on its corporate website at www.ntic.com.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Nomination Procedures</w:t>
      </w:r>
    </w:p>
    <w:p>
      <w:pPr>
        <w:spacing w:after="0" w:line="250" w:lineRule="exact"/>
        <w:rPr>
          <w:sz w:val="20"/>
          <w:szCs w:val="20"/>
          <w:color w:val="auto"/>
        </w:rPr>
      </w:pPr>
    </w:p>
    <w:p>
      <w:pPr>
        <w:ind w:right="480"/>
        <w:spacing w:after="0" w:line="265" w:lineRule="auto"/>
        <w:rPr>
          <w:sz w:val="20"/>
          <w:szCs w:val="20"/>
          <w:color w:val="auto"/>
        </w:rPr>
      </w:pPr>
      <w:r>
        <w:rPr>
          <w:rFonts w:ascii="Arial" w:cs="Arial" w:eastAsia="Arial" w:hAnsi="Arial"/>
          <w:sz w:val="18"/>
          <w:szCs w:val="18"/>
          <w:color w:val="auto"/>
        </w:rPr>
        <w:t>During the fourth quarter of fiscal year ended August 31, 2012, NTIC made no material changes to the procedures by which stockholders may recommend nominees to NTIC’s Board of Directors, as described in NTIC’s most recent proxy statement.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Matters</w:t>
      </w:r>
    </w:p>
    <w:p>
      <w:pPr>
        <w:spacing w:after="0" w:line="25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information in the “Corporate Governance—Audit Committee”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information in the “Director Compensation” and “Executive Compensation”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77" w:name="page78"/>
    <w:bookmarkEnd w:id="77"/>
    <w:p>
      <w:pPr>
        <w:ind w:left="1120" w:right="600" w:hanging="1113"/>
        <w:spacing w:after="0" w:line="272" w:lineRule="auto"/>
        <w:tabs>
          <w:tab w:leader="none" w:pos="11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w:t>
      </w:r>
    </w:p>
    <w:p>
      <w:pPr>
        <w:spacing w:after="0" w:line="250"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information in the “Security Ownership of Principal Stockholders and Management”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following table summarizes outstanding options under NTIC’s equity compensation plans as of August 31, 2012. NTIC’s equity compensation plans as of August 31, 2012 were the Northern Technologies International Corporation Amended and Restated 2007 Stock Incentive Plan and the Northern Technologies International Corporation Employee Stock Purchase Plan.</w:t>
      </w:r>
    </w:p>
    <w:p>
      <w:pPr>
        <w:spacing w:after="0" w:line="215"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Except for automatic annual grants of options to purchase 4,000 shares of NTIC common stock to NTIC’s directors in consideration for their services as directors of NTIC, an automatic annual grant of an option to purchase 2,000 shares of NTIC common stock to NTIC’s Chairman of the Board in consideration for his services as Chairman on the first day of each fiscal year and automatic initial grants of options to purchase a pro rata portion of 4,000 shares of NTIC common stock to NTIC’s new directors in consideration for their services as directors of NTIC, options granted in the future under the Northern Technologies International Corporation Amended and Restated 2007 Stock Incentive Plan are within the discretion of the Board of Directors and the Compensation Committee of the Board of Directors and therefore cannot be ascertained at this time.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jc w:val="center"/>
              <w:ind w:right="192"/>
              <w:spacing w:after="0"/>
              <w:rPr>
                <w:sz w:val="20"/>
                <w:szCs w:val="20"/>
                <w:color w:val="auto"/>
              </w:rPr>
            </w:pPr>
            <w:r>
              <w:rPr>
                <w:rFonts w:ascii="Arial" w:cs="Arial" w:eastAsia="Arial" w:hAnsi="Arial"/>
                <w:sz w:val="18"/>
                <w:szCs w:val="18"/>
                <w:b w:val="1"/>
                <w:bCs w:val="1"/>
                <w:color w:val="auto"/>
                <w:w w:val="90"/>
              </w:rPr>
              <w:t>(a)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center"/>
              <w:ind w:right="112"/>
              <w:spacing w:after="0"/>
              <w:rPr>
                <w:sz w:val="20"/>
                <w:szCs w:val="20"/>
                <w:color w:val="auto"/>
              </w:rPr>
            </w:pPr>
            <w:r>
              <w:rPr>
                <w:rFonts w:ascii="Arial" w:cs="Arial" w:eastAsia="Arial" w:hAnsi="Arial"/>
                <w:sz w:val="18"/>
                <w:szCs w:val="18"/>
                <w:b w:val="1"/>
                <w:bCs w:val="1"/>
                <w:color w:val="auto"/>
                <w:w w:val="95"/>
              </w:rPr>
              <w:t>(b)</w:t>
            </w:r>
          </w:p>
        </w:tc>
        <w:tc>
          <w:tcPr>
            <w:tcW w:w="100" w:type="dxa"/>
            <w:vAlign w:val="bottom"/>
          </w:tcPr>
          <w:p>
            <w:pPr>
              <w:spacing w:after="0"/>
              <w:rPr>
                <w:sz w:val="18"/>
                <w:szCs w:val="18"/>
                <w:color w:val="auto"/>
              </w:rPr>
            </w:pPr>
          </w:p>
        </w:tc>
        <w:tc>
          <w:tcPr>
            <w:tcW w:w="2240" w:type="dxa"/>
            <w:vAlign w:val="bottom"/>
          </w:tcPr>
          <w:p>
            <w:pPr>
              <w:jc w:val="center"/>
              <w:ind w:right="52"/>
              <w:spacing w:after="0"/>
              <w:rPr>
                <w:sz w:val="20"/>
                <w:szCs w:val="20"/>
                <w:color w:val="auto"/>
              </w:rPr>
            </w:pPr>
            <w:r>
              <w:rPr>
                <w:rFonts w:ascii="Arial" w:cs="Arial" w:eastAsia="Arial" w:hAnsi="Arial"/>
                <w:sz w:val="18"/>
                <w:szCs w:val="18"/>
                <w:b w:val="1"/>
                <w:bCs w:val="1"/>
                <w:color w:val="auto"/>
                <w:w w:val="81"/>
              </w:rPr>
              <w:t>(c)</w:t>
            </w:r>
          </w:p>
        </w:tc>
      </w:tr>
      <w:tr>
        <w:trPr>
          <w:trHeight w:val="212"/>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Number of Securities</w:t>
            </w:r>
          </w:p>
        </w:tc>
      </w:tr>
      <w:tr>
        <w:trPr>
          <w:trHeight w:val="212"/>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Remaining Available for</w:t>
            </w:r>
          </w:p>
        </w:tc>
      </w:tr>
      <w:tr>
        <w:trPr>
          <w:trHeight w:val="212"/>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jc w:val="center"/>
              <w:ind w:right="212"/>
              <w:spacing w:after="0"/>
              <w:rPr>
                <w:sz w:val="20"/>
                <w:szCs w:val="20"/>
                <w:color w:val="auto"/>
              </w:rPr>
            </w:pPr>
            <w:r>
              <w:rPr>
                <w:rFonts w:ascii="Arial" w:cs="Arial" w:eastAsia="Arial" w:hAnsi="Arial"/>
                <w:sz w:val="18"/>
                <w:szCs w:val="18"/>
                <w:b w:val="1"/>
                <w:bCs w:val="1"/>
                <w:color w:val="auto"/>
                <w:w w:val="87"/>
              </w:rPr>
              <w:t>Number of Securities 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center"/>
              <w:ind w:right="112"/>
              <w:spacing w:after="0"/>
              <w:rPr>
                <w:sz w:val="20"/>
                <w:szCs w:val="20"/>
                <w:color w:val="auto"/>
              </w:rPr>
            </w:pPr>
            <w:r>
              <w:rPr>
                <w:rFonts w:ascii="Arial" w:cs="Arial" w:eastAsia="Arial" w:hAnsi="Arial"/>
                <w:sz w:val="18"/>
                <w:szCs w:val="18"/>
                <w:b w:val="1"/>
                <w:bCs w:val="1"/>
                <w:color w:val="auto"/>
                <w:w w:val="87"/>
              </w:rPr>
              <w:t>Weighted-Average</w:t>
            </w:r>
          </w:p>
        </w:tc>
        <w:tc>
          <w:tcPr>
            <w:tcW w:w="100" w:type="dxa"/>
            <w:vAlign w:val="bottom"/>
          </w:tcPr>
          <w:p>
            <w:pPr>
              <w:spacing w:after="0"/>
              <w:rPr>
                <w:sz w:val="18"/>
                <w:szCs w:val="18"/>
                <w:color w:val="auto"/>
              </w:rPr>
            </w:pPr>
          </w:p>
        </w:tc>
        <w:tc>
          <w:tcPr>
            <w:tcW w:w="224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Future Issuance Under</w:t>
            </w:r>
          </w:p>
        </w:tc>
      </w:tr>
      <w:tr>
        <w:trPr>
          <w:trHeight w:val="212"/>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jc w:val="center"/>
              <w:ind w:right="192"/>
              <w:spacing w:after="0"/>
              <w:rPr>
                <w:sz w:val="20"/>
                <w:szCs w:val="20"/>
                <w:color w:val="auto"/>
              </w:rPr>
            </w:pPr>
            <w:r>
              <w:rPr>
                <w:rFonts w:ascii="Arial" w:cs="Arial" w:eastAsia="Arial" w:hAnsi="Arial"/>
                <w:sz w:val="18"/>
                <w:szCs w:val="18"/>
                <w:b w:val="1"/>
                <w:bCs w:val="1"/>
                <w:color w:val="auto"/>
                <w:w w:val="86"/>
              </w:rPr>
              <w:t>be Issued Upon Exercise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center"/>
              <w:ind w:right="112"/>
              <w:spacing w:after="0"/>
              <w:rPr>
                <w:sz w:val="20"/>
                <w:szCs w:val="20"/>
                <w:color w:val="auto"/>
              </w:rPr>
            </w:pPr>
            <w:r>
              <w:rPr>
                <w:rFonts w:ascii="Arial" w:cs="Arial" w:eastAsia="Arial" w:hAnsi="Arial"/>
                <w:sz w:val="18"/>
                <w:szCs w:val="18"/>
                <w:b w:val="1"/>
                <w:bCs w:val="1"/>
                <w:color w:val="auto"/>
                <w:w w:val="86"/>
              </w:rPr>
              <w:t>Exercise Price of</w:t>
            </w:r>
          </w:p>
        </w:tc>
        <w:tc>
          <w:tcPr>
            <w:tcW w:w="100" w:type="dxa"/>
            <w:vAlign w:val="bottom"/>
          </w:tcPr>
          <w:p>
            <w:pPr>
              <w:spacing w:after="0"/>
              <w:rPr>
                <w:sz w:val="18"/>
                <w:szCs w:val="18"/>
                <w:color w:val="auto"/>
              </w:rPr>
            </w:pPr>
          </w:p>
        </w:tc>
        <w:tc>
          <w:tcPr>
            <w:tcW w:w="224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Equity Compensation Plans</w:t>
            </w:r>
          </w:p>
        </w:tc>
      </w:tr>
      <w:tr>
        <w:trPr>
          <w:trHeight w:val="212"/>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jc w:val="center"/>
              <w:ind w:right="212"/>
              <w:spacing w:after="0"/>
              <w:rPr>
                <w:sz w:val="20"/>
                <w:szCs w:val="20"/>
                <w:color w:val="auto"/>
              </w:rPr>
            </w:pPr>
            <w:r>
              <w:rPr>
                <w:rFonts w:ascii="Arial" w:cs="Arial" w:eastAsia="Arial" w:hAnsi="Arial"/>
                <w:sz w:val="18"/>
                <w:szCs w:val="18"/>
                <w:b w:val="1"/>
                <w:bCs w:val="1"/>
                <w:color w:val="auto"/>
                <w:w w:val="88"/>
              </w:rPr>
              <w:t>of Outstanding Options,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Outstanding Options,</w:t>
            </w:r>
          </w:p>
        </w:tc>
        <w:tc>
          <w:tcPr>
            <w:tcW w:w="100" w:type="dxa"/>
            <w:vAlign w:val="bottom"/>
          </w:tcPr>
          <w:p>
            <w:pPr>
              <w:spacing w:after="0"/>
              <w:rPr>
                <w:sz w:val="18"/>
                <w:szCs w:val="18"/>
                <w:color w:val="auto"/>
              </w:rPr>
            </w:pPr>
          </w:p>
        </w:tc>
        <w:tc>
          <w:tcPr>
            <w:tcW w:w="2240" w:type="dxa"/>
            <w:vAlign w:val="bottom"/>
          </w:tcPr>
          <w:p>
            <w:pPr>
              <w:jc w:val="center"/>
              <w:ind w:right="52"/>
              <w:spacing w:after="0"/>
              <w:rPr>
                <w:sz w:val="20"/>
                <w:szCs w:val="20"/>
                <w:color w:val="auto"/>
              </w:rPr>
            </w:pPr>
            <w:r>
              <w:rPr>
                <w:rFonts w:ascii="Arial" w:cs="Arial" w:eastAsia="Arial" w:hAnsi="Arial"/>
                <w:sz w:val="18"/>
                <w:szCs w:val="18"/>
                <w:b w:val="1"/>
                <w:bCs w:val="1"/>
                <w:color w:val="auto"/>
                <w:w w:val="85"/>
              </w:rPr>
              <w:t>(excluding securities</w:t>
            </w:r>
          </w:p>
        </w:tc>
      </w:tr>
      <w:tr>
        <w:trPr>
          <w:trHeight w:val="230"/>
        </w:trPr>
        <w:tc>
          <w:tcPr>
            <w:tcW w:w="20" w:type="dxa"/>
            <w:vAlign w:val="bottom"/>
          </w:tcPr>
          <w:p>
            <w:pPr>
              <w:spacing w:after="0"/>
              <w:rPr>
                <w:sz w:val="20"/>
                <w:szCs w:val="20"/>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 Category</w:t>
            </w:r>
          </w:p>
        </w:tc>
        <w:tc>
          <w:tcPr>
            <w:tcW w:w="100" w:type="dxa"/>
            <w:vAlign w:val="bottom"/>
          </w:tcPr>
          <w:p>
            <w:pPr>
              <w:spacing w:after="0"/>
              <w:rPr>
                <w:sz w:val="20"/>
                <w:szCs w:val="20"/>
                <w:color w:val="auto"/>
              </w:rPr>
            </w:pPr>
          </w:p>
        </w:tc>
        <w:tc>
          <w:tcPr>
            <w:tcW w:w="212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b w:val="1"/>
                <w:bCs w:val="1"/>
                <w:color w:val="auto"/>
                <w:w w:val="89"/>
              </w:rPr>
              <w:t>Warrants and Rights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9"/>
              </w:rPr>
              <w:t>Warrants and Rights</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8"/>
              </w:rPr>
              <w:t>reflected in column (a))</w:t>
            </w:r>
          </w:p>
        </w:tc>
      </w:tr>
      <w:tr>
        <w:trPr>
          <w:trHeight w:val="206"/>
        </w:trPr>
        <w:tc>
          <w:tcPr>
            <w:tcW w:w="20" w:type="dxa"/>
            <w:vAlign w:val="bottom"/>
          </w:tcPr>
          <w:p>
            <w:pPr>
              <w:spacing w:after="0"/>
              <w:rPr>
                <w:sz w:val="17"/>
                <w:szCs w:val="17"/>
                <w:color w:val="auto"/>
              </w:rPr>
            </w:pPr>
          </w:p>
        </w:tc>
        <w:tc>
          <w:tcPr>
            <w:tcW w:w="48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Equity compensation plans  approved by security holders</w:t>
            </w:r>
          </w:p>
        </w:tc>
        <w:tc>
          <w:tcPr>
            <w:tcW w:w="22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203,873</w:t>
            </w:r>
            <w:r>
              <w:rPr>
                <w:rFonts w:ascii="Arial" w:cs="Arial" w:eastAsia="Arial" w:hAnsi="Arial"/>
                <w:sz w:val="12"/>
                <w:szCs w:val="12"/>
                <w:color w:val="auto"/>
              </w:rPr>
              <w:t>(1)(2)</w:t>
            </w:r>
          </w:p>
        </w:tc>
        <w:tc>
          <w:tcPr>
            <w:tcW w:w="2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10.01</w:t>
            </w:r>
          </w:p>
        </w:tc>
        <w:tc>
          <w:tcPr>
            <w:tcW w:w="234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524,986</w:t>
            </w:r>
            <w:r>
              <w:rPr>
                <w:rFonts w:ascii="Arial" w:cs="Arial" w:eastAsia="Arial" w:hAnsi="Arial"/>
                <w:sz w:val="12"/>
                <w:szCs w:val="12"/>
                <w:color w:val="auto"/>
              </w:rPr>
              <w:t>(3)</w:t>
            </w:r>
          </w:p>
        </w:tc>
      </w:tr>
      <w:tr>
        <w:trPr>
          <w:trHeight w:val="225"/>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99"/>
              </w:rPr>
              <w:t>Equity compensation plans not approved by security holders</w:t>
            </w:r>
          </w:p>
        </w:tc>
        <w:tc>
          <w:tcPr>
            <w:tcW w:w="100" w:type="dxa"/>
            <w:vAlign w:val="bottom"/>
          </w:tcPr>
          <w:p>
            <w:pPr>
              <w:spacing w:after="0"/>
              <w:rPr>
                <w:sz w:val="19"/>
                <w:szCs w:val="19"/>
                <w:color w:val="auto"/>
              </w:rPr>
            </w:pPr>
          </w:p>
        </w:tc>
        <w:tc>
          <w:tcPr>
            <w:tcW w:w="21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06"/>
        </w:trPr>
        <w:tc>
          <w:tcPr>
            <w:tcW w:w="20" w:type="dxa"/>
            <w:vAlign w:val="bottom"/>
          </w:tcPr>
          <w:p>
            <w:pPr>
              <w:spacing w:after="0"/>
              <w:rPr>
                <w:sz w:val="17"/>
                <w:szCs w:val="17"/>
                <w:color w:val="auto"/>
              </w:rPr>
            </w:pPr>
          </w:p>
        </w:tc>
        <w:tc>
          <w:tcPr>
            <w:tcW w:w="482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b w:val="1"/>
                <w:bCs w:val="1"/>
                <w:color w:val="auto"/>
                <w:w w:val="92"/>
              </w:rPr>
              <w:t>Total</w:t>
            </w:r>
          </w:p>
        </w:tc>
        <w:tc>
          <w:tcPr>
            <w:tcW w:w="22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203,873</w:t>
            </w:r>
            <w:r>
              <w:rPr>
                <w:rFonts w:ascii="Arial" w:cs="Arial" w:eastAsia="Arial" w:hAnsi="Arial"/>
                <w:sz w:val="12"/>
                <w:szCs w:val="12"/>
                <w:color w:val="auto"/>
              </w:rPr>
              <w:t>(1)(2)</w:t>
            </w:r>
          </w:p>
        </w:tc>
        <w:tc>
          <w:tcPr>
            <w:tcW w:w="2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10.01</w:t>
            </w:r>
          </w:p>
        </w:tc>
        <w:tc>
          <w:tcPr>
            <w:tcW w:w="234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524,986</w:t>
            </w:r>
            <w:r>
              <w:rPr>
                <w:rFonts w:ascii="Arial" w:cs="Arial" w:eastAsia="Arial" w:hAnsi="Arial"/>
                <w:sz w:val="12"/>
                <w:szCs w:val="12"/>
                <w:color w:val="auto"/>
              </w:rPr>
              <w:t>(3)</w:t>
            </w:r>
          </w:p>
        </w:tc>
      </w:tr>
      <w:tr>
        <w:trPr>
          <w:trHeight w:val="214"/>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______________________</w:t>
            </w: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bl>
    <w:p>
      <w:pPr>
        <w:ind w:left="800" w:right="260" w:hanging="794"/>
        <w:spacing w:after="0" w:line="248"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includes shares of NTIC common stock issuable upon the exercise of stock options outstanding as of August 31, 2012 under the Northern Technologies International Corporation Amended and Restated 2007 Stock Incentive Plan.</w:t>
      </w:r>
    </w:p>
    <w:p>
      <w:pPr>
        <w:spacing w:after="0" w:line="221" w:lineRule="exact"/>
        <w:rPr>
          <w:rFonts w:ascii="Arial" w:cs="Arial" w:eastAsia="Arial" w:hAnsi="Arial"/>
          <w:sz w:val="18"/>
          <w:szCs w:val="18"/>
          <w:color w:val="auto"/>
        </w:rPr>
      </w:pPr>
    </w:p>
    <w:p>
      <w:pPr>
        <w:ind w:left="800" w:right="60" w:hanging="794"/>
        <w:spacing w:after="0" w:line="233"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employee stock purchase rights accruing under the Northern Technologies International Corporation Employee Stock Purchase Plan. Under such plan, each eligible employee may purchase up to 2,000 shares of NTIC common stock at semi-annual intervals on February 28</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or 29</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(as the case may be) and August 31st each year at a purchase price per share equal to 90% of the lower of (i) the closing sales price per share of NTIC common stock on the first day of the offering period or (ii) the closing sales price per share of NTIC common stock on the last day of the offering period.</w:t>
      </w:r>
    </w:p>
    <w:p>
      <w:pPr>
        <w:spacing w:after="0" w:line="227" w:lineRule="exact"/>
        <w:rPr>
          <w:rFonts w:ascii="Arial" w:cs="Arial" w:eastAsia="Arial" w:hAnsi="Arial"/>
          <w:sz w:val="18"/>
          <w:szCs w:val="18"/>
          <w:color w:val="auto"/>
        </w:rPr>
      </w:pPr>
    </w:p>
    <w:p>
      <w:pPr>
        <w:ind w:left="800" w:right="160" w:hanging="794"/>
        <w:spacing w:after="0" w:line="255"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includes 453,027 shares remaining available at August 31, 2012 for future issuance under Northern Technologies International Corporation Amended and Restated 2007 Stock Incentive Plan and 71,959 shares available at August 31, 2012 for future issuance under the Northern Technologies International Corporation Employee Stock Purchase Plan.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78" w:name="page79"/>
    <w:bookmarkEnd w:id="78"/>
    <w:p>
      <w:pPr>
        <w:spacing w:after="0"/>
        <w:tabs>
          <w:tab w:leader="none" w:pos="11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23" w:lineRule="exact"/>
        <w:rPr>
          <w:sz w:val="20"/>
          <w:szCs w:val="20"/>
          <w:color w:val="auto"/>
        </w:rPr>
      </w:pPr>
    </w:p>
    <w:p>
      <w:pPr>
        <w:jc w:val="both"/>
        <w:ind w:right="380"/>
        <w:spacing w:after="0" w:line="255" w:lineRule="auto"/>
        <w:rPr>
          <w:sz w:val="20"/>
          <w:szCs w:val="20"/>
          <w:color w:val="auto"/>
        </w:rPr>
      </w:pPr>
      <w:r>
        <w:rPr>
          <w:rFonts w:ascii="Arial" w:cs="Arial" w:eastAsia="Arial" w:hAnsi="Arial"/>
          <w:sz w:val="18"/>
          <w:szCs w:val="18"/>
          <w:color w:val="auto"/>
        </w:rPr>
        <w:t>The information in the “Related Party Relationships and Transactions” and “Corporate Governance—Director Independence”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information in the “Proposal Two—Ratification of Selection of Independent Registered Public Accounting Firm—Audit, Audit-Related, Tax and Other Fees” and “Proposal Two—Ratification of Selection of Independent Registered Public Accounting Firm—Audit Committee Pre-Approval Policies and Procedures”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380"/>
          </w:cols>
          <w:pgMar w:left="240" w:top="267" w:right="27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PART IV</w:t>
      </w:r>
    </w:p>
    <w:p>
      <w:pPr>
        <w:spacing w:after="0" w:line="24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NTIC’s consolidated financial statements are included in Item 8 of Part III of this report.</w:t>
      </w:r>
    </w:p>
    <w:p>
      <w:pPr>
        <w:spacing w:after="0" w:line="2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exhibits to this report are listed in the Exhibit Index to this report. A copy of any exhibits listed or referred to herein will be furnished at a reasonable cost to any person who is a stockholder upon receipt from any such person of a written request for any such exhibit. Such request should be sent to: Mr. Matthew Wolsfeld, Corporate Secretary, Northern Technologies International Corporation, 4201 Woodland Road, P.O. Box 69, Circle Pines, Minnesota 55014 Attn: Stockholder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list of each management contract or compensatory plan or arrangement required to be filed as an exhibit to this annual report on Form 10-K:</w:t>
      </w:r>
    </w:p>
    <w:p>
      <w:pPr>
        <w:spacing w:after="0" w:line="278" w:lineRule="exact"/>
        <w:rPr>
          <w:sz w:val="20"/>
          <w:szCs w:val="20"/>
          <w:color w:val="auto"/>
        </w:rPr>
      </w:pPr>
    </w:p>
    <w:p>
      <w:pPr>
        <w:ind w:left="1120" w:hanging="260"/>
        <w:spacing w:after="0" w:line="265"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Northern Technologies International Corporation Amended and Restated 2007 Stock Incentive Plan (incorporated by reference to Exhibit 10.1 to NTIC’s Current Report on Form 8-K as filed with the Securities and Exchange Commission on January 24, 2011).</w:t>
      </w:r>
    </w:p>
    <w:p>
      <w:pPr>
        <w:spacing w:after="0" w:line="205" w:lineRule="exact"/>
        <w:rPr>
          <w:rFonts w:ascii="Arial" w:cs="Arial" w:eastAsia="Arial" w:hAnsi="Arial"/>
          <w:sz w:val="18"/>
          <w:szCs w:val="18"/>
          <w:color w:val="auto"/>
        </w:rPr>
      </w:pPr>
    </w:p>
    <w:p>
      <w:pPr>
        <w:jc w:val="both"/>
        <w:ind w:left="1120" w:hanging="250"/>
        <w:spacing w:after="0" w:line="255"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Form of Incentive Stock Option Agreement for Northern Technologies International Corporation Amended and Restated 2007 Stock Incentive Plan (incorporated by reference to Exhibit 10.2 to NTIC’s Current Report on Form 8-K as filed with the Securities and Exchange Commission on January 24, 2011).</w:t>
      </w:r>
    </w:p>
    <w:p>
      <w:pPr>
        <w:spacing w:after="0" w:line="215" w:lineRule="exact"/>
        <w:rPr>
          <w:rFonts w:ascii="Arial" w:cs="Arial" w:eastAsia="Arial" w:hAnsi="Arial"/>
          <w:sz w:val="18"/>
          <w:szCs w:val="18"/>
          <w:color w:val="auto"/>
        </w:rPr>
      </w:pPr>
    </w:p>
    <w:p>
      <w:pPr>
        <w:jc w:val="both"/>
        <w:ind w:left="1120" w:hanging="250"/>
        <w:spacing w:after="0" w:line="255"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Form of Non-Qualified Stock Option Agreement for Northern Technologies International Corporation Amended and Restated 2007 Stock Incentive Plan (incorporated by reference to Exhibit 10.3 to NTIC’s Current Report on Form 8-K as filed with the Securities and Exchange Commission on January 24, 2011).</w:t>
      </w:r>
    </w:p>
    <w:p>
      <w:pPr>
        <w:spacing w:after="0" w:line="215" w:lineRule="exact"/>
        <w:rPr>
          <w:rFonts w:ascii="Arial" w:cs="Arial" w:eastAsia="Arial" w:hAnsi="Arial"/>
          <w:sz w:val="18"/>
          <w:szCs w:val="18"/>
          <w:color w:val="auto"/>
        </w:rPr>
      </w:pPr>
    </w:p>
    <w:p>
      <w:pPr>
        <w:jc w:val="both"/>
        <w:ind w:left="1120" w:hanging="260"/>
        <w:spacing w:after="0" w:line="255"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Form of Restricted Stock Agreement for Northern Technologies International Corporation Amended and Restated 2007 Stock Incentive Plan (incorporated by reference to Exhibit 10.4 to NTIC’s Current Report on Form 8-K as filed with the Securities and Exchange Commission on January 24, 2011).</w:t>
      </w:r>
    </w:p>
    <w:p>
      <w:pPr>
        <w:spacing w:after="0" w:line="215" w:lineRule="exact"/>
        <w:rPr>
          <w:rFonts w:ascii="Arial" w:cs="Arial" w:eastAsia="Arial" w:hAnsi="Arial"/>
          <w:sz w:val="18"/>
          <w:szCs w:val="18"/>
          <w:color w:val="auto"/>
        </w:rPr>
      </w:pPr>
    </w:p>
    <w:p>
      <w:pPr>
        <w:ind w:left="1120" w:hanging="241"/>
        <w:spacing w:after="0" w:line="265"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Northern Technologies International Corporation Employee Stock Purchase Plan (incorporated by reference to Exhibit 10.11 to NTIC’s Annual Report on Form 10-KSB for the fiscal year ended August 31, 2006).</w:t>
      </w:r>
    </w:p>
    <w:p>
      <w:pPr>
        <w:spacing w:after="0" w:line="205" w:lineRule="exact"/>
        <w:rPr>
          <w:rFonts w:ascii="Arial" w:cs="Arial" w:eastAsia="Arial" w:hAnsi="Arial"/>
          <w:sz w:val="18"/>
          <w:szCs w:val="18"/>
          <w:color w:val="auto"/>
        </w:rPr>
      </w:pPr>
    </w:p>
    <w:p>
      <w:pPr>
        <w:ind w:left="1120" w:hanging="217"/>
        <w:spacing w:after="0" w:line="265"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Material Terms of Northern Technologies International Corporation Annual Bonus Plan (incorporated by reference to Item 5.02 to NTIC’s Current Report on Form 8-K as filed with the Securities and Exchange Commission on September 27, 2011).</w:t>
      </w:r>
    </w:p>
    <w:p>
      <w:pPr>
        <w:spacing w:after="0" w:line="205" w:lineRule="exact"/>
        <w:rPr>
          <w:rFonts w:ascii="Arial" w:cs="Arial" w:eastAsia="Arial" w:hAnsi="Arial"/>
          <w:sz w:val="18"/>
          <w:szCs w:val="18"/>
          <w:color w:val="auto"/>
        </w:rPr>
      </w:pPr>
    </w:p>
    <w:p>
      <w:pPr>
        <w:jc w:val="both"/>
        <w:ind w:left="1120" w:hanging="260"/>
        <w:spacing w:after="0" w:line="366" w:lineRule="auto"/>
        <w:tabs>
          <w:tab w:leader="none" w:pos="11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Form of Indemnification Agreement between Northern Technologies International Corporation and its Directors and Officers (incorporated by reference to Exhibit 10.1 to NTIC’s Current Report on Form 8-K as filed with the Securities and Exchange Commission on November 24, 2009).</w:t>
      </w:r>
    </w:p>
    <w:p>
      <w:pPr>
        <w:spacing w:after="0" w:line="136" w:lineRule="exact"/>
        <w:rPr>
          <w:rFonts w:ascii="Arial" w:cs="Arial" w:eastAsia="Arial" w:hAnsi="Arial"/>
          <w:sz w:val="15"/>
          <w:szCs w:val="15"/>
          <w:color w:val="auto"/>
        </w:rPr>
      </w:pPr>
    </w:p>
    <w:p>
      <w:pPr>
        <w:ind w:left="1120" w:hanging="260"/>
        <w:spacing w:after="0" w:line="294" w:lineRule="auto"/>
        <w:tabs>
          <w:tab w:leader="none" w:pos="11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Agreement dated as of May 25, 2009 between Northern Technologies International Corporation and Sunggyu Lee, Ph.D. (incorporated by reference to Exhibit 10.2 to NTIC’s Quarterly Report on Form 10-Q for the fiscal quarter ended February 28, 2009).</w:t>
      </w:r>
    </w:p>
    <w:p>
      <w:pPr>
        <w:spacing w:after="0" w:line="184" w:lineRule="exact"/>
        <w:rPr>
          <w:rFonts w:ascii="Arial" w:cs="Arial" w:eastAsia="Arial" w:hAnsi="Arial"/>
          <w:sz w:val="17"/>
          <w:szCs w:val="17"/>
          <w:color w:val="auto"/>
        </w:rPr>
      </w:pPr>
    </w:p>
    <w:p>
      <w:pPr>
        <w:ind w:left="1120" w:hanging="191"/>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Description of Non-Employee Director Compensation Arrangements (filed herewith).</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80" w:name="page81"/>
    <w:bookmarkEnd w:id="80"/>
    <w:p>
      <w:pPr>
        <w:ind w:left="290" w:hanging="201"/>
        <w:spacing w:after="0" w:line="366" w:lineRule="auto"/>
        <w:tabs>
          <w:tab w:leader="none" w:pos="29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Executive Employment Agreement dated as of November 18, 2011 between Northern Technologies International Corporation and G. Patrick Lynch (incorporated by reference to Exhibit 10.13 to NTIC’s Annual Report on Form 10-K for the fiscal year ended August 31, 2011).</w:t>
      </w:r>
    </w:p>
    <w:p>
      <w:pPr>
        <w:spacing w:after="0" w:line="136" w:lineRule="exact"/>
        <w:rPr>
          <w:rFonts w:ascii="Arial" w:cs="Arial" w:eastAsia="Arial" w:hAnsi="Arial"/>
          <w:sz w:val="15"/>
          <w:szCs w:val="15"/>
          <w:color w:val="auto"/>
        </w:rPr>
      </w:pPr>
    </w:p>
    <w:p>
      <w:pPr>
        <w:jc w:val="both"/>
        <w:ind w:left="290" w:hanging="260"/>
        <w:spacing w:after="0" w:line="255" w:lineRule="auto"/>
        <w:tabs>
          <w:tab w:leader="none" w:pos="2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Confidential Information, Inventions Assignment, Noncompetition and Non-Solicitation Agreement dated as of November 18, 2011 between Northern Technologies International Corporation and G. Patrick Lynch (incorporated by reference to Exhibit 10.14 to NTIC’s Annual Report on Form 10-K for the fiscal year ended August 31, 2011).</w:t>
      </w:r>
    </w:p>
    <w:p>
      <w:pPr>
        <w:spacing w:after="0" w:line="215" w:lineRule="exact"/>
        <w:rPr>
          <w:rFonts w:ascii="Arial" w:cs="Arial" w:eastAsia="Arial" w:hAnsi="Arial"/>
          <w:sz w:val="18"/>
          <w:szCs w:val="18"/>
          <w:color w:val="auto"/>
        </w:rPr>
      </w:pPr>
    </w:p>
    <w:p>
      <w:pPr>
        <w:ind w:left="290" w:hanging="241"/>
        <w:spacing w:after="0" w:line="366" w:lineRule="auto"/>
        <w:tabs>
          <w:tab w:leader="none" w:pos="29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Executive Employment Agreement dated as of November 18, 2011 between Northern Technologies International Corporation and Matthew C. Wolsfeld (incorporated by reference to Exhibit 10.15 to NTIC’s Annual Report on Form 10-K for the fiscal year ended August 31, 2011).</w:t>
      </w:r>
    </w:p>
    <w:p>
      <w:pPr>
        <w:spacing w:after="0" w:line="136" w:lineRule="exact"/>
        <w:rPr>
          <w:rFonts w:ascii="Arial" w:cs="Arial" w:eastAsia="Arial" w:hAnsi="Arial"/>
          <w:sz w:val="15"/>
          <w:szCs w:val="15"/>
          <w:color w:val="auto"/>
        </w:rPr>
      </w:pPr>
    </w:p>
    <w:p>
      <w:pPr>
        <w:jc w:val="both"/>
        <w:ind w:left="290" w:hanging="290"/>
        <w:spacing w:after="0" w:line="255" w:lineRule="auto"/>
        <w:tabs>
          <w:tab w:leader="none" w:pos="2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Confidential Information, Inventions Assignment, Noncompetition and Non-Solicitation Agreement dated as of November 18, 2011 between Northern Technologies International Corporation and Matthew C. Wolsfeld (incorporated by reference to Exhibit 10.16 to NTIC’s Annual Report on Form 10-K for the fiscal year ended August 31, 2011).</w:t>
      </w:r>
    </w:p>
    <w:p>
      <w:pPr>
        <w:spacing w:after="0" w:line="361" w:lineRule="exact"/>
        <w:rPr>
          <w:sz w:val="20"/>
          <w:szCs w:val="20"/>
          <w:color w:val="auto"/>
        </w:rPr>
      </w:pPr>
    </w:p>
    <w:p>
      <w:pPr>
        <w:ind w:left="479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76200</wp:posOffset>
            </wp:positionV>
            <wp:extent cx="725360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0590"/>
          </w:cols>
          <w:pgMar w:left="1070" w:top="512"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80" w:type="dxa"/>
            <w:vAlign w:val="bottom"/>
          </w:tcPr>
          <w:p>
            <w:pPr>
              <w:spacing w:after="0"/>
              <w:rPr>
                <w:sz w:val="19"/>
                <w:szCs w:val="19"/>
                <w:color w:val="auto"/>
              </w:rPr>
            </w:pPr>
          </w:p>
        </w:tc>
        <w:tc>
          <w:tcPr>
            <w:tcW w:w="8140" w:type="dxa"/>
            <w:vAlign w:val="bottom"/>
            <w:gridSpan w:val="2"/>
          </w:tcPr>
          <w:p>
            <w:pPr>
              <w:ind w:left="1880"/>
              <w:spacing w:after="0"/>
              <w:rPr>
                <w:sz w:val="20"/>
                <w:szCs w:val="20"/>
                <w:color w:val="auto"/>
              </w:rPr>
            </w:pPr>
            <w:r>
              <w:rPr>
                <w:rFonts w:ascii="Arial" w:cs="Arial" w:eastAsia="Arial" w:hAnsi="Arial"/>
                <w:sz w:val="18"/>
                <w:szCs w:val="18"/>
                <w:b w:val="1"/>
                <w:bCs w:val="1"/>
                <w:color w:val="auto"/>
              </w:rPr>
              <w:t>NORTHERN TECHNOLOGIES INTERNATIONAL CORPORATION</w:t>
            </w:r>
          </w:p>
        </w:tc>
      </w:tr>
      <w:tr>
        <w:trPr>
          <w:trHeight w:val="644"/>
        </w:trPr>
        <w:tc>
          <w:tcPr>
            <w:tcW w:w="3280" w:type="dxa"/>
            <w:vAlign w:val="bottom"/>
          </w:tcPr>
          <w:p>
            <w:pPr>
              <w:spacing w:after="0"/>
              <w:rPr>
                <w:sz w:val="20"/>
                <w:szCs w:val="20"/>
                <w:color w:val="auto"/>
              </w:rPr>
            </w:pPr>
            <w:r>
              <w:rPr>
                <w:rFonts w:ascii="Arial" w:cs="Arial" w:eastAsia="Arial" w:hAnsi="Arial"/>
                <w:sz w:val="18"/>
                <w:szCs w:val="18"/>
                <w:color w:val="auto"/>
              </w:rPr>
              <w:t>November 19, 2012</w:t>
            </w:r>
          </w:p>
        </w:tc>
        <w:tc>
          <w:tcPr>
            <w:tcW w:w="8140" w:type="dxa"/>
            <w:vAlign w:val="bottom"/>
            <w:gridSpan w:val="2"/>
          </w:tcPr>
          <w:p>
            <w:pPr>
              <w:ind w:left="1880"/>
              <w:spacing w:after="0"/>
              <w:rPr>
                <w:sz w:val="20"/>
                <w:szCs w:val="20"/>
                <w:color w:val="auto"/>
              </w:rPr>
            </w:pPr>
            <w:r>
              <w:rPr>
                <w:rFonts w:ascii="Arial" w:cs="Arial" w:eastAsia="Arial" w:hAnsi="Arial"/>
                <w:sz w:val="18"/>
                <w:szCs w:val="18"/>
                <w:color w:val="auto"/>
              </w:rPr>
              <w:t>By:    /s/ G. Patrick Lynch</w:t>
            </w:r>
          </w:p>
        </w:tc>
      </w:tr>
      <w:tr>
        <w:trPr>
          <w:trHeight w:val="200"/>
        </w:trPr>
        <w:tc>
          <w:tcPr>
            <w:tcW w:w="32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70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G. Patrick Lynch</w:t>
            </w:r>
          </w:p>
        </w:tc>
      </w:tr>
      <w:tr>
        <w:trPr>
          <w:trHeight w:val="223"/>
        </w:trPr>
        <w:tc>
          <w:tcPr>
            <w:tcW w:w="32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27"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on the dates and in the capacities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5140" w:type="dxa"/>
            <w:vAlign w:val="bottom"/>
            <w:gridSpan w:val="2"/>
          </w:tcPr>
          <w:p>
            <w:pPr>
              <w:ind w:left="580"/>
              <w:spacing w:after="0"/>
              <w:rPr>
                <w:sz w:val="20"/>
                <w:szCs w:val="20"/>
                <w:color w:val="auto"/>
              </w:rPr>
            </w:pPr>
            <w:r>
              <w:rPr>
                <w:rFonts w:ascii="Arial" w:cs="Arial" w:eastAsia="Arial" w:hAnsi="Arial"/>
                <w:sz w:val="18"/>
                <w:szCs w:val="18"/>
                <w:b w:val="1"/>
                <w:bCs w:val="1"/>
                <w:color w:val="auto"/>
              </w:rPr>
              <w:t>Title</w:t>
            </w:r>
          </w:p>
        </w:tc>
        <w:tc>
          <w:tcPr>
            <w:tcW w:w="2840" w:type="dxa"/>
            <w:vAlign w:val="bottom"/>
            <w:gridSpan w:val="2"/>
          </w:tcPr>
          <w:p>
            <w:pPr>
              <w:ind w:left="560"/>
              <w:spacing w:after="0"/>
              <w:rPr>
                <w:sz w:val="20"/>
                <w:szCs w:val="20"/>
                <w:color w:val="auto"/>
              </w:rPr>
            </w:pPr>
            <w:r>
              <w:rPr>
                <w:rFonts w:ascii="Arial" w:cs="Arial" w:eastAsia="Arial" w:hAnsi="Arial"/>
                <w:sz w:val="18"/>
                <w:szCs w:val="18"/>
                <w:b w:val="1"/>
                <w:bCs w:val="1"/>
                <w:color w:val="auto"/>
              </w:rPr>
              <w:t>Date</w:t>
            </w:r>
          </w:p>
        </w:tc>
      </w:tr>
      <w:tr>
        <w:trPr>
          <w:trHeight w:val="20"/>
        </w:trPr>
        <w:tc>
          <w:tcPr>
            <w:tcW w:w="3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r>
      <w:tr>
        <w:trPr>
          <w:trHeight w:val="457"/>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 Patrick Lynch</w:t>
            </w:r>
          </w:p>
        </w:tc>
        <w:tc>
          <w:tcPr>
            <w:tcW w:w="5140" w:type="dxa"/>
            <w:vAlign w:val="bottom"/>
            <w:gridSpan w:val="2"/>
          </w:tcPr>
          <w:p>
            <w:pPr>
              <w:ind w:left="580"/>
              <w:spacing w:after="0"/>
              <w:rPr>
                <w:sz w:val="20"/>
                <w:szCs w:val="20"/>
                <w:color w:val="auto"/>
              </w:rPr>
            </w:pPr>
            <w:r>
              <w:rPr>
                <w:rFonts w:ascii="Arial" w:cs="Arial" w:eastAsia="Arial" w:hAnsi="Arial"/>
                <w:sz w:val="18"/>
                <w:szCs w:val="18"/>
                <w:color w:val="auto"/>
              </w:rPr>
              <w:t>President and Chief Executive Officer and Director</w:t>
            </w:r>
          </w:p>
        </w:tc>
        <w:tc>
          <w:tcPr>
            <w:tcW w:w="2840" w:type="dxa"/>
            <w:vAlign w:val="bottom"/>
            <w:gridSpan w:val="2"/>
          </w:tcPr>
          <w:p>
            <w:pPr>
              <w:ind w:left="560"/>
              <w:spacing w:after="0"/>
              <w:rPr>
                <w:sz w:val="20"/>
                <w:szCs w:val="20"/>
                <w:color w:val="auto"/>
              </w:rPr>
            </w:pPr>
            <w:r>
              <w:rPr>
                <w:rFonts w:ascii="Arial" w:cs="Arial" w:eastAsia="Arial" w:hAnsi="Arial"/>
                <w:sz w:val="18"/>
                <w:szCs w:val="18"/>
                <w:color w:val="auto"/>
              </w:rPr>
              <w:t>November 19, 2012</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G. Patrick Lynch</w:t>
            </w:r>
          </w:p>
        </w:tc>
        <w:tc>
          <w:tcPr>
            <w:tcW w:w="5140" w:type="dxa"/>
            <w:vAlign w:val="bottom"/>
            <w:gridSpan w:val="2"/>
          </w:tcPr>
          <w:p>
            <w:pPr>
              <w:ind w:left="580"/>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9"/>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C. Wolsfeld, CPA</w:t>
            </w:r>
          </w:p>
        </w:tc>
        <w:tc>
          <w:tcPr>
            <w:tcW w:w="5140" w:type="dxa"/>
            <w:vAlign w:val="bottom"/>
            <w:gridSpan w:val="2"/>
          </w:tcPr>
          <w:p>
            <w:pPr>
              <w:ind w:left="580"/>
              <w:spacing w:after="0"/>
              <w:rPr>
                <w:sz w:val="20"/>
                <w:szCs w:val="20"/>
                <w:color w:val="auto"/>
              </w:rPr>
            </w:pPr>
            <w:r>
              <w:rPr>
                <w:rFonts w:ascii="Arial" w:cs="Arial" w:eastAsia="Arial" w:hAnsi="Arial"/>
                <w:sz w:val="18"/>
                <w:szCs w:val="18"/>
                <w:color w:val="auto"/>
              </w:rPr>
              <w:t>Chief Financial Officer and Corporate Secretary</w:t>
            </w:r>
          </w:p>
        </w:tc>
        <w:tc>
          <w:tcPr>
            <w:tcW w:w="2840" w:type="dxa"/>
            <w:vAlign w:val="bottom"/>
            <w:gridSpan w:val="2"/>
          </w:tcPr>
          <w:p>
            <w:pPr>
              <w:ind w:left="560"/>
              <w:spacing w:after="0"/>
              <w:rPr>
                <w:sz w:val="20"/>
                <w:szCs w:val="20"/>
                <w:color w:val="auto"/>
              </w:rPr>
            </w:pPr>
            <w:r>
              <w:rPr>
                <w:rFonts w:ascii="Arial" w:cs="Arial" w:eastAsia="Arial" w:hAnsi="Arial"/>
                <w:sz w:val="18"/>
                <w:szCs w:val="18"/>
                <w:color w:val="auto"/>
              </w:rPr>
              <w:t>November 19, 2012</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Matthew C. Wolsfeld, CPA</w:t>
            </w:r>
          </w:p>
        </w:tc>
        <w:tc>
          <w:tcPr>
            <w:tcW w:w="5140" w:type="dxa"/>
            <w:vAlign w:val="bottom"/>
            <w:gridSpan w:val="2"/>
          </w:tcPr>
          <w:p>
            <w:pPr>
              <w:ind w:left="580"/>
              <w:spacing w:after="0"/>
              <w:rPr>
                <w:sz w:val="20"/>
                <w:szCs w:val="20"/>
                <w:color w:val="auto"/>
              </w:rPr>
            </w:pPr>
            <w:r>
              <w:rPr>
                <w:rFonts w:ascii="Arial" w:cs="Arial" w:eastAsia="Arial" w:hAnsi="Arial"/>
                <w:sz w:val="18"/>
                <w:szCs w:val="18"/>
                <w:color w:val="auto"/>
              </w:rPr>
              <w:t>(principal financial and accounting officer)</w:t>
            </w: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9"/>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Pierre Chenu</w:t>
            </w:r>
          </w:p>
        </w:tc>
        <w:tc>
          <w:tcPr>
            <w:tcW w:w="5140" w:type="dxa"/>
            <w:vAlign w:val="bottom"/>
            <w:gridSpan w:val="2"/>
          </w:tcPr>
          <w:p>
            <w:pPr>
              <w:ind w:left="580"/>
              <w:spacing w:after="0"/>
              <w:rPr>
                <w:sz w:val="20"/>
                <w:szCs w:val="20"/>
                <w:color w:val="auto"/>
              </w:rPr>
            </w:pPr>
            <w:r>
              <w:rPr>
                <w:rFonts w:ascii="Arial" w:cs="Arial" w:eastAsia="Arial" w:hAnsi="Arial"/>
                <w:sz w:val="18"/>
                <w:szCs w:val="18"/>
                <w:color w:val="auto"/>
              </w:rPr>
              <w:t>Chairman of the Board</w:t>
            </w:r>
          </w:p>
        </w:tc>
        <w:tc>
          <w:tcPr>
            <w:tcW w:w="2840" w:type="dxa"/>
            <w:vAlign w:val="bottom"/>
            <w:gridSpan w:val="2"/>
          </w:tcPr>
          <w:p>
            <w:pPr>
              <w:ind w:left="560"/>
              <w:spacing w:after="0"/>
              <w:rPr>
                <w:sz w:val="20"/>
                <w:szCs w:val="20"/>
                <w:color w:val="auto"/>
              </w:rPr>
            </w:pPr>
            <w:r>
              <w:rPr>
                <w:rFonts w:ascii="Arial" w:cs="Arial" w:eastAsia="Arial" w:hAnsi="Arial"/>
                <w:sz w:val="18"/>
                <w:szCs w:val="18"/>
                <w:color w:val="auto"/>
              </w:rPr>
              <w:t>November 16, 2012</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Pierre Chenu</w:t>
            </w:r>
          </w:p>
        </w:tc>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9"/>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Soo Keong Koh</w:t>
            </w:r>
          </w:p>
        </w:tc>
        <w:tc>
          <w:tcPr>
            <w:tcW w:w="514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2840" w:type="dxa"/>
            <w:vAlign w:val="bottom"/>
            <w:gridSpan w:val="2"/>
          </w:tcPr>
          <w:p>
            <w:pPr>
              <w:ind w:left="560"/>
              <w:spacing w:after="0"/>
              <w:rPr>
                <w:sz w:val="20"/>
                <w:szCs w:val="20"/>
                <w:color w:val="auto"/>
              </w:rPr>
            </w:pPr>
            <w:r>
              <w:rPr>
                <w:rFonts w:ascii="Arial" w:cs="Arial" w:eastAsia="Arial" w:hAnsi="Arial"/>
                <w:sz w:val="18"/>
                <w:szCs w:val="18"/>
                <w:color w:val="auto"/>
              </w:rPr>
              <w:t>November 16, 2012</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Soo Keong Koh</w:t>
            </w:r>
          </w:p>
        </w:tc>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9"/>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Sunggyu Lee, Ph.D.</w:t>
            </w:r>
          </w:p>
        </w:tc>
        <w:tc>
          <w:tcPr>
            <w:tcW w:w="514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2840" w:type="dxa"/>
            <w:vAlign w:val="bottom"/>
            <w:gridSpan w:val="2"/>
          </w:tcPr>
          <w:p>
            <w:pPr>
              <w:ind w:left="560"/>
              <w:spacing w:after="0"/>
              <w:rPr>
                <w:sz w:val="20"/>
                <w:szCs w:val="20"/>
                <w:color w:val="auto"/>
              </w:rPr>
            </w:pPr>
            <w:r>
              <w:rPr>
                <w:rFonts w:ascii="Arial" w:cs="Arial" w:eastAsia="Arial" w:hAnsi="Arial"/>
                <w:sz w:val="18"/>
                <w:szCs w:val="18"/>
                <w:color w:val="auto"/>
              </w:rPr>
              <w:t>November 16, 2012</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Sunggyu Lee, Ph.D.</w:t>
            </w:r>
          </w:p>
        </w:tc>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9"/>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Ramani Narayan, Ph.D.</w:t>
            </w:r>
          </w:p>
        </w:tc>
        <w:tc>
          <w:tcPr>
            <w:tcW w:w="514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2840" w:type="dxa"/>
            <w:vAlign w:val="bottom"/>
            <w:gridSpan w:val="2"/>
          </w:tcPr>
          <w:p>
            <w:pPr>
              <w:ind w:left="560"/>
              <w:spacing w:after="0"/>
              <w:rPr>
                <w:sz w:val="20"/>
                <w:szCs w:val="20"/>
                <w:color w:val="auto"/>
              </w:rPr>
            </w:pPr>
            <w:r>
              <w:rPr>
                <w:rFonts w:ascii="Arial" w:cs="Arial" w:eastAsia="Arial" w:hAnsi="Arial"/>
                <w:sz w:val="18"/>
                <w:szCs w:val="18"/>
                <w:color w:val="auto"/>
              </w:rPr>
              <w:t>November 16, 2012</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Ramani Narayan, Ph.D.</w:t>
            </w:r>
          </w:p>
        </w:tc>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9"/>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J. Nigon</w:t>
            </w:r>
          </w:p>
        </w:tc>
        <w:tc>
          <w:tcPr>
            <w:tcW w:w="514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2840" w:type="dxa"/>
            <w:vAlign w:val="bottom"/>
            <w:gridSpan w:val="2"/>
          </w:tcPr>
          <w:p>
            <w:pPr>
              <w:ind w:left="560"/>
              <w:spacing w:after="0"/>
              <w:rPr>
                <w:sz w:val="20"/>
                <w:szCs w:val="20"/>
                <w:color w:val="auto"/>
              </w:rPr>
            </w:pPr>
            <w:r>
              <w:rPr>
                <w:rFonts w:ascii="Arial" w:cs="Arial" w:eastAsia="Arial" w:hAnsi="Arial"/>
                <w:sz w:val="18"/>
                <w:szCs w:val="18"/>
                <w:color w:val="auto"/>
              </w:rPr>
              <w:t>November 16, 2012</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Richard J. Nigon</w:t>
            </w:r>
          </w:p>
        </w:tc>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9"/>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J. Stone</w:t>
            </w:r>
          </w:p>
        </w:tc>
        <w:tc>
          <w:tcPr>
            <w:tcW w:w="514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2840" w:type="dxa"/>
            <w:vAlign w:val="bottom"/>
            <w:gridSpan w:val="2"/>
          </w:tcPr>
          <w:p>
            <w:pPr>
              <w:ind w:left="560"/>
              <w:spacing w:after="0"/>
              <w:rPr>
                <w:sz w:val="20"/>
                <w:szCs w:val="20"/>
                <w:color w:val="auto"/>
              </w:rPr>
            </w:pPr>
            <w:r>
              <w:rPr>
                <w:rFonts w:ascii="Arial" w:cs="Arial" w:eastAsia="Arial" w:hAnsi="Arial"/>
                <w:sz w:val="18"/>
                <w:szCs w:val="18"/>
                <w:color w:val="auto"/>
              </w:rPr>
              <w:t>November 16, 2012</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Mark J. Stone</w:t>
            </w:r>
          </w:p>
        </w:tc>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9"/>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Konstantin von Falkenhausen</w:t>
            </w:r>
          </w:p>
        </w:tc>
        <w:tc>
          <w:tcPr>
            <w:tcW w:w="514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2840" w:type="dxa"/>
            <w:vAlign w:val="bottom"/>
            <w:gridSpan w:val="2"/>
          </w:tcPr>
          <w:p>
            <w:pPr>
              <w:ind w:left="560"/>
              <w:spacing w:after="0"/>
              <w:rPr>
                <w:sz w:val="20"/>
                <w:szCs w:val="20"/>
                <w:color w:val="auto"/>
              </w:rPr>
            </w:pPr>
            <w:r>
              <w:rPr>
                <w:rFonts w:ascii="Arial" w:cs="Arial" w:eastAsia="Arial" w:hAnsi="Arial"/>
                <w:sz w:val="18"/>
                <w:szCs w:val="18"/>
                <w:color w:val="auto"/>
              </w:rPr>
              <w:t>November 16, 2012</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Konstantin von Falkenhausen</w:t>
            </w:r>
          </w:p>
        </w:tc>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796"/>
        </w:trPr>
        <w:tc>
          <w:tcPr>
            <w:tcW w:w="3440" w:type="dxa"/>
            <w:vAlign w:val="bottom"/>
          </w:tcPr>
          <w:p>
            <w:pPr>
              <w:spacing w:after="0"/>
              <w:rPr>
                <w:sz w:val="24"/>
                <w:szCs w:val="24"/>
                <w:color w:val="auto"/>
              </w:rPr>
            </w:pPr>
          </w:p>
        </w:tc>
        <w:tc>
          <w:tcPr>
            <w:tcW w:w="5140" w:type="dxa"/>
            <w:vAlign w:val="bottom"/>
            <w:gridSpan w:val="2"/>
          </w:tcPr>
          <w:p>
            <w:pPr>
              <w:ind w:left="2180"/>
              <w:spacing w:after="0"/>
              <w:rPr>
                <w:sz w:val="20"/>
                <w:szCs w:val="20"/>
                <w:color w:val="auto"/>
              </w:rPr>
            </w:pPr>
            <w:r>
              <w:rPr>
                <w:rFonts w:ascii="Arial" w:cs="Arial" w:eastAsia="Arial" w:hAnsi="Arial"/>
                <w:sz w:val="18"/>
                <w:szCs w:val="18"/>
                <w:color w:val="auto"/>
              </w:rPr>
              <w:t>79</w:t>
            </w: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44"/>
        </w:trPr>
        <w:tc>
          <w:tcPr>
            <w:tcW w:w="344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456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228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-37465</wp:posOffset>
            </wp:positionV>
            <wp:extent cx="12700"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wp:posOffset>
            </wp:positionV>
            <wp:extent cx="1270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 TO ANNUAL REPORT ON FORM 10-K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AUGUST 31, 2012</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70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Item No.</w:t>
            </w:r>
          </w:p>
        </w:tc>
        <w:tc>
          <w:tcPr>
            <w:tcW w:w="600" w:type="dxa"/>
            <w:vAlign w:val="bottom"/>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w:t>
            </w:r>
          </w:p>
        </w:tc>
        <w:tc>
          <w:tcPr>
            <w:tcW w:w="56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Method of Filing</w:t>
            </w:r>
          </w:p>
        </w:tc>
      </w:tr>
      <w:tr>
        <w:trPr>
          <w:trHeight w:val="200"/>
        </w:trPr>
        <w:tc>
          <w:tcPr>
            <w:tcW w:w="20" w:type="dxa"/>
            <w:vAlign w:val="bottom"/>
          </w:tcPr>
          <w:p>
            <w:pPr>
              <w:spacing w:after="0"/>
              <w:rPr>
                <w:sz w:val="17"/>
                <w:szCs w:val="17"/>
                <w:color w:val="auto"/>
              </w:rPr>
            </w:pPr>
          </w:p>
        </w:tc>
        <w:tc>
          <w:tcPr>
            <w:tcW w:w="1700" w:type="dxa"/>
            <w:vAlign w:val="bottom"/>
          </w:tcPr>
          <w:p>
            <w:pPr>
              <w:spacing w:after="0" w:line="200" w:lineRule="exact"/>
              <w:rPr>
                <w:sz w:val="20"/>
                <w:szCs w:val="20"/>
                <w:color w:val="auto"/>
              </w:rPr>
            </w:pPr>
            <w:r>
              <w:rPr>
                <w:rFonts w:ascii="Arial" w:cs="Arial" w:eastAsia="Arial" w:hAnsi="Arial"/>
                <w:sz w:val="18"/>
                <w:szCs w:val="18"/>
                <w:color w:val="auto"/>
              </w:rPr>
              <w:t>3.1</w:t>
            </w:r>
          </w:p>
        </w:tc>
        <w:tc>
          <w:tcPr>
            <w:tcW w:w="600" w:type="dxa"/>
            <w:vAlign w:val="bottom"/>
          </w:tcPr>
          <w:p>
            <w:pPr>
              <w:spacing w:after="0"/>
              <w:rPr>
                <w:sz w:val="17"/>
                <w:szCs w:val="17"/>
                <w:color w:val="auto"/>
              </w:rPr>
            </w:pPr>
          </w:p>
        </w:tc>
        <w:tc>
          <w:tcPr>
            <w:tcW w:w="4440" w:type="dxa"/>
            <w:vAlign w:val="bottom"/>
          </w:tcPr>
          <w:p>
            <w:pPr>
              <w:spacing w:after="0" w:line="200" w:lineRule="exact"/>
              <w:rPr>
                <w:sz w:val="20"/>
                <w:szCs w:val="20"/>
                <w:color w:val="auto"/>
              </w:rPr>
            </w:pPr>
            <w:r>
              <w:rPr>
                <w:rFonts w:ascii="Arial" w:cs="Arial" w:eastAsia="Arial" w:hAnsi="Arial"/>
                <w:sz w:val="18"/>
                <w:szCs w:val="18"/>
                <w:color w:val="auto"/>
              </w:rPr>
              <w:t>Restated Certificate of Incorporation of Northern</w:t>
            </w:r>
          </w:p>
        </w:tc>
        <w:tc>
          <w:tcPr>
            <w:tcW w:w="560" w:type="dxa"/>
            <w:vAlign w:val="bottom"/>
          </w:tcPr>
          <w:p>
            <w:pPr>
              <w:spacing w:after="0"/>
              <w:rPr>
                <w:sz w:val="17"/>
                <w:szCs w:val="17"/>
                <w:color w:val="auto"/>
              </w:rPr>
            </w:pPr>
          </w:p>
        </w:tc>
        <w:tc>
          <w:tcPr>
            <w:tcW w:w="4100" w:type="dxa"/>
            <w:vAlign w:val="bottom"/>
          </w:tcPr>
          <w:p>
            <w:pPr>
              <w:jc w:val="center"/>
              <w:spacing w:after="0" w:line="200" w:lineRule="exact"/>
              <w:rPr>
                <w:sz w:val="20"/>
                <w:szCs w:val="20"/>
                <w:color w:val="auto"/>
              </w:rPr>
            </w:pPr>
            <w:r>
              <w:rPr>
                <w:rFonts w:ascii="Arial" w:cs="Arial" w:eastAsia="Arial" w:hAnsi="Arial"/>
                <w:sz w:val="18"/>
                <w:szCs w:val="18"/>
                <w:color w:val="auto"/>
                <w:w w:val="90"/>
              </w:rPr>
              <w:t>Incorporated by reference to Exhibit 3.1 to NTIC’s</w:t>
            </w:r>
          </w:p>
        </w:tc>
      </w:tr>
      <w:tr>
        <w:trPr>
          <w:trHeight w:val="212"/>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Technologies International Corporation</w:t>
            </w:r>
          </w:p>
        </w:tc>
        <w:tc>
          <w:tcPr>
            <w:tcW w:w="56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Quarterly Report on Form 10-Q for the fiscal quarter</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ended February 28, 2009 (File No. 001-11038)</w:t>
            </w:r>
          </w:p>
        </w:tc>
      </w:tr>
      <w:tr>
        <w:trPr>
          <w:trHeight w:val="439"/>
        </w:trPr>
        <w:tc>
          <w:tcPr>
            <w:tcW w:w="1720" w:type="dxa"/>
            <w:vAlign w:val="bottom"/>
            <w:gridSpan w:val="2"/>
          </w:tcPr>
          <w:p>
            <w:pPr>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6"/>
              </w:rPr>
              <w:t>Amended and Restated Bylaws of Northern Technologies</w:t>
            </w:r>
          </w:p>
        </w:tc>
        <w:tc>
          <w:tcPr>
            <w:tcW w:w="56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Incorporated by reference to Exhibit 3.1 to NTIC’s</w:t>
            </w:r>
          </w:p>
        </w:tc>
      </w:tr>
      <w:tr>
        <w:trPr>
          <w:trHeight w:val="212"/>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International Corporation</w:t>
            </w:r>
          </w:p>
        </w:tc>
        <w:tc>
          <w:tcPr>
            <w:tcW w:w="56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Current Report on Form 8-K as filed with the Securities</w:t>
            </w:r>
          </w:p>
        </w:tc>
      </w:tr>
      <w:tr>
        <w:trPr>
          <w:trHeight w:val="212"/>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88"/>
              </w:rPr>
              <w:t>and Exchange Commission on November 24, 2008 (File</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89"/>
              </w:rPr>
              <w:t>No. 001-11038)</w:t>
            </w:r>
          </w:p>
        </w:tc>
      </w:tr>
      <w:tr>
        <w:trPr>
          <w:trHeight w:val="439"/>
        </w:trPr>
        <w:tc>
          <w:tcPr>
            <w:tcW w:w="1720" w:type="dxa"/>
            <w:vAlign w:val="bottom"/>
            <w:gridSpan w:val="2"/>
          </w:tcPr>
          <w:p>
            <w:pPr>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2"/>
              </w:rPr>
              <w:t>Specimen Stock Certificate Representing Common Stock of</w:t>
            </w:r>
          </w:p>
        </w:tc>
        <w:tc>
          <w:tcPr>
            <w:tcW w:w="56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Incorporated by reference to Exhibit 4.1 to NTIC’s</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Northern Technologies International Corporation</w:t>
            </w:r>
          </w:p>
        </w:tc>
        <w:tc>
          <w:tcPr>
            <w:tcW w:w="56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89"/>
              </w:rPr>
              <w:t>Registration Statement on Form 10 (File No. 001-19331)</w:t>
            </w:r>
          </w:p>
        </w:tc>
      </w:tr>
      <w:tr>
        <w:trPr>
          <w:trHeight w:val="439"/>
        </w:trPr>
        <w:tc>
          <w:tcPr>
            <w:tcW w:w="1720" w:type="dxa"/>
            <w:vAlign w:val="bottom"/>
            <w:gridSpan w:val="2"/>
          </w:tcPr>
          <w:p>
            <w:pPr>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4"/>
              </w:rPr>
              <w:t>Northern Technologies International Corporation Amended</w:t>
            </w:r>
          </w:p>
        </w:tc>
        <w:tc>
          <w:tcPr>
            <w:tcW w:w="56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Incorporated by reference to Exhibit 10.1 to NTIC’s</w:t>
            </w:r>
          </w:p>
        </w:tc>
      </w:tr>
      <w:tr>
        <w:trPr>
          <w:trHeight w:val="212"/>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and Restated 2007 Stock Incentive Plan</w:t>
            </w:r>
          </w:p>
        </w:tc>
        <w:tc>
          <w:tcPr>
            <w:tcW w:w="56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Current Report on Form 8-K as filed with the Securities</w:t>
            </w:r>
          </w:p>
        </w:tc>
      </w:tr>
      <w:tr>
        <w:trPr>
          <w:trHeight w:val="212"/>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88"/>
              </w:rPr>
              <w:t>and Exchange Commission on January 24, 2011 (File No.</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4660" w:type="dxa"/>
            <w:vAlign w:val="bottom"/>
            <w:gridSpan w:val="2"/>
          </w:tcPr>
          <w:p>
            <w:pPr>
              <w:jc w:val="center"/>
              <w:ind w:left="472"/>
              <w:spacing w:after="0"/>
              <w:rPr>
                <w:sz w:val="20"/>
                <w:szCs w:val="20"/>
                <w:color w:val="auto"/>
              </w:rPr>
            </w:pPr>
            <w:r>
              <w:rPr>
                <w:rFonts w:ascii="Arial" w:cs="Arial" w:eastAsia="Arial" w:hAnsi="Arial"/>
                <w:sz w:val="18"/>
                <w:szCs w:val="18"/>
                <w:color w:val="auto"/>
                <w:w w:val="89"/>
              </w:rPr>
              <w:t>001-11038)</w:t>
            </w:r>
          </w:p>
        </w:tc>
      </w:tr>
      <w:tr>
        <w:trPr>
          <w:trHeight w:val="439"/>
        </w:trPr>
        <w:tc>
          <w:tcPr>
            <w:tcW w:w="1720" w:type="dxa"/>
            <w:vAlign w:val="bottom"/>
            <w:gridSpan w:val="2"/>
          </w:tcPr>
          <w:p>
            <w:pPr>
              <w:spacing w:after="0"/>
              <w:rPr>
                <w:sz w:val="20"/>
                <w:szCs w:val="20"/>
                <w:color w:val="auto"/>
              </w:rPr>
            </w:pPr>
            <w:r>
              <w:rPr>
                <w:rFonts w:ascii="Arial" w:cs="Arial" w:eastAsia="Arial" w:hAnsi="Arial"/>
                <w:sz w:val="18"/>
                <w:szCs w:val="18"/>
                <w:color w:val="auto"/>
              </w:rPr>
              <w:t>10.2</w:t>
            </w:r>
          </w:p>
        </w:tc>
        <w:tc>
          <w:tcPr>
            <w:tcW w:w="6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Form of Incentive Stock Option Agreement for Northern</w:t>
            </w:r>
          </w:p>
        </w:tc>
        <w:tc>
          <w:tcPr>
            <w:tcW w:w="56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Incorporated by reference to Exhibit 10.2 to NTIC’s</w:t>
            </w:r>
          </w:p>
        </w:tc>
      </w:tr>
      <w:tr>
        <w:trPr>
          <w:trHeight w:val="212"/>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Technologies International Corporation Amended and</w:t>
            </w:r>
          </w:p>
        </w:tc>
        <w:tc>
          <w:tcPr>
            <w:tcW w:w="56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Current Report on Form 8-K as filed with the Securities</w:t>
            </w:r>
          </w:p>
        </w:tc>
      </w:tr>
      <w:tr>
        <w:trPr>
          <w:trHeight w:val="212"/>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Restated 2007 Stock Incentive Plan</w:t>
            </w:r>
          </w:p>
        </w:tc>
        <w:tc>
          <w:tcPr>
            <w:tcW w:w="56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88"/>
              </w:rPr>
              <w:t>and Exchange Commission on January 24, 2011 (File No.</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4660" w:type="dxa"/>
            <w:vAlign w:val="bottom"/>
            <w:gridSpan w:val="2"/>
          </w:tcPr>
          <w:p>
            <w:pPr>
              <w:jc w:val="center"/>
              <w:ind w:left="472"/>
              <w:spacing w:after="0"/>
              <w:rPr>
                <w:sz w:val="20"/>
                <w:szCs w:val="20"/>
                <w:color w:val="auto"/>
              </w:rPr>
            </w:pPr>
            <w:r>
              <w:rPr>
                <w:rFonts w:ascii="Arial" w:cs="Arial" w:eastAsia="Arial" w:hAnsi="Arial"/>
                <w:sz w:val="18"/>
                <w:szCs w:val="18"/>
                <w:color w:val="auto"/>
                <w:w w:val="89"/>
              </w:rPr>
              <w:t>001-11038)</w:t>
            </w:r>
          </w:p>
        </w:tc>
      </w:tr>
      <w:tr>
        <w:trPr>
          <w:trHeight w:val="439"/>
        </w:trPr>
        <w:tc>
          <w:tcPr>
            <w:tcW w:w="1720" w:type="dxa"/>
            <w:vAlign w:val="bottom"/>
            <w:gridSpan w:val="2"/>
          </w:tcPr>
          <w:p>
            <w:pPr>
              <w:spacing w:after="0"/>
              <w:rPr>
                <w:sz w:val="20"/>
                <w:szCs w:val="20"/>
                <w:color w:val="auto"/>
              </w:rPr>
            </w:pPr>
            <w:r>
              <w:rPr>
                <w:rFonts w:ascii="Arial" w:cs="Arial" w:eastAsia="Arial" w:hAnsi="Arial"/>
                <w:sz w:val="18"/>
                <w:szCs w:val="18"/>
                <w:color w:val="auto"/>
              </w:rPr>
              <w:t>10.3</w:t>
            </w:r>
          </w:p>
        </w:tc>
        <w:tc>
          <w:tcPr>
            <w:tcW w:w="6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2"/>
              </w:rPr>
              <w:t>Form of Non-Statutory Stock Option Agreement for Northern</w:t>
            </w:r>
          </w:p>
        </w:tc>
        <w:tc>
          <w:tcPr>
            <w:tcW w:w="56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Incorporated by reference to Exhibit 10.3 to NTIC’s</w:t>
            </w:r>
          </w:p>
        </w:tc>
      </w:tr>
      <w:tr>
        <w:trPr>
          <w:trHeight w:val="212"/>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Technologies International Corporation Amended and</w:t>
            </w:r>
          </w:p>
        </w:tc>
        <w:tc>
          <w:tcPr>
            <w:tcW w:w="56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Current Report on Form 8-K as filed with the Securities</w:t>
            </w:r>
          </w:p>
        </w:tc>
      </w:tr>
      <w:tr>
        <w:trPr>
          <w:trHeight w:val="212"/>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Restated 2007 Stock Incentive Plan</w:t>
            </w:r>
          </w:p>
        </w:tc>
        <w:tc>
          <w:tcPr>
            <w:tcW w:w="56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88"/>
              </w:rPr>
              <w:t>and Exchange Commission on January 24, 2011 (File No.</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4660" w:type="dxa"/>
            <w:vAlign w:val="bottom"/>
            <w:gridSpan w:val="2"/>
          </w:tcPr>
          <w:p>
            <w:pPr>
              <w:jc w:val="center"/>
              <w:ind w:left="472"/>
              <w:spacing w:after="0"/>
              <w:rPr>
                <w:sz w:val="20"/>
                <w:szCs w:val="20"/>
                <w:color w:val="auto"/>
              </w:rPr>
            </w:pPr>
            <w:r>
              <w:rPr>
                <w:rFonts w:ascii="Arial" w:cs="Arial" w:eastAsia="Arial" w:hAnsi="Arial"/>
                <w:sz w:val="18"/>
                <w:szCs w:val="18"/>
                <w:color w:val="auto"/>
                <w:w w:val="89"/>
              </w:rPr>
              <w:t>001-11038)</w:t>
            </w:r>
          </w:p>
        </w:tc>
      </w:tr>
      <w:tr>
        <w:trPr>
          <w:trHeight w:val="439"/>
        </w:trPr>
        <w:tc>
          <w:tcPr>
            <w:tcW w:w="1720" w:type="dxa"/>
            <w:vAlign w:val="bottom"/>
            <w:gridSpan w:val="2"/>
          </w:tcPr>
          <w:p>
            <w:pPr>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Form of Restricted Stock Agreement for Northern</w:t>
            </w:r>
          </w:p>
        </w:tc>
        <w:tc>
          <w:tcPr>
            <w:tcW w:w="56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Incorporated by reference to Exhibit 10.4 to NTIC’s</w:t>
            </w:r>
          </w:p>
        </w:tc>
      </w:tr>
      <w:tr>
        <w:trPr>
          <w:trHeight w:val="212"/>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Technologies International Corporation Amended and</w:t>
            </w:r>
          </w:p>
        </w:tc>
        <w:tc>
          <w:tcPr>
            <w:tcW w:w="56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Current Report on Form 8-K as filed with the Securities</w:t>
            </w:r>
          </w:p>
        </w:tc>
      </w:tr>
      <w:tr>
        <w:trPr>
          <w:trHeight w:val="212"/>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Restated 2007 Stock Incentive Plan</w:t>
            </w:r>
          </w:p>
        </w:tc>
        <w:tc>
          <w:tcPr>
            <w:tcW w:w="56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88"/>
              </w:rPr>
              <w:t>and Exchange Commission on January 24, 2011 (File No.</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4660" w:type="dxa"/>
            <w:vAlign w:val="bottom"/>
            <w:gridSpan w:val="2"/>
          </w:tcPr>
          <w:p>
            <w:pPr>
              <w:jc w:val="center"/>
              <w:ind w:left="472"/>
              <w:spacing w:after="0"/>
              <w:rPr>
                <w:sz w:val="20"/>
                <w:szCs w:val="20"/>
                <w:color w:val="auto"/>
              </w:rPr>
            </w:pPr>
            <w:r>
              <w:rPr>
                <w:rFonts w:ascii="Arial" w:cs="Arial" w:eastAsia="Arial" w:hAnsi="Arial"/>
                <w:sz w:val="18"/>
                <w:szCs w:val="18"/>
                <w:color w:val="auto"/>
                <w:w w:val="89"/>
              </w:rPr>
              <w:t>001-11038)</w:t>
            </w:r>
          </w:p>
        </w:tc>
      </w:tr>
      <w:tr>
        <w:trPr>
          <w:trHeight w:val="439"/>
        </w:trPr>
        <w:tc>
          <w:tcPr>
            <w:tcW w:w="1720" w:type="dxa"/>
            <w:vAlign w:val="bottom"/>
            <w:gridSpan w:val="2"/>
          </w:tcPr>
          <w:p>
            <w:pPr>
              <w:spacing w:after="0"/>
              <w:rPr>
                <w:sz w:val="20"/>
                <w:szCs w:val="20"/>
                <w:color w:val="auto"/>
              </w:rPr>
            </w:pPr>
            <w:r>
              <w:rPr>
                <w:rFonts w:ascii="Arial" w:cs="Arial" w:eastAsia="Arial" w:hAnsi="Arial"/>
                <w:sz w:val="18"/>
                <w:szCs w:val="18"/>
                <w:color w:val="auto"/>
              </w:rPr>
              <w:t>10.5</w:t>
            </w:r>
          </w:p>
        </w:tc>
        <w:tc>
          <w:tcPr>
            <w:tcW w:w="6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Northern Technologies International Corporation Employee</w:t>
            </w:r>
          </w:p>
        </w:tc>
        <w:tc>
          <w:tcPr>
            <w:tcW w:w="56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Incorporated by reference to Exhibit 10.11 to NTIC’s</w:t>
            </w:r>
          </w:p>
        </w:tc>
      </w:tr>
      <w:tr>
        <w:trPr>
          <w:trHeight w:val="212"/>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Stock Purchase Plan</w:t>
            </w:r>
          </w:p>
        </w:tc>
        <w:tc>
          <w:tcPr>
            <w:tcW w:w="56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89"/>
              </w:rPr>
              <w:t>Annual Report on Form 10-KSB for the fiscal year ended</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August 31, 2006 (File No. 001-11038)</w:t>
            </w:r>
          </w:p>
        </w:tc>
      </w:tr>
      <w:tr>
        <w:trPr>
          <w:trHeight w:val="623"/>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40" w:type="dxa"/>
            <w:vAlign w:val="bottom"/>
            <w:gridSpan w:val="2"/>
          </w:tcPr>
          <w:p>
            <w:pPr>
              <w:jc w:val="right"/>
              <w:ind w:right="872"/>
              <w:spacing w:after="0"/>
              <w:rPr>
                <w:sz w:val="20"/>
                <w:szCs w:val="20"/>
                <w:color w:val="auto"/>
              </w:rPr>
            </w:pPr>
            <w:r>
              <w:rPr>
                <w:rFonts w:ascii="Arial" w:cs="Arial" w:eastAsia="Arial" w:hAnsi="Arial"/>
                <w:sz w:val="18"/>
                <w:szCs w:val="18"/>
                <w:color w:val="auto"/>
              </w:rPr>
              <w:t>80</w:t>
            </w:r>
          </w:p>
        </w:tc>
        <w:tc>
          <w:tcPr>
            <w:tcW w:w="56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144"/>
        </w:trPr>
        <w:tc>
          <w:tcPr>
            <w:tcW w:w="20" w:type="dxa"/>
            <w:vAlign w:val="bottom"/>
            <w:tcBorders>
              <w:bottom w:val="single" w:sz="8" w:color="808080"/>
            </w:tcBorders>
          </w:tcPr>
          <w:p>
            <w:pPr>
              <w:spacing w:after="0"/>
              <w:rPr>
                <w:sz w:val="12"/>
                <w:szCs w:val="12"/>
                <w:color w:val="auto"/>
              </w:rPr>
            </w:pPr>
          </w:p>
        </w:tc>
        <w:tc>
          <w:tcPr>
            <w:tcW w:w="170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444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41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-37465</wp:posOffset>
            </wp:positionV>
            <wp:extent cx="12700"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wp:posOffset>
            </wp:positionV>
            <wp:extent cx="12700"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2"/>
        </w:trPr>
        <w:tc>
          <w:tcPr>
            <w:tcW w:w="1360" w:type="dxa"/>
            <w:vAlign w:val="bottom"/>
          </w:tcPr>
          <w:p>
            <w:pPr>
              <w:spacing w:after="0"/>
              <w:rPr>
                <w:sz w:val="20"/>
                <w:szCs w:val="20"/>
                <w:color w:val="auto"/>
              </w:rPr>
            </w:pPr>
            <w:r>
              <w:rPr>
                <w:rFonts w:ascii="Arial" w:cs="Arial" w:eastAsia="Arial" w:hAnsi="Arial"/>
                <w:sz w:val="18"/>
                <w:szCs w:val="18"/>
                <w:color w:val="auto"/>
              </w:rPr>
              <w:t>10.6</w:t>
            </w:r>
          </w:p>
        </w:tc>
        <w:tc>
          <w:tcPr>
            <w:tcW w:w="5320" w:type="dxa"/>
            <w:vAlign w:val="bottom"/>
          </w:tcPr>
          <w:p>
            <w:pPr>
              <w:ind w:left="960"/>
              <w:spacing w:after="0"/>
              <w:rPr>
                <w:sz w:val="20"/>
                <w:szCs w:val="20"/>
                <w:color w:val="auto"/>
              </w:rPr>
            </w:pPr>
            <w:r>
              <w:rPr>
                <w:rFonts w:ascii="Arial" w:cs="Arial" w:eastAsia="Arial" w:hAnsi="Arial"/>
                <w:sz w:val="18"/>
                <w:szCs w:val="18"/>
                <w:color w:val="auto"/>
              </w:rPr>
              <w:t>Material Terms of Northern Technologies International</w:t>
            </w:r>
          </w:p>
        </w:tc>
      </w:tr>
      <w:tr>
        <w:trPr>
          <w:trHeight w:val="223"/>
        </w:trPr>
        <w:tc>
          <w:tcPr>
            <w:tcW w:w="1360" w:type="dxa"/>
            <w:vAlign w:val="bottom"/>
          </w:tcPr>
          <w:p>
            <w:pPr>
              <w:spacing w:after="0"/>
              <w:rPr>
                <w:sz w:val="19"/>
                <w:szCs w:val="19"/>
                <w:color w:val="auto"/>
              </w:rPr>
            </w:pPr>
          </w:p>
        </w:tc>
        <w:tc>
          <w:tcPr>
            <w:tcW w:w="5320" w:type="dxa"/>
            <w:vAlign w:val="bottom"/>
          </w:tcPr>
          <w:p>
            <w:pPr>
              <w:ind w:left="960"/>
              <w:spacing w:after="0"/>
              <w:rPr>
                <w:sz w:val="20"/>
                <w:szCs w:val="20"/>
                <w:color w:val="auto"/>
              </w:rPr>
            </w:pPr>
            <w:r>
              <w:rPr>
                <w:rFonts w:ascii="Arial" w:cs="Arial" w:eastAsia="Arial" w:hAnsi="Arial"/>
                <w:sz w:val="18"/>
                <w:szCs w:val="18"/>
                <w:color w:val="auto"/>
              </w:rPr>
              <w:t>Corporation Annual Bonus Plan</w:t>
            </w:r>
          </w:p>
        </w:tc>
      </w:tr>
      <w:tr>
        <w:trPr>
          <w:trHeight w:val="864"/>
        </w:trPr>
        <w:tc>
          <w:tcPr>
            <w:tcW w:w="1360" w:type="dxa"/>
            <w:vAlign w:val="bottom"/>
          </w:tcPr>
          <w:p>
            <w:pPr>
              <w:spacing w:after="0"/>
              <w:rPr>
                <w:sz w:val="20"/>
                <w:szCs w:val="20"/>
                <w:color w:val="auto"/>
              </w:rPr>
            </w:pPr>
            <w:r>
              <w:rPr>
                <w:rFonts w:ascii="Arial" w:cs="Arial" w:eastAsia="Arial" w:hAnsi="Arial"/>
                <w:sz w:val="18"/>
                <w:szCs w:val="18"/>
                <w:color w:val="auto"/>
              </w:rPr>
              <w:t>10.7</w:t>
            </w:r>
          </w:p>
        </w:tc>
        <w:tc>
          <w:tcPr>
            <w:tcW w:w="5320" w:type="dxa"/>
            <w:vAlign w:val="bottom"/>
          </w:tcPr>
          <w:p>
            <w:pPr>
              <w:ind w:left="960"/>
              <w:spacing w:after="0"/>
              <w:rPr>
                <w:sz w:val="20"/>
                <w:szCs w:val="20"/>
                <w:color w:val="auto"/>
              </w:rPr>
            </w:pPr>
            <w:r>
              <w:rPr>
                <w:rFonts w:ascii="Arial" w:cs="Arial" w:eastAsia="Arial" w:hAnsi="Arial"/>
                <w:sz w:val="18"/>
                <w:szCs w:val="18"/>
                <w:color w:val="auto"/>
              </w:rPr>
              <w:t>Form of Indemnification Agreement between Northern</w:t>
            </w:r>
          </w:p>
        </w:tc>
      </w:tr>
      <w:tr>
        <w:trPr>
          <w:trHeight w:val="212"/>
        </w:trPr>
        <w:tc>
          <w:tcPr>
            <w:tcW w:w="1360" w:type="dxa"/>
            <w:vAlign w:val="bottom"/>
          </w:tcPr>
          <w:p>
            <w:pPr>
              <w:spacing w:after="0"/>
              <w:rPr>
                <w:sz w:val="18"/>
                <w:szCs w:val="18"/>
                <w:color w:val="auto"/>
              </w:rPr>
            </w:pPr>
          </w:p>
        </w:tc>
        <w:tc>
          <w:tcPr>
            <w:tcW w:w="5320" w:type="dxa"/>
            <w:vAlign w:val="bottom"/>
          </w:tcPr>
          <w:p>
            <w:pPr>
              <w:ind w:left="960"/>
              <w:spacing w:after="0"/>
              <w:rPr>
                <w:sz w:val="20"/>
                <w:szCs w:val="20"/>
                <w:color w:val="auto"/>
              </w:rPr>
            </w:pPr>
            <w:r>
              <w:rPr>
                <w:rFonts w:ascii="Arial" w:cs="Arial" w:eastAsia="Arial" w:hAnsi="Arial"/>
                <w:sz w:val="18"/>
                <w:szCs w:val="18"/>
                <w:color w:val="auto"/>
                <w:w w:val="90"/>
              </w:rPr>
              <w:t>Technologies International Corporation and its Directors and</w:t>
            </w:r>
          </w:p>
        </w:tc>
      </w:tr>
      <w:tr>
        <w:trPr>
          <w:trHeight w:val="223"/>
        </w:trPr>
        <w:tc>
          <w:tcPr>
            <w:tcW w:w="1360" w:type="dxa"/>
            <w:vAlign w:val="bottom"/>
          </w:tcPr>
          <w:p>
            <w:pPr>
              <w:spacing w:after="0"/>
              <w:rPr>
                <w:sz w:val="19"/>
                <w:szCs w:val="19"/>
                <w:color w:val="auto"/>
              </w:rPr>
            </w:pPr>
          </w:p>
        </w:tc>
        <w:tc>
          <w:tcPr>
            <w:tcW w:w="5320" w:type="dxa"/>
            <w:vAlign w:val="bottom"/>
          </w:tcPr>
          <w:p>
            <w:pPr>
              <w:ind w:left="960"/>
              <w:spacing w:after="0"/>
              <w:rPr>
                <w:sz w:val="20"/>
                <w:szCs w:val="20"/>
                <w:color w:val="auto"/>
              </w:rPr>
            </w:pPr>
            <w:r>
              <w:rPr>
                <w:rFonts w:ascii="Arial" w:cs="Arial" w:eastAsia="Arial" w:hAnsi="Arial"/>
                <w:sz w:val="18"/>
                <w:szCs w:val="18"/>
                <w:color w:val="auto"/>
              </w:rPr>
              <w:t>Officers</w:t>
            </w:r>
          </w:p>
        </w:tc>
      </w:tr>
      <w:tr>
        <w:trPr>
          <w:trHeight w:val="652"/>
        </w:trPr>
        <w:tc>
          <w:tcPr>
            <w:tcW w:w="1360" w:type="dxa"/>
            <w:vAlign w:val="bottom"/>
          </w:tcPr>
          <w:p>
            <w:pPr>
              <w:spacing w:after="0"/>
              <w:rPr>
                <w:sz w:val="20"/>
                <w:szCs w:val="20"/>
                <w:color w:val="auto"/>
              </w:rPr>
            </w:pPr>
            <w:r>
              <w:rPr>
                <w:rFonts w:ascii="Arial" w:cs="Arial" w:eastAsia="Arial" w:hAnsi="Arial"/>
                <w:sz w:val="18"/>
                <w:szCs w:val="18"/>
                <w:color w:val="auto"/>
              </w:rPr>
              <w:t>10.8</w:t>
            </w:r>
          </w:p>
        </w:tc>
        <w:tc>
          <w:tcPr>
            <w:tcW w:w="5320" w:type="dxa"/>
            <w:vAlign w:val="bottom"/>
          </w:tcPr>
          <w:p>
            <w:pPr>
              <w:ind w:left="960"/>
              <w:spacing w:after="0"/>
              <w:rPr>
                <w:sz w:val="20"/>
                <w:szCs w:val="20"/>
                <w:color w:val="auto"/>
              </w:rPr>
            </w:pPr>
            <w:r>
              <w:rPr>
                <w:rFonts w:ascii="Arial" w:cs="Arial" w:eastAsia="Arial" w:hAnsi="Arial"/>
                <w:sz w:val="18"/>
                <w:szCs w:val="18"/>
                <w:color w:val="auto"/>
                <w:w w:val="97"/>
              </w:rPr>
              <w:t>Agreement dated as of May 25, 2009 between Northern</w:t>
            </w:r>
          </w:p>
        </w:tc>
      </w:tr>
      <w:tr>
        <w:trPr>
          <w:trHeight w:val="212"/>
        </w:trPr>
        <w:tc>
          <w:tcPr>
            <w:tcW w:w="1360" w:type="dxa"/>
            <w:vAlign w:val="bottom"/>
          </w:tcPr>
          <w:p>
            <w:pPr>
              <w:spacing w:after="0"/>
              <w:rPr>
                <w:sz w:val="18"/>
                <w:szCs w:val="18"/>
                <w:color w:val="auto"/>
              </w:rPr>
            </w:pPr>
          </w:p>
        </w:tc>
        <w:tc>
          <w:tcPr>
            <w:tcW w:w="5320" w:type="dxa"/>
            <w:vAlign w:val="bottom"/>
          </w:tcPr>
          <w:p>
            <w:pPr>
              <w:ind w:left="960"/>
              <w:spacing w:after="0"/>
              <w:rPr>
                <w:sz w:val="20"/>
                <w:szCs w:val="20"/>
                <w:color w:val="auto"/>
              </w:rPr>
            </w:pPr>
            <w:r>
              <w:rPr>
                <w:rFonts w:ascii="Arial" w:cs="Arial" w:eastAsia="Arial" w:hAnsi="Arial"/>
                <w:sz w:val="18"/>
                <w:szCs w:val="18"/>
                <w:color w:val="auto"/>
                <w:w w:val="94"/>
              </w:rPr>
              <w:t>Technologies International Corporation and Sunggyu Lee,</w:t>
            </w:r>
          </w:p>
        </w:tc>
      </w:tr>
      <w:tr>
        <w:trPr>
          <w:trHeight w:val="223"/>
        </w:trPr>
        <w:tc>
          <w:tcPr>
            <w:tcW w:w="1360" w:type="dxa"/>
            <w:vAlign w:val="bottom"/>
          </w:tcPr>
          <w:p>
            <w:pPr>
              <w:spacing w:after="0"/>
              <w:rPr>
                <w:sz w:val="19"/>
                <w:szCs w:val="19"/>
                <w:color w:val="auto"/>
              </w:rPr>
            </w:pPr>
          </w:p>
        </w:tc>
        <w:tc>
          <w:tcPr>
            <w:tcW w:w="5320" w:type="dxa"/>
            <w:vAlign w:val="bottom"/>
          </w:tcPr>
          <w:p>
            <w:pPr>
              <w:ind w:left="960"/>
              <w:spacing w:after="0"/>
              <w:rPr>
                <w:sz w:val="20"/>
                <w:szCs w:val="20"/>
                <w:color w:val="auto"/>
              </w:rPr>
            </w:pPr>
            <w:r>
              <w:rPr>
                <w:rFonts w:ascii="Arial" w:cs="Arial" w:eastAsia="Arial" w:hAnsi="Arial"/>
                <w:sz w:val="18"/>
                <w:szCs w:val="18"/>
                <w:color w:val="auto"/>
              </w:rPr>
              <w:t>Ph.D.</w:t>
            </w:r>
          </w:p>
        </w:tc>
      </w:tr>
      <w:tr>
        <w:trPr>
          <w:trHeight w:val="439"/>
        </w:trPr>
        <w:tc>
          <w:tcPr>
            <w:tcW w:w="1360" w:type="dxa"/>
            <w:vAlign w:val="bottom"/>
          </w:tcPr>
          <w:p>
            <w:pPr>
              <w:spacing w:after="0"/>
              <w:rPr>
                <w:sz w:val="20"/>
                <w:szCs w:val="20"/>
                <w:color w:val="auto"/>
              </w:rPr>
            </w:pPr>
            <w:r>
              <w:rPr>
                <w:rFonts w:ascii="Arial" w:cs="Arial" w:eastAsia="Arial" w:hAnsi="Arial"/>
                <w:sz w:val="18"/>
                <w:szCs w:val="18"/>
                <w:color w:val="auto"/>
              </w:rPr>
              <w:t>10.9</w:t>
            </w:r>
          </w:p>
        </w:tc>
        <w:tc>
          <w:tcPr>
            <w:tcW w:w="5320" w:type="dxa"/>
            <w:vAlign w:val="bottom"/>
          </w:tcPr>
          <w:p>
            <w:pPr>
              <w:ind w:left="960"/>
              <w:spacing w:after="0"/>
              <w:rPr>
                <w:sz w:val="20"/>
                <w:szCs w:val="20"/>
                <w:color w:val="auto"/>
              </w:rPr>
            </w:pPr>
            <w:r>
              <w:rPr>
                <w:rFonts w:ascii="Arial" w:cs="Arial" w:eastAsia="Arial" w:hAnsi="Arial"/>
                <w:sz w:val="18"/>
                <w:szCs w:val="18"/>
                <w:color w:val="auto"/>
              </w:rPr>
              <w:t>Description of Non-Employee Director Compensation</w:t>
            </w:r>
          </w:p>
        </w:tc>
      </w:tr>
      <w:tr>
        <w:trPr>
          <w:trHeight w:val="223"/>
        </w:trPr>
        <w:tc>
          <w:tcPr>
            <w:tcW w:w="1360" w:type="dxa"/>
            <w:vAlign w:val="bottom"/>
          </w:tcPr>
          <w:p>
            <w:pPr>
              <w:spacing w:after="0"/>
              <w:rPr>
                <w:sz w:val="19"/>
                <w:szCs w:val="19"/>
                <w:color w:val="auto"/>
              </w:rPr>
            </w:pPr>
          </w:p>
        </w:tc>
        <w:tc>
          <w:tcPr>
            <w:tcW w:w="5320" w:type="dxa"/>
            <w:vAlign w:val="bottom"/>
          </w:tcPr>
          <w:p>
            <w:pPr>
              <w:ind w:left="960"/>
              <w:spacing w:after="0"/>
              <w:rPr>
                <w:sz w:val="20"/>
                <w:szCs w:val="20"/>
                <w:color w:val="auto"/>
              </w:rPr>
            </w:pPr>
            <w:r>
              <w:rPr>
                <w:rFonts w:ascii="Arial" w:cs="Arial" w:eastAsia="Arial" w:hAnsi="Arial"/>
                <w:sz w:val="18"/>
                <w:szCs w:val="18"/>
                <w:color w:val="auto"/>
              </w:rPr>
              <w:t>Arrangements</w:t>
            </w:r>
          </w:p>
        </w:tc>
      </w:tr>
      <w:tr>
        <w:trPr>
          <w:trHeight w:val="439"/>
        </w:trPr>
        <w:tc>
          <w:tcPr>
            <w:tcW w:w="1360" w:type="dxa"/>
            <w:vAlign w:val="bottom"/>
          </w:tcPr>
          <w:p>
            <w:pPr>
              <w:spacing w:after="0"/>
              <w:rPr>
                <w:sz w:val="20"/>
                <w:szCs w:val="20"/>
                <w:color w:val="auto"/>
              </w:rPr>
            </w:pPr>
            <w:r>
              <w:rPr>
                <w:rFonts w:ascii="Arial" w:cs="Arial" w:eastAsia="Arial" w:hAnsi="Arial"/>
                <w:sz w:val="18"/>
                <w:szCs w:val="18"/>
                <w:color w:val="auto"/>
              </w:rPr>
              <w:t>10.10</w:t>
            </w:r>
          </w:p>
        </w:tc>
        <w:tc>
          <w:tcPr>
            <w:tcW w:w="5320" w:type="dxa"/>
            <w:vAlign w:val="bottom"/>
          </w:tcPr>
          <w:p>
            <w:pPr>
              <w:ind w:left="960"/>
              <w:spacing w:after="0"/>
              <w:rPr>
                <w:sz w:val="20"/>
                <w:szCs w:val="20"/>
                <w:color w:val="auto"/>
              </w:rPr>
            </w:pPr>
            <w:r>
              <w:rPr>
                <w:rFonts w:ascii="Arial" w:cs="Arial" w:eastAsia="Arial" w:hAnsi="Arial"/>
                <w:sz w:val="18"/>
                <w:szCs w:val="18"/>
                <w:color w:val="auto"/>
                <w:w w:val="88"/>
              </w:rPr>
              <w:t>Executive Employment Agreement dated as of November 18,</w:t>
            </w:r>
          </w:p>
        </w:tc>
      </w:tr>
      <w:tr>
        <w:trPr>
          <w:trHeight w:val="212"/>
        </w:trPr>
        <w:tc>
          <w:tcPr>
            <w:tcW w:w="1360" w:type="dxa"/>
            <w:vAlign w:val="bottom"/>
          </w:tcPr>
          <w:p>
            <w:pPr>
              <w:spacing w:after="0"/>
              <w:rPr>
                <w:sz w:val="18"/>
                <w:szCs w:val="18"/>
                <w:color w:val="auto"/>
              </w:rPr>
            </w:pPr>
          </w:p>
        </w:tc>
        <w:tc>
          <w:tcPr>
            <w:tcW w:w="5320" w:type="dxa"/>
            <w:vAlign w:val="bottom"/>
          </w:tcPr>
          <w:p>
            <w:pPr>
              <w:ind w:left="960"/>
              <w:spacing w:after="0"/>
              <w:rPr>
                <w:sz w:val="20"/>
                <w:szCs w:val="20"/>
                <w:color w:val="auto"/>
              </w:rPr>
            </w:pPr>
            <w:r>
              <w:rPr>
                <w:rFonts w:ascii="Arial" w:cs="Arial" w:eastAsia="Arial" w:hAnsi="Arial"/>
                <w:sz w:val="18"/>
                <w:szCs w:val="18"/>
                <w:color w:val="auto"/>
              </w:rPr>
              <w:t>2011 between Northern Technologies International</w:t>
            </w:r>
          </w:p>
        </w:tc>
      </w:tr>
      <w:tr>
        <w:trPr>
          <w:trHeight w:val="223"/>
        </w:trPr>
        <w:tc>
          <w:tcPr>
            <w:tcW w:w="1360" w:type="dxa"/>
            <w:vAlign w:val="bottom"/>
          </w:tcPr>
          <w:p>
            <w:pPr>
              <w:spacing w:after="0"/>
              <w:rPr>
                <w:sz w:val="19"/>
                <w:szCs w:val="19"/>
                <w:color w:val="auto"/>
              </w:rPr>
            </w:pPr>
          </w:p>
        </w:tc>
        <w:tc>
          <w:tcPr>
            <w:tcW w:w="5320" w:type="dxa"/>
            <w:vAlign w:val="bottom"/>
          </w:tcPr>
          <w:p>
            <w:pPr>
              <w:ind w:left="960"/>
              <w:spacing w:after="0"/>
              <w:rPr>
                <w:sz w:val="20"/>
                <w:szCs w:val="20"/>
                <w:color w:val="auto"/>
              </w:rPr>
            </w:pPr>
            <w:r>
              <w:rPr>
                <w:rFonts w:ascii="Arial" w:cs="Arial" w:eastAsia="Arial" w:hAnsi="Arial"/>
                <w:sz w:val="18"/>
                <w:szCs w:val="18"/>
                <w:color w:val="auto"/>
              </w:rPr>
              <w:t>Corporation and G. Patrick Lynch</w:t>
            </w:r>
          </w:p>
        </w:tc>
      </w:tr>
      <w:tr>
        <w:trPr>
          <w:trHeight w:val="439"/>
        </w:trPr>
        <w:tc>
          <w:tcPr>
            <w:tcW w:w="1360" w:type="dxa"/>
            <w:vAlign w:val="bottom"/>
          </w:tcPr>
          <w:p>
            <w:pPr>
              <w:spacing w:after="0"/>
              <w:rPr>
                <w:sz w:val="20"/>
                <w:szCs w:val="20"/>
                <w:color w:val="auto"/>
              </w:rPr>
            </w:pPr>
            <w:r>
              <w:rPr>
                <w:rFonts w:ascii="Arial" w:cs="Arial" w:eastAsia="Arial" w:hAnsi="Arial"/>
                <w:sz w:val="18"/>
                <w:szCs w:val="18"/>
                <w:color w:val="auto"/>
              </w:rPr>
              <w:t>10.11</w:t>
            </w:r>
          </w:p>
        </w:tc>
        <w:tc>
          <w:tcPr>
            <w:tcW w:w="5320" w:type="dxa"/>
            <w:vAlign w:val="bottom"/>
          </w:tcPr>
          <w:p>
            <w:pPr>
              <w:ind w:left="960"/>
              <w:spacing w:after="0"/>
              <w:rPr>
                <w:sz w:val="20"/>
                <w:szCs w:val="20"/>
                <w:color w:val="auto"/>
              </w:rPr>
            </w:pPr>
            <w:r>
              <w:rPr>
                <w:rFonts w:ascii="Arial" w:cs="Arial" w:eastAsia="Arial" w:hAnsi="Arial"/>
                <w:sz w:val="18"/>
                <w:szCs w:val="18"/>
                <w:color w:val="auto"/>
              </w:rPr>
              <w:t>Confidential Information, Inventions Assignment,</w:t>
            </w:r>
          </w:p>
        </w:tc>
      </w:tr>
      <w:tr>
        <w:trPr>
          <w:trHeight w:val="212"/>
        </w:trPr>
        <w:tc>
          <w:tcPr>
            <w:tcW w:w="1360" w:type="dxa"/>
            <w:vAlign w:val="bottom"/>
          </w:tcPr>
          <w:p>
            <w:pPr>
              <w:spacing w:after="0"/>
              <w:rPr>
                <w:sz w:val="18"/>
                <w:szCs w:val="18"/>
                <w:color w:val="auto"/>
              </w:rPr>
            </w:pPr>
          </w:p>
        </w:tc>
        <w:tc>
          <w:tcPr>
            <w:tcW w:w="5320" w:type="dxa"/>
            <w:vAlign w:val="bottom"/>
          </w:tcPr>
          <w:p>
            <w:pPr>
              <w:ind w:left="960"/>
              <w:spacing w:after="0"/>
              <w:rPr>
                <w:sz w:val="20"/>
                <w:szCs w:val="20"/>
                <w:color w:val="auto"/>
              </w:rPr>
            </w:pPr>
            <w:r>
              <w:rPr>
                <w:rFonts w:ascii="Arial" w:cs="Arial" w:eastAsia="Arial" w:hAnsi="Arial"/>
                <w:sz w:val="18"/>
                <w:szCs w:val="18"/>
                <w:color w:val="auto"/>
                <w:w w:val="90"/>
              </w:rPr>
              <w:t>Noncompetition and Non-Solicitation Agreement dated as of</w:t>
            </w:r>
          </w:p>
        </w:tc>
      </w:tr>
      <w:tr>
        <w:trPr>
          <w:trHeight w:val="212"/>
        </w:trPr>
        <w:tc>
          <w:tcPr>
            <w:tcW w:w="1360" w:type="dxa"/>
            <w:vAlign w:val="bottom"/>
          </w:tcPr>
          <w:p>
            <w:pPr>
              <w:spacing w:after="0"/>
              <w:rPr>
                <w:sz w:val="18"/>
                <w:szCs w:val="18"/>
                <w:color w:val="auto"/>
              </w:rPr>
            </w:pPr>
          </w:p>
        </w:tc>
        <w:tc>
          <w:tcPr>
            <w:tcW w:w="5320" w:type="dxa"/>
            <w:vAlign w:val="bottom"/>
          </w:tcPr>
          <w:p>
            <w:pPr>
              <w:ind w:left="960"/>
              <w:spacing w:after="0"/>
              <w:rPr>
                <w:sz w:val="20"/>
                <w:szCs w:val="20"/>
                <w:color w:val="auto"/>
              </w:rPr>
            </w:pPr>
            <w:r>
              <w:rPr>
                <w:rFonts w:ascii="Arial" w:cs="Arial" w:eastAsia="Arial" w:hAnsi="Arial"/>
                <w:sz w:val="18"/>
                <w:szCs w:val="18"/>
                <w:color w:val="auto"/>
              </w:rPr>
              <w:t>November 18, 2011 between Northern Technologies</w:t>
            </w:r>
          </w:p>
        </w:tc>
      </w:tr>
      <w:tr>
        <w:trPr>
          <w:trHeight w:val="223"/>
        </w:trPr>
        <w:tc>
          <w:tcPr>
            <w:tcW w:w="1360" w:type="dxa"/>
            <w:vAlign w:val="bottom"/>
          </w:tcPr>
          <w:p>
            <w:pPr>
              <w:spacing w:after="0"/>
              <w:rPr>
                <w:sz w:val="19"/>
                <w:szCs w:val="19"/>
                <w:color w:val="auto"/>
              </w:rPr>
            </w:pPr>
          </w:p>
        </w:tc>
        <w:tc>
          <w:tcPr>
            <w:tcW w:w="5320" w:type="dxa"/>
            <w:vAlign w:val="bottom"/>
          </w:tcPr>
          <w:p>
            <w:pPr>
              <w:ind w:left="960"/>
              <w:spacing w:after="0"/>
              <w:rPr>
                <w:sz w:val="20"/>
                <w:szCs w:val="20"/>
                <w:color w:val="auto"/>
              </w:rPr>
            </w:pPr>
            <w:r>
              <w:rPr>
                <w:rFonts w:ascii="Arial" w:cs="Arial" w:eastAsia="Arial" w:hAnsi="Arial"/>
                <w:sz w:val="18"/>
                <w:szCs w:val="18"/>
                <w:color w:val="auto"/>
              </w:rPr>
              <w:t>International Corporation and G. Patrick Lynch</w:t>
            </w:r>
          </w:p>
        </w:tc>
      </w:tr>
      <w:tr>
        <w:trPr>
          <w:trHeight w:val="439"/>
        </w:trPr>
        <w:tc>
          <w:tcPr>
            <w:tcW w:w="1360" w:type="dxa"/>
            <w:vAlign w:val="bottom"/>
          </w:tcPr>
          <w:p>
            <w:pPr>
              <w:spacing w:after="0"/>
              <w:rPr>
                <w:sz w:val="20"/>
                <w:szCs w:val="20"/>
                <w:color w:val="auto"/>
              </w:rPr>
            </w:pPr>
            <w:r>
              <w:rPr>
                <w:rFonts w:ascii="Arial" w:cs="Arial" w:eastAsia="Arial" w:hAnsi="Arial"/>
                <w:sz w:val="18"/>
                <w:szCs w:val="18"/>
                <w:color w:val="auto"/>
              </w:rPr>
              <w:t>10.12</w:t>
            </w:r>
          </w:p>
        </w:tc>
        <w:tc>
          <w:tcPr>
            <w:tcW w:w="5320" w:type="dxa"/>
            <w:vAlign w:val="bottom"/>
          </w:tcPr>
          <w:p>
            <w:pPr>
              <w:ind w:left="960"/>
              <w:spacing w:after="0"/>
              <w:rPr>
                <w:sz w:val="20"/>
                <w:szCs w:val="20"/>
                <w:color w:val="auto"/>
              </w:rPr>
            </w:pPr>
            <w:r>
              <w:rPr>
                <w:rFonts w:ascii="Arial" w:cs="Arial" w:eastAsia="Arial" w:hAnsi="Arial"/>
                <w:sz w:val="18"/>
                <w:szCs w:val="18"/>
                <w:color w:val="auto"/>
                <w:w w:val="88"/>
              </w:rPr>
              <w:t>Executive Employment Agreement dated as of November 18,</w:t>
            </w:r>
          </w:p>
        </w:tc>
      </w:tr>
      <w:tr>
        <w:trPr>
          <w:trHeight w:val="212"/>
        </w:trPr>
        <w:tc>
          <w:tcPr>
            <w:tcW w:w="1360" w:type="dxa"/>
            <w:vAlign w:val="bottom"/>
          </w:tcPr>
          <w:p>
            <w:pPr>
              <w:spacing w:after="0"/>
              <w:rPr>
                <w:sz w:val="18"/>
                <w:szCs w:val="18"/>
                <w:color w:val="auto"/>
              </w:rPr>
            </w:pPr>
          </w:p>
        </w:tc>
        <w:tc>
          <w:tcPr>
            <w:tcW w:w="5320" w:type="dxa"/>
            <w:vAlign w:val="bottom"/>
          </w:tcPr>
          <w:p>
            <w:pPr>
              <w:ind w:left="960"/>
              <w:spacing w:after="0"/>
              <w:rPr>
                <w:sz w:val="20"/>
                <w:szCs w:val="20"/>
                <w:color w:val="auto"/>
              </w:rPr>
            </w:pPr>
            <w:r>
              <w:rPr>
                <w:rFonts w:ascii="Arial" w:cs="Arial" w:eastAsia="Arial" w:hAnsi="Arial"/>
                <w:sz w:val="18"/>
                <w:szCs w:val="18"/>
                <w:color w:val="auto"/>
              </w:rPr>
              <w:t>2011 between Northern Technologies International</w:t>
            </w:r>
          </w:p>
        </w:tc>
      </w:tr>
      <w:tr>
        <w:trPr>
          <w:trHeight w:val="223"/>
        </w:trPr>
        <w:tc>
          <w:tcPr>
            <w:tcW w:w="1360" w:type="dxa"/>
            <w:vAlign w:val="bottom"/>
          </w:tcPr>
          <w:p>
            <w:pPr>
              <w:spacing w:after="0"/>
              <w:rPr>
                <w:sz w:val="19"/>
                <w:szCs w:val="19"/>
                <w:color w:val="auto"/>
              </w:rPr>
            </w:pPr>
          </w:p>
        </w:tc>
        <w:tc>
          <w:tcPr>
            <w:tcW w:w="5320" w:type="dxa"/>
            <w:vAlign w:val="bottom"/>
          </w:tcPr>
          <w:p>
            <w:pPr>
              <w:ind w:left="960"/>
              <w:spacing w:after="0"/>
              <w:rPr>
                <w:sz w:val="20"/>
                <w:szCs w:val="20"/>
                <w:color w:val="auto"/>
              </w:rPr>
            </w:pPr>
            <w:r>
              <w:rPr>
                <w:rFonts w:ascii="Arial" w:cs="Arial" w:eastAsia="Arial" w:hAnsi="Arial"/>
                <w:sz w:val="18"/>
                <w:szCs w:val="18"/>
                <w:color w:val="auto"/>
              </w:rPr>
              <w:t>Corporation and Matthew C. Wolsfeld</w:t>
            </w:r>
          </w:p>
        </w:tc>
      </w:tr>
      <w:tr>
        <w:trPr>
          <w:trHeight w:val="439"/>
        </w:trPr>
        <w:tc>
          <w:tcPr>
            <w:tcW w:w="1360" w:type="dxa"/>
            <w:vAlign w:val="bottom"/>
          </w:tcPr>
          <w:p>
            <w:pPr>
              <w:spacing w:after="0"/>
              <w:rPr>
                <w:sz w:val="20"/>
                <w:szCs w:val="20"/>
                <w:color w:val="auto"/>
              </w:rPr>
            </w:pPr>
            <w:r>
              <w:rPr>
                <w:rFonts w:ascii="Arial" w:cs="Arial" w:eastAsia="Arial" w:hAnsi="Arial"/>
                <w:sz w:val="18"/>
                <w:szCs w:val="18"/>
                <w:color w:val="auto"/>
              </w:rPr>
              <w:t>10.13</w:t>
            </w:r>
          </w:p>
        </w:tc>
        <w:tc>
          <w:tcPr>
            <w:tcW w:w="5320" w:type="dxa"/>
            <w:vAlign w:val="bottom"/>
          </w:tcPr>
          <w:p>
            <w:pPr>
              <w:ind w:left="960"/>
              <w:spacing w:after="0"/>
              <w:rPr>
                <w:sz w:val="20"/>
                <w:szCs w:val="20"/>
                <w:color w:val="auto"/>
              </w:rPr>
            </w:pPr>
            <w:r>
              <w:rPr>
                <w:rFonts w:ascii="Arial" w:cs="Arial" w:eastAsia="Arial" w:hAnsi="Arial"/>
                <w:sz w:val="18"/>
                <w:szCs w:val="18"/>
                <w:color w:val="auto"/>
              </w:rPr>
              <w:t>Confidential Information, Inventions Assignment,</w:t>
            </w:r>
          </w:p>
        </w:tc>
      </w:tr>
      <w:tr>
        <w:trPr>
          <w:trHeight w:val="212"/>
        </w:trPr>
        <w:tc>
          <w:tcPr>
            <w:tcW w:w="1360" w:type="dxa"/>
            <w:vAlign w:val="bottom"/>
          </w:tcPr>
          <w:p>
            <w:pPr>
              <w:spacing w:after="0"/>
              <w:rPr>
                <w:sz w:val="18"/>
                <w:szCs w:val="18"/>
                <w:color w:val="auto"/>
              </w:rPr>
            </w:pPr>
          </w:p>
        </w:tc>
        <w:tc>
          <w:tcPr>
            <w:tcW w:w="5320" w:type="dxa"/>
            <w:vAlign w:val="bottom"/>
          </w:tcPr>
          <w:p>
            <w:pPr>
              <w:ind w:left="960"/>
              <w:spacing w:after="0"/>
              <w:rPr>
                <w:sz w:val="20"/>
                <w:szCs w:val="20"/>
                <w:color w:val="auto"/>
              </w:rPr>
            </w:pPr>
            <w:r>
              <w:rPr>
                <w:rFonts w:ascii="Arial" w:cs="Arial" w:eastAsia="Arial" w:hAnsi="Arial"/>
                <w:sz w:val="18"/>
                <w:szCs w:val="18"/>
                <w:color w:val="auto"/>
                <w:w w:val="90"/>
              </w:rPr>
              <w:t>Noncompetition and Non-Solicitation Agreement dated as of</w:t>
            </w:r>
          </w:p>
        </w:tc>
      </w:tr>
      <w:tr>
        <w:trPr>
          <w:trHeight w:val="212"/>
        </w:trPr>
        <w:tc>
          <w:tcPr>
            <w:tcW w:w="1360" w:type="dxa"/>
            <w:vAlign w:val="bottom"/>
          </w:tcPr>
          <w:p>
            <w:pPr>
              <w:spacing w:after="0"/>
              <w:rPr>
                <w:sz w:val="18"/>
                <w:szCs w:val="18"/>
                <w:color w:val="auto"/>
              </w:rPr>
            </w:pPr>
          </w:p>
        </w:tc>
        <w:tc>
          <w:tcPr>
            <w:tcW w:w="5320" w:type="dxa"/>
            <w:vAlign w:val="bottom"/>
          </w:tcPr>
          <w:p>
            <w:pPr>
              <w:ind w:left="960"/>
              <w:spacing w:after="0"/>
              <w:rPr>
                <w:sz w:val="20"/>
                <w:szCs w:val="20"/>
                <w:color w:val="auto"/>
              </w:rPr>
            </w:pPr>
            <w:r>
              <w:rPr>
                <w:rFonts w:ascii="Arial" w:cs="Arial" w:eastAsia="Arial" w:hAnsi="Arial"/>
                <w:sz w:val="18"/>
                <w:szCs w:val="18"/>
                <w:color w:val="auto"/>
              </w:rPr>
              <w:t>November 18, 2011 between Northern Technologies</w:t>
            </w:r>
          </w:p>
        </w:tc>
      </w:tr>
      <w:tr>
        <w:trPr>
          <w:trHeight w:val="223"/>
        </w:trPr>
        <w:tc>
          <w:tcPr>
            <w:tcW w:w="1360" w:type="dxa"/>
            <w:vAlign w:val="bottom"/>
          </w:tcPr>
          <w:p>
            <w:pPr>
              <w:spacing w:after="0"/>
              <w:rPr>
                <w:sz w:val="19"/>
                <w:szCs w:val="19"/>
                <w:color w:val="auto"/>
              </w:rPr>
            </w:pPr>
          </w:p>
        </w:tc>
        <w:tc>
          <w:tcPr>
            <w:tcW w:w="5320" w:type="dxa"/>
            <w:vAlign w:val="bottom"/>
          </w:tcPr>
          <w:p>
            <w:pPr>
              <w:ind w:left="960"/>
              <w:spacing w:after="0"/>
              <w:rPr>
                <w:sz w:val="20"/>
                <w:szCs w:val="20"/>
                <w:color w:val="auto"/>
              </w:rPr>
            </w:pPr>
            <w:r>
              <w:rPr>
                <w:rFonts w:ascii="Arial" w:cs="Arial" w:eastAsia="Arial" w:hAnsi="Arial"/>
                <w:sz w:val="18"/>
                <w:szCs w:val="18"/>
                <w:color w:val="auto"/>
              </w:rPr>
              <w:t>International Corporation and Matthew C. Wolsfeld</w:t>
            </w:r>
          </w:p>
        </w:tc>
      </w:tr>
      <w:tr>
        <w:trPr>
          <w:trHeight w:val="439"/>
        </w:trPr>
        <w:tc>
          <w:tcPr>
            <w:tcW w:w="1360" w:type="dxa"/>
            <w:vAlign w:val="bottom"/>
          </w:tcPr>
          <w:p>
            <w:pPr>
              <w:spacing w:after="0"/>
              <w:rPr>
                <w:sz w:val="20"/>
                <w:szCs w:val="20"/>
                <w:color w:val="auto"/>
              </w:rPr>
            </w:pPr>
            <w:r>
              <w:rPr>
                <w:rFonts w:ascii="Arial" w:cs="Arial" w:eastAsia="Arial" w:hAnsi="Arial"/>
                <w:sz w:val="18"/>
                <w:szCs w:val="18"/>
                <w:color w:val="auto"/>
              </w:rPr>
              <w:t>10.14</w:t>
            </w:r>
          </w:p>
        </w:tc>
        <w:tc>
          <w:tcPr>
            <w:tcW w:w="5320" w:type="dxa"/>
            <w:vAlign w:val="bottom"/>
          </w:tcPr>
          <w:p>
            <w:pPr>
              <w:ind w:left="960"/>
              <w:spacing w:after="0"/>
              <w:rPr>
                <w:sz w:val="20"/>
                <w:szCs w:val="20"/>
                <w:color w:val="auto"/>
              </w:rPr>
            </w:pPr>
            <w:r>
              <w:rPr>
                <w:rFonts w:ascii="Arial" w:cs="Arial" w:eastAsia="Arial" w:hAnsi="Arial"/>
                <w:sz w:val="18"/>
                <w:szCs w:val="18"/>
                <w:color w:val="auto"/>
                <w:w w:val="91"/>
              </w:rPr>
              <w:t>Amended and Restated Term Note dated as of January 10,</w:t>
            </w:r>
          </w:p>
        </w:tc>
      </w:tr>
      <w:tr>
        <w:trPr>
          <w:trHeight w:val="212"/>
        </w:trPr>
        <w:tc>
          <w:tcPr>
            <w:tcW w:w="1360" w:type="dxa"/>
            <w:vAlign w:val="bottom"/>
          </w:tcPr>
          <w:p>
            <w:pPr>
              <w:spacing w:after="0"/>
              <w:rPr>
                <w:sz w:val="18"/>
                <w:szCs w:val="18"/>
                <w:color w:val="auto"/>
              </w:rPr>
            </w:pPr>
          </w:p>
        </w:tc>
        <w:tc>
          <w:tcPr>
            <w:tcW w:w="5320" w:type="dxa"/>
            <w:vAlign w:val="bottom"/>
          </w:tcPr>
          <w:p>
            <w:pPr>
              <w:ind w:left="960"/>
              <w:spacing w:after="0"/>
              <w:rPr>
                <w:sz w:val="20"/>
                <w:szCs w:val="20"/>
                <w:color w:val="auto"/>
              </w:rPr>
            </w:pPr>
            <w:r>
              <w:rPr>
                <w:rFonts w:ascii="Arial" w:cs="Arial" w:eastAsia="Arial" w:hAnsi="Arial"/>
                <w:sz w:val="18"/>
                <w:szCs w:val="18"/>
                <w:color w:val="auto"/>
                <w:w w:val="94"/>
              </w:rPr>
              <w:t>2011 issued by Northern Technologies Holding Company,</w:t>
            </w:r>
          </w:p>
        </w:tc>
      </w:tr>
      <w:tr>
        <w:trPr>
          <w:trHeight w:val="223"/>
        </w:trPr>
        <w:tc>
          <w:tcPr>
            <w:tcW w:w="1360" w:type="dxa"/>
            <w:vAlign w:val="bottom"/>
          </w:tcPr>
          <w:p>
            <w:pPr>
              <w:spacing w:after="0"/>
              <w:rPr>
                <w:sz w:val="19"/>
                <w:szCs w:val="19"/>
                <w:color w:val="auto"/>
              </w:rPr>
            </w:pPr>
          </w:p>
        </w:tc>
        <w:tc>
          <w:tcPr>
            <w:tcW w:w="5320" w:type="dxa"/>
            <w:vAlign w:val="bottom"/>
          </w:tcPr>
          <w:p>
            <w:pPr>
              <w:ind w:left="960"/>
              <w:spacing w:after="0"/>
              <w:rPr>
                <w:sz w:val="20"/>
                <w:szCs w:val="20"/>
                <w:color w:val="auto"/>
              </w:rPr>
            </w:pPr>
            <w:r>
              <w:rPr>
                <w:rFonts w:ascii="Arial" w:cs="Arial" w:eastAsia="Arial" w:hAnsi="Arial"/>
                <w:sz w:val="18"/>
                <w:szCs w:val="18"/>
                <w:color w:val="auto"/>
              </w:rPr>
              <w:t>LLC to PNC Bank, National Association</w:t>
            </w:r>
          </w:p>
        </w:tc>
      </w:tr>
      <w:tr>
        <w:trPr>
          <w:trHeight w:val="809"/>
        </w:trPr>
        <w:tc>
          <w:tcPr>
            <w:tcW w:w="1360" w:type="dxa"/>
            <w:vAlign w:val="bottom"/>
          </w:tcPr>
          <w:p>
            <w:pPr>
              <w:spacing w:after="0"/>
              <w:rPr>
                <w:sz w:val="24"/>
                <w:szCs w:val="24"/>
                <w:color w:val="auto"/>
              </w:rPr>
            </w:pPr>
          </w:p>
        </w:tc>
        <w:tc>
          <w:tcPr>
            <w:tcW w:w="5320" w:type="dxa"/>
            <w:vAlign w:val="bottom"/>
          </w:tcPr>
          <w:p>
            <w:pPr>
              <w:ind w:left="4260"/>
              <w:spacing w:after="0"/>
              <w:rPr>
                <w:sz w:val="20"/>
                <w:szCs w:val="20"/>
                <w:color w:val="auto"/>
              </w:rPr>
            </w:pPr>
            <w:r>
              <w:rPr>
                <w:rFonts w:ascii="Arial" w:cs="Arial" w:eastAsia="Arial" w:hAnsi="Arial"/>
                <w:sz w:val="18"/>
                <w:szCs w:val="18"/>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725360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Incorporated by reference to Item 5.02 to NTIC’s</w:t>
      </w:r>
    </w:p>
    <w:p>
      <w:pPr>
        <w:spacing w:after="0" w:line="16" w:lineRule="exact"/>
        <w:rPr>
          <w:sz w:val="20"/>
          <w:szCs w:val="20"/>
          <w:color w:val="auto"/>
        </w:rPr>
      </w:pPr>
    </w:p>
    <w:p>
      <w:pPr>
        <w:jc w:val="center"/>
        <w:ind w:left="40" w:right="20"/>
        <w:spacing w:after="0" w:line="248" w:lineRule="auto"/>
        <w:rPr>
          <w:sz w:val="20"/>
          <w:szCs w:val="20"/>
          <w:color w:val="auto"/>
        </w:rPr>
      </w:pPr>
      <w:r>
        <w:rPr>
          <w:rFonts w:ascii="Arial" w:cs="Arial" w:eastAsia="Arial" w:hAnsi="Arial"/>
          <w:sz w:val="18"/>
          <w:szCs w:val="18"/>
          <w:color w:val="auto"/>
        </w:rPr>
        <w:t>Current Report on Form 8-K as filed with the Securities and Exchange Commission on September 27, 2011 (File No. 001-11038)</w:t>
      </w:r>
    </w:p>
    <w:p>
      <w:pPr>
        <w:spacing w:after="0" w:line="222" w:lineRule="exact"/>
        <w:rPr>
          <w:sz w:val="20"/>
          <w:szCs w:val="20"/>
          <w:color w:val="auto"/>
        </w:rPr>
      </w:pPr>
    </w:p>
    <w:p>
      <w:pPr>
        <w:jc w:val="center"/>
        <w:ind w:left="40" w:right="20"/>
        <w:spacing w:after="0" w:line="252" w:lineRule="auto"/>
        <w:rPr>
          <w:sz w:val="20"/>
          <w:szCs w:val="20"/>
          <w:color w:val="auto"/>
        </w:rPr>
      </w:pPr>
      <w:r>
        <w:rPr>
          <w:rFonts w:ascii="Arial" w:cs="Arial" w:eastAsia="Arial" w:hAnsi="Arial"/>
          <w:sz w:val="18"/>
          <w:szCs w:val="18"/>
          <w:color w:val="auto"/>
        </w:rPr>
        <w:t>Incorporated by reference to Exhibit 10.1 to NTIC’s Current Report on Form 8-K as filed with the Securities and Exchange Commission on November 24, 2008 (File No. 001-11038)</w:t>
      </w:r>
    </w:p>
    <w:p>
      <w:pPr>
        <w:spacing w:after="0" w:line="218" w:lineRule="exact"/>
        <w:rPr>
          <w:sz w:val="20"/>
          <w:szCs w:val="20"/>
          <w:color w:val="auto"/>
        </w:rPr>
      </w:pPr>
    </w:p>
    <w:p>
      <w:pPr>
        <w:jc w:val="center"/>
        <w:ind w:left="160" w:right="20"/>
        <w:spacing w:after="0" w:line="330" w:lineRule="auto"/>
        <w:rPr>
          <w:sz w:val="20"/>
          <w:szCs w:val="20"/>
          <w:color w:val="auto"/>
        </w:rPr>
      </w:pPr>
      <w:r>
        <w:rPr>
          <w:rFonts w:ascii="Arial" w:cs="Arial" w:eastAsia="Arial" w:hAnsi="Arial"/>
          <w:sz w:val="15"/>
          <w:szCs w:val="15"/>
          <w:color w:val="auto"/>
        </w:rPr>
        <w:t>Incorporated by reference to Exhibit 10.2 to NTIC’s Quarterly Report on Form 10-Q for the fiscal quarter ended February 28, 2009 (File No. 001-11038)</w:t>
      </w:r>
    </w:p>
    <w:p>
      <w:pPr>
        <w:spacing w:after="0" w:line="164"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56" w:lineRule="exact"/>
        <w:rPr>
          <w:sz w:val="20"/>
          <w:szCs w:val="20"/>
          <w:color w:val="auto"/>
        </w:rPr>
      </w:pPr>
    </w:p>
    <w:p>
      <w:pPr>
        <w:jc w:val="center"/>
        <w:ind w:left="100" w:right="20"/>
        <w:spacing w:after="0" w:line="277" w:lineRule="auto"/>
        <w:rPr>
          <w:sz w:val="20"/>
          <w:szCs w:val="20"/>
          <w:color w:val="auto"/>
        </w:rPr>
      </w:pPr>
      <w:r>
        <w:rPr>
          <w:rFonts w:ascii="Arial" w:cs="Arial" w:eastAsia="Arial" w:hAnsi="Arial"/>
          <w:sz w:val="17"/>
          <w:szCs w:val="17"/>
          <w:color w:val="auto"/>
        </w:rPr>
        <w:t>Incorporated by reference to Exhibit 10.13 to NTIC’s Annual Report on Form 10-K for the fiscal year ended August 31, 2011 (File No. 001-11038)</w:t>
      </w:r>
    </w:p>
    <w:p>
      <w:pPr>
        <w:spacing w:after="0" w:line="198" w:lineRule="exact"/>
        <w:rPr>
          <w:sz w:val="20"/>
          <w:szCs w:val="20"/>
          <w:color w:val="auto"/>
        </w:rPr>
      </w:pPr>
    </w:p>
    <w:p>
      <w:pPr>
        <w:jc w:val="center"/>
        <w:ind w:left="100" w:right="20"/>
        <w:spacing w:after="0" w:line="277" w:lineRule="auto"/>
        <w:rPr>
          <w:sz w:val="20"/>
          <w:szCs w:val="20"/>
          <w:color w:val="auto"/>
        </w:rPr>
      </w:pPr>
      <w:r>
        <w:rPr>
          <w:rFonts w:ascii="Arial" w:cs="Arial" w:eastAsia="Arial" w:hAnsi="Arial"/>
          <w:sz w:val="17"/>
          <w:szCs w:val="17"/>
          <w:color w:val="auto"/>
        </w:rPr>
        <w:t>Incorporated by reference to Exhibit 10.14 to NTIC’s Annual Report on Form 10-K for the fiscal year ended August 31, 2011 (File No. 001-11038)</w:t>
      </w:r>
    </w:p>
    <w:p>
      <w:pPr>
        <w:spacing w:after="0" w:line="200" w:lineRule="exact"/>
        <w:rPr>
          <w:sz w:val="20"/>
          <w:szCs w:val="20"/>
          <w:color w:val="auto"/>
        </w:rPr>
      </w:pPr>
    </w:p>
    <w:p>
      <w:pPr>
        <w:spacing w:after="0" w:line="210" w:lineRule="exact"/>
        <w:rPr>
          <w:sz w:val="20"/>
          <w:szCs w:val="20"/>
          <w:color w:val="auto"/>
        </w:rPr>
      </w:pPr>
    </w:p>
    <w:p>
      <w:pPr>
        <w:jc w:val="center"/>
        <w:ind w:left="100" w:right="20"/>
        <w:spacing w:after="0" w:line="277" w:lineRule="auto"/>
        <w:rPr>
          <w:sz w:val="20"/>
          <w:szCs w:val="20"/>
          <w:color w:val="auto"/>
        </w:rPr>
      </w:pPr>
      <w:r>
        <w:rPr>
          <w:rFonts w:ascii="Arial" w:cs="Arial" w:eastAsia="Arial" w:hAnsi="Arial"/>
          <w:sz w:val="17"/>
          <w:szCs w:val="17"/>
          <w:color w:val="auto"/>
        </w:rPr>
        <w:t>Incorporated by reference to Exhibit 10.15 to NTIC’s Annual Report on Form 10-K for the fiscal year ended August 31, 2011 (File No. 001-11038)</w:t>
      </w:r>
    </w:p>
    <w:p>
      <w:pPr>
        <w:spacing w:after="0" w:line="198" w:lineRule="exact"/>
        <w:rPr>
          <w:sz w:val="20"/>
          <w:szCs w:val="20"/>
          <w:color w:val="auto"/>
        </w:rPr>
      </w:pPr>
    </w:p>
    <w:p>
      <w:pPr>
        <w:jc w:val="center"/>
        <w:ind w:left="100" w:right="20"/>
        <w:spacing w:after="0" w:line="277" w:lineRule="auto"/>
        <w:rPr>
          <w:sz w:val="20"/>
          <w:szCs w:val="20"/>
          <w:color w:val="auto"/>
        </w:rPr>
      </w:pPr>
      <w:r>
        <w:rPr>
          <w:rFonts w:ascii="Arial" w:cs="Arial" w:eastAsia="Arial" w:hAnsi="Arial"/>
          <w:sz w:val="17"/>
          <w:szCs w:val="17"/>
          <w:color w:val="auto"/>
        </w:rPr>
        <w:t>Incorporated by reference to Exhibit 10.16 to NTIC’s Annual Report on Form 10-K for the fiscal year ended August 31, 2011 (File No. 001-11038)</w:t>
      </w:r>
    </w:p>
    <w:p>
      <w:pPr>
        <w:spacing w:after="0" w:line="200" w:lineRule="exact"/>
        <w:rPr>
          <w:sz w:val="20"/>
          <w:szCs w:val="20"/>
          <w:color w:val="auto"/>
        </w:rPr>
      </w:pPr>
    </w:p>
    <w:p>
      <w:pPr>
        <w:spacing w:after="0" w:line="210" w:lineRule="exact"/>
        <w:rPr>
          <w:sz w:val="20"/>
          <w:szCs w:val="20"/>
          <w:color w:val="auto"/>
        </w:rPr>
      </w:pPr>
    </w:p>
    <w:p>
      <w:pPr>
        <w:jc w:val="center"/>
        <w:spacing w:after="0" w:line="252" w:lineRule="auto"/>
        <w:rPr>
          <w:sz w:val="20"/>
          <w:szCs w:val="20"/>
          <w:color w:val="auto"/>
        </w:rPr>
      </w:pPr>
      <w:r>
        <w:rPr>
          <w:rFonts w:ascii="Arial" w:cs="Arial" w:eastAsia="Arial" w:hAnsi="Arial"/>
          <w:sz w:val="18"/>
          <w:szCs w:val="18"/>
          <w:color w:val="auto"/>
        </w:rPr>
        <w:t>Incorporated by reference to Exhibit 10.1 to NTIC’s Current Report on Form 8-K as filed with the Securities and Exchange Commission on January 12, 2011 (File No. 001-11038)</w:t>
      </w:r>
    </w:p>
    <w:p>
      <w:pPr>
        <w:sectPr>
          <w:pgSz w:w="11900" w:h="16838" w:orient="portrait"/>
          <w:cols w:equalWidth="0" w:num="2">
            <w:col w:w="6680" w:space="660"/>
            <w:col w:w="4080"/>
          </w:cols>
          <w:pgMar w:left="240" w:top="512"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12"/>
        </w:trPr>
        <w:tc>
          <w:tcPr>
            <w:tcW w:w="1360" w:type="dxa"/>
            <w:vAlign w:val="bottom"/>
          </w:tcPr>
          <w:p>
            <w:pPr>
              <w:spacing w:after="0"/>
              <w:rPr>
                <w:sz w:val="20"/>
                <w:szCs w:val="20"/>
                <w:color w:val="auto"/>
              </w:rPr>
            </w:pPr>
            <w:r>
              <w:rPr>
                <w:rFonts w:ascii="Arial" w:cs="Arial" w:eastAsia="Arial" w:hAnsi="Arial"/>
                <w:sz w:val="18"/>
                <w:szCs w:val="18"/>
                <w:color w:val="auto"/>
              </w:rPr>
              <w:t>10.15</w:t>
            </w:r>
          </w:p>
        </w:tc>
        <w:tc>
          <w:tcPr>
            <w:tcW w:w="5380" w:type="dxa"/>
            <w:vAlign w:val="bottom"/>
          </w:tcPr>
          <w:p>
            <w:pPr>
              <w:ind w:left="960"/>
              <w:spacing w:after="0"/>
              <w:rPr>
                <w:sz w:val="20"/>
                <w:szCs w:val="20"/>
                <w:color w:val="auto"/>
              </w:rPr>
            </w:pPr>
            <w:r>
              <w:rPr>
                <w:rFonts w:ascii="Arial" w:cs="Arial" w:eastAsia="Arial" w:hAnsi="Arial"/>
                <w:sz w:val="18"/>
                <w:szCs w:val="18"/>
                <w:color w:val="auto"/>
                <w:w w:val="90"/>
              </w:rPr>
              <w:t>Amended and Restated Committed Line of Credit Note dated</w:t>
            </w:r>
          </w:p>
        </w:tc>
      </w:tr>
      <w:tr>
        <w:trPr>
          <w:trHeight w:val="212"/>
        </w:trPr>
        <w:tc>
          <w:tcPr>
            <w:tcW w:w="1360" w:type="dxa"/>
            <w:vAlign w:val="bottom"/>
          </w:tcPr>
          <w:p>
            <w:pPr>
              <w:spacing w:after="0"/>
              <w:rPr>
                <w:sz w:val="18"/>
                <w:szCs w:val="18"/>
                <w:color w:val="auto"/>
              </w:rPr>
            </w:pPr>
          </w:p>
        </w:tc>
        <w:tc>
          <w:tcPr>
            <w:tcW w:w="5380" w:type="dxa"/>
            <w:vAlign w:val="bottom"/>
          </w:tcPr>
          <w:p>
            <w:pPr>
              <w:ind w:left="960"/>
              <w:spacing w:after="0"/>
              <w:rPr>
                <w:sz w:val="20"/>
                <w:szCs w:val="20"/>
                <w:color w:val="auto"/>
              </w:rPr>
            </w:pPr>
            <w:r>
              <w:rPr>
                <w:rFonts w:ascii="Arial" w:cs="Arial" w:eastAsia="Arial" w:hAnsi="Arial"/>
                <w:sz w:val="18"/>
                <w:szCs w:val="18"/>
                <w:color w:val="auto"/>
                <w:w w:val="97"/>
              </w:rPr>
              <w:t>as of January 10, 2011 issued by Northern Technologies</w:t>
            </w:r>
          </w:p>
        </w:tc>
      </w:tr>
      <w:tr>
        <w:trPr>
          <w:trHeight w:val="223"/>
        </w:trPr>
        <w:tc>
          <w:tcPr>
            <w:tcW w:w="1360" w:type="dxa"/>
            <w:vAlign w:val="bottom"/>
          </w:tcPr>
          <w:p>
            <w:pPr>
              <w:spacing w:after="0"/>
              <w:rPr>
                <w:sz w:val="19"/>
                <w:szCs w:val="19"/>
                <w:color w:val="auto"/>
              </w:rPr>
            </w:pPr>
          </w:p>
        </w:tc>
        <w:tc>
          <w:tcPr>
            <w:tcW w:w="5380" w:type="dxa"/>
            <w:vAlign w:val="bottom"/>
          </w:tcPr>
          <w:p>
            <w:pPr>
              <w:ind w:left="960"/>
              <w:spacing w:after="0"/>
              <w:rPr>
                <w:sz w:val="20"/>
                <w:szCs w:val="20"/>
                <w:color w:val="auto"/>
              </w:rPr>
            </w:pPr>
            <w:r>
              <w:rPr>
                <w:rFonts w:ascii="Arial" w:cs="Arial" w:eastAsia="Arial" w:hAnsi="Arial"/>
                <w:sz w:val="18"/>
                <w:szCs w:val="18"/>
                <w:color w:val="auto"/>
                <w:w w:val="91"/>
              </w:rPr>
              <w:t>International Corporation to PNC Bank, National Association</w:t>
            </w:r>
          </w:p>
        </w:tc>
      </w:tr>
      <w:tr>
        <w:trPr>
          <w:trHeight w:val="652"/>
        </w:trPr>
        <w:tc>
          <w:tcPr>
            <w:tcW w:w="1360" w:type="dxa"/>
            <w:vAlign w:val="bottom"/>
          </w:tcPr>
          <w:p>
            <w:pPr>
              <w:spacing w:after="0"/>
              <w:rPr>
                <w:sz w:val="20"/>
                <w:szCs w:val="20"/>
                <w:color w:val="auto"/>
              </w:rPr>
            </w:pPr>
            <w:r>
              <w:rPr>
                <w:rFonts w:ascii="Arial" w:cs="Arial" w:eastAsia="Arial" w:hAnsi="Arial"/>
                <w:sz w:val="18"/>
                <w:szCs w:val="18"/>
                <w:color w:val="auto"/>
              </w:rPr>
              <w:t>10.16</w:t>
            </w:r>
          </w:p>
        </w:tc>
        <w:tc>
          <w:tcPr>
            <w:tcW w:w="5380" w:type="dxa"/>
            <w:vAlign w:val="bottom"/>
          </w:tcPr>
          <w:p>
            <w:pPr>
              <w:ind w:left="960"/>
              <w:spacing w:after="0"/>
              <w:rPr>
                <w:sz w:val="20"/>
                <w:szCs w:val="20"/>
                <w:color w:val="auto"/>
              </w:rPr>
            </w:pPr>
            <w:r>
              <w:rPr>
                <w:rFonts w:ascii="Arial" w:cs="Arial" w:eastAsia="Arial" w:hAnsi="Arial"/>
                <w:sz w:val="18"/>
                <w:szCs w:val="18"/>
                <w:color w:val="auto"/>
                <w:w w:val="93"/>
              </w:rPr>
              <w:t>Security Agreement dated as of January 10, 2011 between</w:t>
            </w:r>
          </w:p>
        </w:tc>
      </w:tr>
      <w:tr>
        <w:trPr>
          <w:trHeight w:val="212"/>
        </w:trPr>
        <w:tc>
          <w:tcPr>
            <w:tcW w:w="1360" w:type="dxa"/>
            <w:vAlign w:val="bottom"/>
          </w:tcPr>
          <w:p>
            <w:pPr>
              <w:spacing w:after="0"/>
              <w:rPr>
                <w:sz w:val="18"/>
                <w:szCs w:val="18"/>
                <w:color w:val="auto"/>
              </w:rPr>
            </w:pPr>
          </w:p>
        </w:tc>
        <w:tc>
          <w:tcPr>
            <w:tcW w:w="5380" w:type="dxa"/>
            <w:vAlign w:val="bottom"/>
          </w:tcPr>
          <w:p>
            <w:pPr>
              <w:ind w:left="960"/>
              <w:spacing w:after="0"/>
              <w:rPr>
                <w:sz w:val="20"/>
                <w:szCs w:val="20"/>
                <w:color w:val="auto"/>
              </w:rPr>
            </w:pPr>
            <w:r>
              <w:rPr>
                <w:rFonts w:ascii="Arial" w:cs="Arial" w:eastAsia="Arial" w:hAnsi="Arial"/>
                <w:sz w:val="18"/>
                <w:szCs w:val="18"/>
                <w:color w:val="auto"/>
                <w:w w:val="94"/>
              </w:rPr>
              <w:t>Northern Technologies International Corporation and PNC</w:t>
            </w:r>
          </w:p>
        </w:tc>
      </w:tr>
      <w:tr>
        <w:trPr>
          <w:trHeight w:val="223"/>
        </w:trPr>
        <w:tc>
          <w:tcPr>
            <w:tcW w:w="1360" w:type="dxa"/>
            <w:vAlign w:val="bottom"/>
          </w:tcPr>
          <w:p>
            <w:pPr>
              <w:spacing w:after="0"/>
              <w:rPr>
                <w:sz w:val="19"/>
                <w:szCs w:val="19"/>
                <w:color w:val="auto"/>
              </w:rPr>
            </w:pPr>
          </w:p>
        </w:tc>
        <w:tc>
          <w:tcPr>
            <w:tcW w:w="5380" w:type="dxa"/>
            <w:vAlign w:val="bottom"/>
          </w:tcPr>
          <w:p>
            <w:pPr>
              <w:ind w:left="960"/>
              <w:spacing w:after="0"/>
              <w:rPr>
                <w:sz w:val="20"/>
                <w:szCs w:val="20"/>
                <w:color w:val="auto"/>
              </w:rPr>
            </w:pPr>
            <w:r>
              <w:rPr>
                <w:rFonts w:ascii="Arial" w:cs="Arial" w:eastAsia="Arial" w:hAnsi="Arial"/>
                <w:sz w:val="18"/>
                <w:szCs w:val="18"/>
                <w:color w:val="auto"/>
              </w:rPr>
              <w:t>Bank, National Association</w:t>
            </w:r>
          </w:p>
        </w:tc>
      </w:tr>
      <w:tr>
        <w:trPr>
          <w:trHeight w:val="652"/>
        </w:trPr>
        <w:tc>
          <w:tcPr>
            <w:tcW w:w="1360" w:type="dxa"/>
            <w:vAlign w:val="bottom"/>
          </w:tcPr>
          <w:p>
            <w:pPr>
              <w:spacing w:after="0"/>
              <w:rPr>
                <w:sz w:val="20"/>
                <w:szCs w:val="20"/>
                <w:color w:val="auto"/>
              </w:rPr>
            </w:pPr>
            <w:r>
              <w:rPr>
                <w:rFonts w:ascii="Arial" w:cs="Arial" w:eastAsia="Arial" w:hAnsi="Arial"/>
                <w:sz w:val="18"/>
                <w:szCs w:val="18"/>
                <w:color w:val="auto"/>
              </w:rPr>
              <w:t>10.17</w:t>
            </w:r>
          </w:p>
        </w:tc>
        <w:tc>
          <w:tcPr>
            <w:tcW w:w="5380" w:type="dxa"/>
            <w:vAlign w:val="bottom"/>
          </w:tcPr>
          <w:p>
            <w:pPr>
              <w:ind w:left="960"/>
              <w:spacing w:after="0"/>
              <w:rPr>
                <w:sz w:val="20"/>
                <w:szCs w:val="20"/>
                <w:color w:val="auto"/>
              </w:rPr>
            </w:pPr>
            <w:r>
              <w:rPr>
                <w:rFonts w:ascii="Arial" w:cs="Arial" w:eastAsia="Arial" w:hAnsi="Arial"/>
                <w:sz w:val="18"/>
                <w:szCs w:val="18"/>
                <w:color w:val="auto"/>
                <w:w w:val="96"/>
              </w:rPr>
              <w:t>Amended and Restated Guaranty Agreement dated as of</w:t>
            </w:r>
          </w:p>
        </w:tc>
      </w:tr>
      <w:tr>
        <w:trPr>
          <w:trHeight w:val="212"/>
        </w:trPr>
        <w:tc>
          <w:tcPr>
            <w:tcW w:w="1360" w:type="dxa"/>
            <w:vAlign w:val="bottom"/>
          </w:tcPr>
          <w:p>
            <w:pPr>
              <w:spacing w:after="0"/>
              <w:rPr>
                <w:sz w:val="18"/>
                <w:szCs w:val="18"/>
                <w:color w:val="auto"/>
              </w:rPr>
            </w:pPr>
          </w:p>
        </w:tc>
        <w:tc>
          <w:tcPr>
            <w:tcW w:w="5380" w:type="dxa"/>
            <w:vAlign w:val="bottom"/>
          </w:tcPr>
          <w:p>
            <w:pPr>
              <w:ind w:left="960"/>
              <w:spacing w:after="0"/>
              <w:rPr>
                <w:sz w:val="20"/>
                <w:szCs w:val="20"/>
                <w:color w:val="auto"/>
              </w:rPr>
            </w:pPr>
            <w:r>
              <w:rPr>
                <w:rFonts w:ascii="Arial" w:cs="Arial" w:eastAsia="Arial" w:hAnsi="Arial"/>
                <w:sz w:val="18"/>
                <w:szCs w:val="18"/>
                <w:color w:val="auto"/>
                <w:w w:val="96"/>
              </w:rPr>
              <w:t>January 10, 2011 by Northern Technologies International</w:t>
            </w:r>
          </w:p>
        </w:tc>
      </w:tr>
      <w:tr>
        <w:trPr>
          <w:trHeight w:val="223"/>
        </w:trPr>
        <w:tc>
          <w:tcPr>
            <w:tcW w:w="1360" w:type="dxa"/>
            <w:vAlign w:val="bottom"/>
          </w:tcPr>
          <w:p>
            <w:pPr>
              <w:spacing w:after="0"/>
              <w:rPr>
                <w:sz w:val="19"/>
                <w:szCs w:val="19"/>
                <w:color w:val="auto"/>
              </w:rPr>
            </w:pPr>
          </w:p>
        </w:tc>
        <w:tc>
          <w:tcPr>
            <w:tcW w:w="5380" w:type="dxa"/>
            <w:vAlign w:val="bottom"/>
          </w:tcPr>
          <w:p>
            <w:pPr>
              <w:ind w:left="960"/>
              <w:spacing w:after="0"/>
              <w:rPr>
                <w:sz w:val="20"/>
                <w:szCs w:val="20"/>
                <w:color w:val="auto"/>
              </w:rPr>
            </w:pPr>
            <w:r>
              <w:rPr>
                <w:rFonts w:ascii="Arial" w:cs="Arial" w:eastAsia="Arial" w:hAnsi="Arial"/>
                <w:sz w:val="18"/>
                <w:szCs w:val="18"/>
                <w:color w:val="auto"/>
                <w:w w:val="99"/>
              </w:rPr>
              <w:t>Corporation in favor of PNC Bank, National Association</w:t>
            </w:r>
          </w:p>
        </w:tc>
      </w:tr>
      <w:tr>
        <w:trPr>
          <w:trHeight w:val="652"/>
        </w:trPr>
        <w:tc>
          <w:tcPr>
            <w:tcW w:w="1360" w:type="dxa"/>
            <w:vAlign w:val="bottom"/>
          </w:tcPr>
          <w:p>
            <w:pPr>
              <w:spacing w:after="0"/>
              <w:rPr>
                <w:sz w:val="20"/>
                <w:szCs w:val="20"/>
                <w:color w:val="auto"/>
              </w:rPr>
            </w:pPr>
            <w:r>
              <w:rPr>
                <w:rFonts w:ascii="Arial" w:cs="Arial" w:eastAsia="Arial" w:hAnsi="Arial"/>
                <w:sz w:val="18"/>
                <w:szCs w:val="18"/>
                <w:color w:val="auto"/>
              </w:rPr>
              <w:t>10.18</w:t>
            </w:r>
          </w:p>
        </w:tc>
        <w:tc>
          <w:tcPr>
            <w:tcW w:w="5380" w:type="dxa"/>
            <w:vAlign w:val="bottom"/>
          </w:tcPr>
          <w:p>
            <w:pPr>
              <w:ind w:left="960"/>
              <w:spacing w:after="0"/>
              <w:rPr>
                <w:sz w:val="20"/>
                <w:szCs w:val="20"/>
                <w:color w:val="auto"/>
              </w:rPr>
            </w:pPr>
            <w:r>
              <w:rPr>
                <w:rFonts w:ascii="Arial" w:cs="Arial" w:eastAsia="Arial" w:hAnsi="Arial"/>
                <w:sz w:val="18"/>
                <w:szCs w:val="18"/>
                <w:color w:val="auto"/>
                <w:w w:val="99"/>
              </w:rPr>
              <w:t>Loan Agreement dated as of January 10, 2011 between</w:t>
            </w:r>
          </w:p>
        </w:tc>
      </w:tr>
      <w:tr>
        <w:trPr>
          <w:trHeight w:val="212"/>
        </w:trPr>
        <w:tc>
          <w:tcPr>
            <w:tcW w:w="1360" w:type="dxa"/>
            <w:vAlign w:val="bottom"/>
          </w:tcPr>
          <w:p>
            <w:pPr>
              <w:spacing w:after="0"/>
              <w:rPr>
                <w:sz w:val="18"/>
                <w:szCs w:val="18"/>
                <w:color w:val="auto"/>
              </w:rPr>
            </w:pPr>
          </w:p>
        </w:tc>
        <w:tc>
          <w:tcPr>
            <w:tcW w:w="5380" w:type="dxa"/>
            <w:vAlign w:val="bottom"/>
          </w:tcPr>
          <w:p>
            <w:pPr>
              <w:ind w:left="960"/>
              <w:spacing w:after="0"/>
              <w:rPr>
                <w:sz w:val="20"/>
                <w:szCs w:val="20"/>
                <w:color w:val="auto"/>
              </w:rPr>
            </w:pPr>
            <w:r>
              <w:rPr>
                <w:rFonts w:ascii="Arial" w:cs="Arial" w:eastAsia="Arial" w:hAnsi="Arial"/>
                <w:sz w:val="18"/>
                <w:szCs w:val="18"/>
                <w:color w:val="auto"/>
                <w:w w:val="97"/>
              </w:rPr>
              <w:t>Northern Technologies Holding Company, LLC and PNC</w:t>
            </w:r>
          </w:p>
        </w:tc>
      </w:tr>
      <w:tr>
        <w:trPr>
          <w:trHeight w:val="223"/>
        </w:trPr>
        <w:tc>
          <w:tcPr>
            <w:tcW w:w="1360" w:type="dxa"/>
            <w:vAlign w:val="bottom"/>
          </w:tcPr>
          <w:p>
            <w:pPr>
              <w:spacing w:after="0"/>
              <w:rPr>
                <w:sz w:val="19"/>
                <w:szCs w:val="19"/>
                <w:color w:val="auto"/>
              </w:rPr>
            </w:pPr>
          </w:p>
        </w:tc>
        <w:tc>
          <w:tcPr>
            <w:tcW w:w="5380" w:type="dxa"/>
            <w:vAlign w:val="bottom"/>
          </w:tcPr>
          <w:p>
            <w:pPr>
              <w:ind w:left="960"/>
              <w:spacing w:after="0"/>
              <w:rPr>
                <w:sz w:val="20"/>
                <w:szCs w:val="20"/>
                <w:color w:val="auto"/>
              </w:rPr>
            </w:pPr>
            <w:r>
              <w:rPr>
                <w:rFonts w:ascii="Arial" w:cs="Arial" w:eastAsia="Arial" w:hAnsi="Arial"/>
                <w:sz w:val="18"/>
                <w:szCs w:val="18"/>
                <w:color w:val="auto"/>
              </w:rPr>
              <w:t>Bank, National Association</w:t>
            </w:r>
          </w:p>
        </w:tc>
      </w:tr>
      <w:tr>
        <w:trPr>
          <w:trHeight w:val="652"/>
        </w:trPr>
        <w:tc>
          <w:tcPr>
            <w:tcW w:w="1360" w:type="dxa"/>
            <w:vAlign w:val="bottom"/>
          </w:tcPr>
          <w:p>
            <w:pPr>
              <w:spacing w:after="0"/>
              <w:rPr>
                <w:sz w:val="20"/>
                <w:szCs w:val="20"/>
                <w:color w:val="auto"/>
              </w:rPr>
            </w:pPr>
            <w:r>
              <w:rPr>
                <w:rFonts w:ascii="Arial" w:cs="Arial" w:eastAsia="Arial" w:hAnsi="Arial"/>
                <w:sz w:val="18"/>
                <w:szCs w:val="18"/>
                <w:color w:val="auto"/>
              </w:rPr>
              <w:t>10.19</w:t>
            </w:r>
          </w:p>
        </w:tc>
        <w:tc>
          <w:tcPr>
            <w:tcW w:w="5380" w:type="dxa"/>
            <w:vAlign w:val="bottom"/>
          </w:tcPr>
          <w:p>
            <w:pPr>
              <w:ind w:left="960"/>
              <w:spacing w:after="0"/>
              <w:rPr>
                <w:sz w:val="20"/>
                <w:szCs w:val="20"/>
                <w:color w:val="auto"/>
              </w:rPr>
            </w:pPr>
            <w:r>
              <w:rPr>
                <w:rFonts w:ascii="Arial" w:cs="Arial" w:eastAsia="Arial" w:hAnsi="Arial"/>
                <w:sz w:val="18"/>
                <w:szCs w:val="18"/>
                <w:color w:val="auto"/>
                <w:w w:val="99"/>
              </w:rPr>
              <w:t>Loan Agreement dated as of January 10, 2011 between</w:t>
            </w:r>
          </w:p>
        </w:tc>
      </w:tr>
      <w:tr>
        <w:trPr>
          <w:trHeight w:val="212"/>
        </w:trPr>
        <w:tc>
          <w:tcPr>
            <w:tcW w:w="1360" w:type="dxa"/>
            <w:vAlign w:val="bottom"/>
          </w:tcPr>
          <w:p>
            <w:pPr>
              <w:spacing w:after="0"/>
              <w:rPr>
                <w:sz w:val="18"/>
                <w:szCs w:val="18"/>
                <w:color w:val="auto"/>
              </w:rPr>
            </w:pPr>
          </w:p>
        </w:tc>
        <w:tc>
          <w:tcPr>
            <w:tcW w:w="5380" w:type="dxa"/>
            <w:vAlign w:val="bottom"/>
          </w:tcPr>
          <w:p>
            <w:pPr>
              <w:ind w:left="960"/>
              <w:spacing w:after="0"/>
              <w:rPr>
                <w:sz w:val="20"/>
                <w:szCs w:val="20"/>
                <w:color w:val="auto"/>
              </w:rPr>
            </w:pPr>
            <w:r>
              <w:rPr>
                <w:rFonts w:ascii="Arial" w:cs="Arial" w:eastAsia="Arial" w:hAnsi="Arial"/>
                <w:sz w:val="18"/>
                <w:szCs w:val="18"/>
                <w:color w:val="auto"/>
                <w:w w:val="94"/>
              </w:rPr>
              <w:t>Northern Technologies International Corporation and PNC</w:t>
            </w:r>
          </w:p>
        </w:tc>
      </w:tr>
      <w:tr>
        <w:trPr>
          <w:trHeight w:val="223"/>
        </w:trPr>
        <w:tc>
          <w:tcPr>
            <w:tcW w:w="1360" w:type="dxa"/>
            <w:vAlign w:val="bottom"/>
          </w:tcPr>
          <w:p>
            <w:pPr>
              <w:spacing w:after="0"/>
              <w:rPr>
                <w:sz w:val="19"/>
                <w:szCs w:val="19"/>
                <w:color w:val="auto"/>
              </w:rPr>
            </w:pPr>
          </w:p>
        </w:tc>
        <w:tc>
          <w:tcPr>
            <w:tcW w:w="5380" w:type="dxa"/>
            <w:vAlign w:val="bottom"/>
          </w:tcPr>
          <w:p>
            <w:pPr>
              <w:ind w:left="960"/>
              <w:spacing w:after="0"/>
              <w:rPr>
                <w:sz w:val="20"/>
                <w:szCs w:val="20"/>
                <w:color w:val="auto"/>
              </w:rPr>
            </w:pPr>
            <w:r>
              <w:rPr>
                <w:rFonts w:ascii="Arial" w:cs="Arial" w:eastAsia="Arial" w:hAnsi="Arial"/>
                <w:sz w:val="18"/>
                <w:szCs w:val="18"/>
                <w:color w:val="auto"/>
              </w:rPr>
              <w:t>Bank, National Association</w:t>
            </w:r>
          </w:p>
        </w:tc>
      </w:tr>
      <w:tr>
        <w:trPr>
          <w:trHeight w:val="652"/>
        </w:trPr>
        <w:tc>
          <w:tcPr>
            <w:tcW w:w="1360" w:type="dxa"/>
            <w:vAlign w:val="bottom"/>
          </w:tcPr>
          <w:p>
            <w:pPr>
              <w:spacing w:after="0"/>
              <w:rPr>
                <w:sz w:val="20"/>
                <w:szCs w:val="20"/>
                <w:color w:val="auto"/>
              </w:rPr>
            </w:pPr>
            <w:r>
              <w:rPr>
                <w:rFonts w:ascii="Arial" w:cs="Arial" w:eastAsia="Arial" w:hAnsi="Arial"/>
                <w:sz w:val="18"/>
                <w:szCs w:val="18"/>
                <w:color w:val="auto"/>
              </w:rPr>
              <w:t>10.20</w:t>
            </w:r>
          </w:p>
        </w:tc>
        <w:tc>
          <w:tcPr>
            <w:tcW w:w="5380" w:type="dxa"/>
            <w:vAlign w:val="bottom"/>
          </w:tcPr>
          <w:p>
            <w:pPr>
              <w:ind w:left="960"/>
              <w:spacing w:after="0"/>
              <w:rPr>
                <w:sz w:val="20"/>
                <w:szCs w:val="20"/>
                <w:color w:val="auto"/>
              </w:rPr>
            </w:pPr>
            <w:r>
              <w:rPr>
                <w:rFonts w:ascii="Arial" w:cs="Arial" w:eastAsia="Arial" w:hAnsi="Arial"/>
                <w:sz w:val="18"/>
                <w:szCs w:val="18"/>
                <w:color w:val="auto"/>
              </w:rPr>
              <w:t>Mortgage dated as of May 3, 2006 between Northern</w:t>
            </w:r>
          </w:p>
        </w:tc>
      </w:tr>
      <w:tr>
        <w:trPr>
          <w:trHeight w:val="212"/>
        </w:trPr>
        <w:tc>
          <w:tcPr>
            <w:tcW w:w="1360" w:type="dxa"/>
            <w:vAlign w:val="bottom"/>
          </w:tcPr>
          <w:p>
            <w:pPr>
              <w:spacing w:after="0"/>
              <w:rPr>
                <w:sz w:val="18"/>
                <w:szCs w:val="18"/>
                <w:color w:val="auto"/>
              </w:rPr>
            </w:pPr>
          </w:p>
        </w:tc>
        <w:tc>
          <w:tcPr>
            <w:tcW w:w="5380" w:type="dxa"/>
            <w:vAlign w:val="bottom"/>
          </w:tcPr>
          <w:p>
            <w:pPr>
              <w:ind w:left="960"/>
              <w:spacing w:after="0"/>
              <w:rPr>
                <w:sz w:val="20"/>
                <w:szCs w:val="20"/>
                <w:color w:val="auto"/>
              </w:rPr>
            </w:pPr>
            <w:r>
              <w:rPr>
                <w:rFonts w:ascii="Arial" w:cs="Arial" w:eastAsia="Arial" w:hAnsi="Arial"/>
                <w:sz w:val="18"/>
                <w:szCs w:val="18"/>
                <w:color w:val="auto"/>
                <w:w w:val="90"/>
              </w:rPr>
              <w:t>Technologies Holding Company, LLC and National City Bank</w:t>
            </w:r>
          </w:p>
        </w:tc>
      </w:tr>
      <w:tr>
        <w:trPr>
          <w:trHeight w:val="223"/>
        </w:trPr>
        <w:tc>
          <w:tcPr>
            <w:tcW w:w="1360" w:type="dxa"/>
            <w:vAlign w:val="bottom"/>
          </w:tcPr>
          <w:p>
            <w:pPr>
              <w:spacing w:after="0"/>
              <w:rPr>
                <w:sz w:val="19"/>
                <w:szCs w:val="19"/>
                <w:color w:val="auto"/>
              </w:rPr>
            </w:pPr>
          </w:p>
        </w:tc>
        <w:tc>
          <w:tcPr>
            <w:tcW w:w="5380" w:type="dxa"/>
            <w:vAlign w:val="bottom"/>
          </w:tcPr>
          <w:p>
            <w:pPr>
              <w:ind w:left="960"/>
              <w:spacing w:after="0"/>
              <w:rPr>
                <w:sz w:val="20"/>
                <w:szCs w:val="20"/>
                <w:color w:val="auto"/>
              </w:rPr>
            </w:pPr>
            <w:r>
              <w:rPr>
                <w:rFonts w:ascii="Arial" w:cs="Arial" w:eastAsia="Arial" w:hAnsi="Arial"/>
                <w:sz w:val="18"/>
                <w:szCs w:val="18"/>
                <w:color w:val="auto"/>
              </w:rPr>
              <w:t>(now known as PNC Bank)</w:t>
            </w:r>
          </w:p>
        </w:tc>
      </w:tr>
      <w:tr>
        <w:trPr>
          <w:trHeight w:val="663"/>
        </w:trPr>
        <w:tc>
          <w:tcPr>
            <w:tcW w:w="1360" w:type="dxa"/>
            <w:vAlign w:val="bottom"/>
          </w:tcPr>
          <w:p>
            <w:pPr>
              <w:spacing w:after="0"/>
              <w:rPr>
                <w:sz w:val="20"/>
                <w:szCs w:val="20"/>
                <w:color w:val="auto"/>
              </w:rPr>
            </w:pPr>
            <w:r>
              <w:rPr>
                <w:rFonts w:ascii="Arial" w:cs="Arial" w:eastAsia="Arial" w:hAnsi="Arial"/>
                <w:sz w:val="18"/>
                <w:szCs w:val="18"/>
                <w:color w:val="auto"/>
              </w:rPr>
              <w:t>14.1</w:t>
            </w:r>
          </w:p>
        </w:tc>
        <w:tc>
          <w:tcPr>
            <w:tcW w:w="5380" w:type="dxa"/>
            <w:vAlign w:val="bottom"/>
          </w:tcPr>
          <w:p>
            <w:pPr>
              <w:ind w:left="960"/>
              <w:spacing w:after="0"/>
              <w:rPr>
                <w:sz w:val="20"/>
                <w:szCs w:val="20"/>
                <w:color w:val="auto"/>
              </w:rPr>
            </w:pPr>
            <w:r>
              <w:rPr>
                <w:rFonts w:ascii="Arial" w:cs="Arial" w:eastAsia="Arial" w:hAnsi="Arial"/>
                <w:sz w:val="18"/>
                <w:szCs w:val="18"/>
                <w:color w:val="auto"/>
              </w:rPr>
              <w:t>Code of Ethics</w:t>
            </w:r>
          </w:p>
        </w:tc>
      </w:tr>
      <w:tr>
        <w:trPr>
          <w:trHeight w:val="875"/>
        </w:trPr>
        <w:tc>
          <w:tcPr>
            <w:tcW w:w="1360" w:type="dxa"/>
            <w:vAlign w:val="bottom"/>
          </w:tcPr>
          <w:p>
            <w:pPr>
              <w:spacing w:after="0"/>
              <w:rPr>
                <w:sz w:val="20"/>
                <w:szCs w:val="20"/>
                <w:color w:val="auto"/>
              </w:rPr>
            </w:pPr>
            <w:r>
              <w:rPr>
                <w:rFonts w:ascii="Arial" w:cs="Arial" w:eastAsia="Arial" w:hAnsi="Arial"/>
                <w:sz w:val="18"/>
                <w:szCs w:val="18"/>
                <w:color w:val="auto"/>
              </w:rPr>
              <w:t>21.1</w:t>
            </w:r>
          </w:p>
        </w:tc>
        <w:tc>
          <w:tcPr>
            <w:tcW w:w="5380" w:type="dxa"/>
            <w:vAlign w:val="bottom"/>
          </w:tcPr>
          <w:p>
            <w:pPr>
              <w:ind w:left="960"/>
              <w:spacing w:after="0"/>
              <w:rPr>
                <w:sz w:val="20"/>
                <w:szCs w:val="20"/>
                <w:color w:val="auto"/>
              </w:rPr>
            </w:pPr>
            <w:r>
              <w:rPr>
                <w:rFonts w:ascii="Arial" w:cs="Arial" w:eastAsia="Arial" w:hAnsi="Arial"/>
                <w:sz w:val="18"/>
                <w:szCs w:val="18"/>
                <w:color w:val="auto"/>
              </w:rPr>
              <w:t>Subsidiaries of the Registrant</w:t>
            </w:r>
          </w:p>
        </w:tc>
      </w:tr>
      <w:tr>
        <w:trPr>
          <w:trHeight w:val="451"/>
        </w:trPr>
        <w:tc>
          <w:tcPr>
            <w:tcW w:w="1360" w:type="dxa"/>
            <w:vAlign w:val="bottom"/>
          </w:tcPr>
          <w:p>
            <w:pPr>
              <w:spacing w:after="0"/>
              <w:rPr>
                <w:sz w:val="20"/>
                <w:szCs w:val="20"/>
                <w:color w:val="auto"/>
              </w:rPr>
            </w:pPr>
            <w:r>
              <w:rPr>
                <w:rFonts w:ascii="Arial" w:cs="Arial" w:eastAsia="Arial" w:hAnsi="Arial"/>
                <w:sz w:val="18"/>
                <w:szCs w:val="18"/>
                <w:color w:val="auto"/>
              </w:rPr>
              <w:t>23.1</w:t>
            </w:r>
          </w:p>
        </w:tc>
        <w:tc>
          <w:tcPr>
            <w:tcW w:w="5380" w:type="dxa"/>
            <w:vAlign w:val="bottom"/>
          </w:tcPr>
          <w:p>
            <w:pPr>
              <w:ind w:left="960"/>
              <w:spacing w:after="0"/>
              <w:rPr>
                <w:sz w:val="20"/>
                <w:szCs w:val="20"/>
                <w:color w:val="auto"/>
              </w:rPr>
            </w:pPr>
            <w:r>
              <w:rPr>
                <w:rFonts w:ascii="Arial" w:cs="Arial" w:eastAsia="Arial" w:hAnsi="Arial"/>
                <w:sz w:val="18"/>
                <w:szCs w:val="18"/>
                <w:color w:val="auto"/>
              </w:rPr>
              <w:t>Consent of Baker Tilly Virchow Krause, LLP</w:t>
            </w:r>
          </w:p>
        </w:tc>
      </w:tr>
      <w:tr>
        <w:trPr>
          <w:trHeight w:val="439"/>
        </w:trPr>
        <w:tc>
          <w:tcPr>
            <w:tcW w:w="1360" w:type="dxa"/>
            <w:vAlign w:val="bottom"/>
          </w:tcPr>
          <w:p>
            <w:pPr>
              <w:spacing w:after="0"/>
              <w:rPr>
                <w:sz w:val="20"/>
                <w:szCs w:val="20"/>
                <w:color w:val="auto"/>
              </w:rPr>
            </w:pPr>
            <w:r>
              <w:rPr>
                <w:rFonts w:ascii="Arial" w:cs="Arial" w:eastAsia="Arial" w:hAnsi="Arial"/>
                <w:sz w:val="18"/>
                <w:szCs w:val="18"/>
                <w:color w:val="auto"/>
              </w:rPr>
              <w:t>31.1</w:t>
            </w:r>
          </w:p>
        </w:tc>
        <w:tc>
          <w:tcPr>
            <w:tcW w:w="5380" w:type="dxa"/>
            <w:vAlign w:val="bottom"/>
          </w:tcPr>
          <w:p>
            <w:pPr>
              <w:ind w:left="960"/>
              <w:spacing w:after="0"/>
              <w:rPr>
                <w:sz w:val="20"/>
                <w:szCs w:val="20"/>
                <w:color w:val="auto"/>
              </w:rPr>
            </w:pPr>
            <w:r>
              <w:rPr>
                <w:rFonts w:ascii="Arial" w:cs="Arial" w:eastAsia="Arial" w:hAnsi="Arial"/>
                <w:sz w:val="18"/>
                <w:szCs w:val="18"/>
                <w:color w:val="auto"/>
              </w:rPr>
              <w:t>Certification of President and Chief Executive Officer</w:t>
            </w:r>
          </w:p>
        </w:tc>
      </w:tr>
      <w:tr>
        <w:trPr>
          <w:trHeight w:val="212"/>
        </w:trPr>
        <w:tc>
          <w:tcPr>
            <w:tcW w:w="1360" w:type="dxa"/>
            <w:vAlign w:val="bottom"/>
          </w:tcPr>
          <w:p>
            <w:pPr>
              <w:spacing w:after="0"/>
              <w:rPr>
                <w:sz w:val="18"/>
                <w:szCs w:val="18"/>
                <w:color w:val="auto"/>
              </w:rPr>
            </w:pPr>
          </w:p>
        </w:tc>
        <w:tc>
          <w:tcPr>
            <w:tcW w:w="5380" w:type="dxa"/>
            <w:vAlign w:val="bottom"/>
          </w:tcPr>
          <w:p>
            <w:pPr>
              <w:ind w:left="960"/>
              <w:spacing w:after="0"/>
              <w:rPr>
                <w:sz w:val="20"/>
                <w:szCs w:val="20"/>
                <w:color w:val="auto"/>
              </w:rPr>
            </w:pPr>
            <w:r>
              <w:rPr>
                <w:rFonts w:ascii="Arial" w:cs="Arial" w:eastAsia="Arial" w:hAnsi="Arial"/>
                <w:sz w:val="18"/>
                <w:szCs w:val="18"/>
                <w:color w:val="auto"/>
                <w:w w:val="97"/>
              </w:rPr>
              <w:t>Pursuant to SEC Rule 13a-14(a), as adopted pursuant to</w:t>
            </w:r>
          </w:p>
        </w:tc>
      </w:tr>
      <w:tr>
        <w:trPr>
          <w:trHeight w:val="223"/>
        </w:trPr>
        <w:tc>
          <w:tcPr>
            <w:tcW w:w="1360" w:type="dxa"/>
            <w:vAlign w:val="bottom"/>
          </w:tcPr>
          <w:p>
            <w:pPr>
              <w:spacing w:after="0"/>
              <w:rPr>
                <w:sz w:val="19"/>
                <w:szCs w:val="19"/>
                <w:color w:val="auto"/>
              </w:rPr>
            </w:pPr>
          </w:p>
        </w:tc>
        <w:tc>
          <w:tcPr>
            <w:tcW w:w="5380" w:type="dxa"/>
            <w:vAlign w:val="bottom"/>
          </w:tcPr>
          <w:p>
            <w:pPr>
              <w:ind w:left="960"/>
              <w:spacing w:after="0"/>
              <w:rPr>
                <w:sz w:val="20"/>
                <w:szCs w:val="20"/>
                <w:color w:val="auto"/>
              </w:rPr>
            </w:pPr>
            <w:r>
              <w:rPr>
                <w:rFonts w:ascii="Arial" w:cs="Arial" w:eastAsia="Arial" w:hAnsi="Arial"/>
                <w:sz w:val="18"/>
                <w:szCs w:val="18"/>
                <w:color w:val="auto"/>
              </w:rPr>
              <w:t>Section 302 of the Sarbanes-Oxley Act of 2002</w:t>
            </w:r>
          </w:p>
        </w:tc>
      </w:tr>
      <w:tr>
        <w:trPr>
          <w:trHeight w:val="597"/>
        </w:trPr>
        <w:tc>
          <w:tcPr>
            <w:tcW w:w="1360" w:type="dxa"/>
            <w:vAlign w:val="bottom"/>
          </w:tcPr>
          <w:p>
            <w:pPr>
              <w:spacing w:after="0"/>
              <w:rPr>
                <w:sz w:val="24"/>
                <w:szCs w:val="24"/>
                <w:color w:val="auto"/>
              </w:rPr>
            </w:pPr>
          </w:p>
        </w:tc>
        <w:tc>
          <w:tcPr>
            <w:tcW w:w="5380" w:type="dxa"/>
            <w:vAlign w:val="bottom"/>
          </w:tcPr>
          <w:p>
            <w:pPr>
              <w:ind w:left="4260"/>
              <w:spacing w:after="0"/>
              <w:rPr>
                <w:sz w:val="20"/>
                <w:szCs w:val="20"/>
                <w:color w:val="auto"/>
              </w:rPr>
            </w:pPr>
            <w:r>
              <w:rPr>
                <w:rFonts w:ascii="Arial" w:cs="Arial" w:eastAsia="Arial" w:hAnsi="Arial"/>
                <w:sz w:val="18"/>
                <w:szCs w:val="18"/>
                <w:color w:val="auto"/>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725360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line="252" w:lineRule="auto"/>
        <w:rPr>
          <w:sz w:val="20"/>
          <w:szCs w:val="20"/>
          <w:color w:val="auto"/>
        </w:rPr>
      </w:pPr>
      <w:r>
        <w:rPr>
          <w:rFonts w:ascii="Arial" w:cs="Arial" w:eastAsia="Arial" w:hAnsi="Arial"/>
          <w:sz w:val="18"/>
          <w:szCs w:val="18"/>
          <w:color w:val="auto"/>
        </w:rPr>
        <w:t>Incorporated by reference to Exhibit 10.2 to NTIC’s Current Report on Form 8-K as filed with the Securities and Exchange Commission on January 12, 2011 (File No. 001-11038)</w:t>
      </w:r>
    </w:p>
    <w:p>
      <w:pPr>
        <w:spacing w:after="0" w:line="218" w:lineRule="exact"/>
        <w:rPr>
          <w:sz w:val="20"/>
          <w:szCs w:val="20"/>
          <w:color w:val="auto"/>
        </w:rPr>
      </w:pPr>
    </w:p>
    <w:p>
      <w:pPr>
        <w:jc w:val="center"/>
        <w:spacing w:after="0" w:line="252" w:lineRule="auto"/>
        <w:rPr>
          <w:sz w:val="20"/>
          <w:szCs w:val="20"/>
          <w:color w:val="auto"/>
        </w:rPr>
      </w:pPr>
      <w:r>
        <w:rPr>
          <w:rFonts w:ascii="Arial" w:cs="Arial" w:eastAsia="Arial" w:hAnsi="Arial"/>
          <w:sz w:val="18"/>
          <w:szCs w:val="18"/>
          <w:color w:val="auto"/>
        </w:rPr>
        <w:t>Incorporated by reference to Exhibit 10.3 to NTIC’s Current Report on Form 8-K as filed with the Securities and Exchange Commission on January 12, 2011 (File No. 001-11038)</w:t>
      </w:r>
    </w:p>
    <w:p>
      <w:pPr>
        <w:spacing w:after="0" w:line="218" w:lineRule="exact"/>
        <w:rPr>
          <w:sz w:val="20"/>
          <w:szCs w:val="20"/>
          <w:color w:val="auto"/>
        </w:rPr>
      </w:pPr>
    </w:p>
    <w:p>
      <w:pPr>
        <w:jc w:val="center"/>
        <w:spacing w:after="0" w:line="252" w:lineRule="auto"/>
        <w:rPr>
          <w:sz w:val="20"/>
          <w:szCs w:val="20"/>
          <w:color w:val="auto"/>
        </w:rPr>
      </w:pPr>
      <w:r>
        <w:rPr>
          <w:rFonts w:ascii="Arial" w:cs="Arial" w:eastAsia="Arial" w:hAnsi="Arial"/>
          <w:sz w:val="18"/>
          <w:szCs w:val="18"/>
          <w:color w:val="auto"/>
        </w:rPr>
        <w:t>Incorporated by reference to Exhibit 10.4 to NTIC’s Current Report on Form 8-K as filed with the Securities and Exchange Commission on January 12, 2011 (File No. 001-11038)</w:t>
      </w:r>
    </w:p>
    <w:p>
      <w:pPr>
        <w:spacing w:after="0" w:line="218" w:lineRule="exact"/>
        <w:rPr>
          <w:sz w:val="20"/>
          <w:szCs w:val="20"/>
          <w:color w:val="auto"/>
        </w:rPr>
      </w:pPr>
    </w:p>
    <w:p>
      <w:pPr>
        <w:jc w:val="center"/>
        <w:spacing w:after="0" w:line="252" w:lineRule="auto"/>
        <w:rPr>
          <w:sz w:val="20"/>
          <w:szCs w:val="20"/>
          <w:color w:val="auto"/>
        </w:rPr>
      </w:pPr>
      <w:r>
        <w:rPr>
          <w:rFonts w:ascii="Arial" w:cs="Arial" w:eastAsia="Arial" w:hAnsi="Arial"/>
          <w:sz w:val="18"/>
          <w:szCs w:val="18"/>
          <w:color w:val="auto"/>
        </w:rPr>
        <w:t>Incorporated by reference to Exhibit 10.5 to NTIC’s Current Report on Form 8-K as filed with the Securities and Exchange Commission on January 12, 2011 (File No. 001-11038)</w:t>
      </w:r>
    </w:p>
    <w:p>
      <w:pPr>
        <w:spacing w:after="0" w:line="218" w:lineRule="exact"/>
        <w:rPr>
          <w:sz w:val="20"/>
          <w:szCs w:val="20"/>
          <w:color w:val="auto"/>
        </w:rPr>
      </w:pPr>
    </w:p>
    <w:p>
      <w:pPr>
        <w:jc w:val="center"/>
        <w:spacing w:after="0" w:line="252" w:lineRule="auto"/>
        <w:rPr>
          <w:sz w:val="20"/>
          <w:szCs w:val="20"/>
          <w:color w:val="auto"/>
        </w:rPr>
      </w:pPr>
      <w:r>
        <w:rPr>
          <w:rFonts w:ascii="Arial" w:cs="Arial" w:eastAsia="Arial" w:hAnsi="Arial"/>
          <w:sz w:val="18"/>
          <w:szCs w:val="18"/>
          <w:color w:val="auto"/>
        </w:rPr>
        <w:t>Incorporated by reference to Exhibit 10.6 to NTIC’s Current Report on Form 8-K as filed with the Securities and Exchange Commission on January 12, 2011 (File No. 001-11038)</w:t>
      </w:r>
    </w:p>
    <w:p>
      <w:pPr>
        <w:spacing w:after="0" w:line="218" w:lineRule="exact"/>
        <w:rPr>
          <w:sz w:val="20"/>
          <w:szCs w:val="20"/>
          <w:color w:val="auto"/>
        </w:rPr>
      </w:pPr>
    </w:p>
    <w:p>
      <w:pPr>
        <w:jc w:val="center"/>
        <w:ind w:left="60" w:right="20"/>
        <w:spacing w:after="0" w:line="252" w:lineRule="auto"/>
        <w:rPr>
          <w:sz w:val="20"/>
          <w:szCs w:val="20"/>
          <w:color w:val="auto"/>
        </w:rPr>
      </w:pPr>
      <w:r>
        <w:rPr>
          <w:rFonts w:ascii="Arial" w:cs="Arial" w:eastAsia="Arial" w:hAnsi="Arial"/>
          <w:sz w:val="18"/>
          <w:szCs w:val="18"/>
          <w:color w:val="auto"/>
        </w:rPr>
        <w:t>Incorporated by reference to Exhibit 10.7 to NTIC’s Current Report on Form 8-K as filed with the Securities and Exchange Commission on May 9, 2006 (File No. 001-11038)</w:t>
      </w:r>
    </w:p>
    <w:p>
      <w:pPr>
        <w:spacing w:after="0" w:line="218" w:lineRule="exact"/>
        <w:rPr>
          <w:sz w:val="20"/>
          <w:szCs w:val="20"/>
          <w:color w:val="auto"/>
        </w:rPr>
      </w:pPr>
    </w:p>
    <w:p>
      <w:pPr>
        <w:jc w:val="center"/>
        <w:ind w:right="20"/>
        <w:spacing w:after="0" w:line="255" w:lineRule="auto"/>
        <w:rPr>
          <w:sz w:val="20"/>
          <w:szCs w:val="20"/>
          <w:color w:val="auto"/>
        </w:rPr>
      </w:pPr>
      <w:r>
        <w:rPr>
          <w:rFonts w:ascii="Arial" w:cs="Arial" w:eastAsia="Arial" w:hAnsi="Arial"/>
          <w:sz w:val="18"/>
          <w:szCs w:val="18"/>
          <w:color w:val="auto"/>
        </w:rPr>
        <w:t>Incorporated by reference to Exhibit 14.1 to NTIC’s Annual Report on Form 10-KSB for the fiscal year ended August 31, 2004 (File No. 001-11038)</w:t>
      </w:r>
    </w:p>
    <w:p>
      <w:pPr>
        <w:spacing w:after="0" w:line="21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Filed herewith</w:t>
      </w:r>
    </w:p>
    <w:p>
      <w:pPr>
        <w:spacing w:after="0" w:line="244"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Filed herewith</w:t>
      </w:r>
    </w:p>
    <w:p>
      <w:pPr>
        <w:spacing w:after="0" w:line="244"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6740" w:space="600"/>
            <w:col w:w="4080"/>
          </w:cols>
          <w:pgMar w:left="240" w:top="511"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2"/>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6400" w:type="dxa"/>
            <w:vAlign w:val="bottom"/>
          </w:tcPr>
          <w:p>
            <w:pPr>
              <w:ind w:left="1000"/>
              <w:spacing w:after="0"/>
              <w:rPr>
                <w:sz w:val="20"/>
                <w:szCs w:val="20"/>
                <w:color w:val="auto"/>
              </w:rPr>
            </w:pPr>
            <w:r>
              <w:rPr>
                <w:rFonts w:ascii="Arial" w:cs="Arial" w:eastAsia="Arial" w:hAnsi="Arial"/>
                <w:sz w:val="18"/>
                <w:szCs w:val="18"/>
                <w:color w:val="auto"/>
              </w:rPr>
              <w:t>Certification of Chief Financial Officer Pursuant to SEC Rule</w:t>
            </w:r>
          </w:p>
        </w:tc>
        <w:tc>
          <w:tcPr>
            <w:tcW w:w="2340" w:type="dxa"/>
            <w:vAlign w:val="bottom"/>
          </w:tcPr>
          <w:p>
            <w:pPr>
              <w:jc w:val="center"/>
              <w:ind w:left="872"/>
              <w:spacing w:after="0"/>
              <w:rPr>
                <w:sz w:val="20"/>
                <w:szCs w:val="20"/>
                <w:color w:val="auto"/>
              </w:rPr>
            </w:pPr>
            <w:r>
              <w:rPr>
                <w:rFonts w:ascii="Arial" w:cs="Arial" w:eastAsia="Arial" w:hAnsi="Arial"/>
                <w:sz w:val="18"/>
                <w:szCs w:val="18"/>
                <w:color w:val="auto"/>
                <w:w w:val="91"/>
              </w:rPr>
              <w:t>Filed herewith</w:t>
            </w:r>
          </w:p>
        </w:tc>
      </w:tr>
      <w:tr>
        <w:trPr>
          <w:trHeight w:val="212"/>
        </w:trPr>
        <w:tc>
          <w:tcPr>
            <w:tcW w:w="1320" w:type="dxa"/>
            <w:vAlign w:val="bottom"/>
          </w:tcPr>
          <w:p>
            <w:pPr>
              <w:spacing w:after="0"/>
              <w:rPr>
                <w:sz w:val="18"/>
                <w:szCs w:val="18"/>
                <w:color w:val="auto"/>
              </w:rPr>
            </w:pPr>
          </w:p>
        </w:tc>
        <w:tc>
          <w:tcPr>
            <w:tcW w:w="6400" w:type="dxa"/>
            <w:vAlign w:val="bottom"/>
          </w:tcPr>
          <w:p>
            <w:pPr>
              <w:ind w:left="1000"/>
              <w:spacing w:after="0"/>
              <w:rPr>
                <w:sz w:val="20"/>
                <w:szCs w:val="20"/>
                <w:color w:val="auto"/>
              </w:rPr>
            </w:pPr>
            <w:r>
              <w:rPr>
                <w:rFonts w:ascii="Arial" w:cs="Arial" w:eastAsia="Arial" w:hAnsi="Arial"/>
                <w:sz w:val="18"/>
                <w:szCs w:val="18"/>
                <w:color w:val="auto"/>
              </w:rPr>
              <w:t>13a-14(a), as adopted pursuant to Section 302 of the Sarbanes-</w:t>
            </w:r>
          </w:p>
        </w:tc>
        <w:tc>
          <w:tcPr>
            <w:tcW w:w="2340" w:type="dxa"/>
            <w:vAlign w:val="bottom"/>
          </w:tcPr>
          <w:p>
            <w:pPr>
              <w:spacing w:after="0"/>
              <w:rPr>
                <w:sz w:val="18"/>
                <w:szCs w:val="18"/>
                <w:color w:val="auto"/>
              </w:rPr>
            </w:pPr>
          </w:p>
        </w:tc>
      </w:tr>
      <w:tr>
        <w:trPr>
          <w:trHeight w:val="223"/>
        </w:trPr>
        <w:tc>
          <w:tcPr>
            <w:tcW w:w="1320" w:type="dxa"/>
            <w:vAlign w:val="bottom"/>
          </w:tcPr>
          <w:p>
            <w:pPr>
              <w:spacing w:after="0"/>
              <w:rPr>
                <w:sz w:val="19"/>
                <w:szCs w:val="19"/>
                <w:color w:val="auto"/>
              </w:rPr>
            </w:pPr>
          </w:p>
        </w:tc>
        <w:tc>
          <w:tcPr>
            <w:tcW w:w="6400" w:type="dxa"/>
            <w:vAlign w:val="bottom"/>
          </w:tcPr>
          <w:p>
            <w:pPr>
              <w:ind w:left="1000"/>
              <w:spacing w:after="0"/>
              <w:rPr>
                <w:sz w:val="20"/>
                <w:szCs w:val="20"/>
                <w:color w:val="auto"/>
              </w:rPr>
            </w:pPr>
            <w:r>
              <w:rPr>
                <w:rFonts w:ascii="Arial" w:cs="Arial" w:eastAsia="Arial" w:hAnsi="Arial"/>
                <w:sz w:val="18"/>
                <w:szCs w:val="18"/>
                <w:color w:val="auto"/>
              </w:rPr>
              <w:t>Oxley Act of 2002</w:t>
            </w:r>
          </w:p>
        </w:tc>
        <w:tc>
          <w:tcPr>
            <w:tcW w:w="2340" w:type="dxa"/>
            <w:vAlign w:val="bottom"/>
          </w:tcPr>
          <w:p>
            <w:pPr>
              <w:spacing w:after="0"/>
              <w:rPr>
                <w:sz w:val="19"/>
                <w:szCs w:val="19"/>
                <w:color w:val="auto"/>
              </w:rPr>
            </w:pPr>
          </w:p>
        </w:tc>
      </w:tr>
      <w:tr>
        <w:trPr>
          <w:trHeight w:val="439"/>
        </w:trPr>
        <w:tc>
          <w:tcPr>
            <w:tcW w:w="1320" w:type="dxa"/>
            <w:vAlign w:val="bottom"/>
          </w:tcPr>
          <w:p>
            <w:pPr>
              <w:spacing w:after="0"/>
              <w:rPr>
                <w:sz w:val="20"/>
                <w:szCs w:val="20"/>
                <w:color w:val="auto"/>
              </w:rPr>
            </w:pPr>
            <w:r>
              <w:rPr>
                <w:rFonts w:ascii="Arial" w:cs="Arial" w:eastAsia="Arial" w:hAnsi="Arial"/>
                <w:sz w:val="18"/>
                <w:szCs w:val="18"/>
                <w:color w:val="auto"/>
              </w:rPr>
              <w:t>32.1</w:t>
            </w:r>
          </w:p>
        </w:tc>
        <w:tc>
          <w:tcPr>
            <w:tcW w:w="6400" w:type="dxa"/>
            <w:vAlign w:val="bottom"/>
          </w:tcPr>
          <w:p>
            <w:pPr>
              <w:ind w:left="1000"/>
              <w:spacing w:after="0"/>
              <w:rPr>
                <w:sz w:val="20"/>
                <w:szCs w:val="20"/>
                <w:color w:val="auto"/>
              </w:rPr>
            </w:pPr>
            <w:r>
              <w:rPr>
                <w:rFonts w:ascii="Arial" w:cs="Arial" w:eastAsia="Arial" w:hAnsi="Arial"/>
                <w:sz w:val="18"/>
                <w:szCs w:val="18"/>
                <w:color w:val="auto"/>
              </w:rPr>
              <w:t>Certification of President and Chief Executive Officer</w:t>
            </w:r>
          </w:p>
        </w:tc>
        <w:tc>
          <w:tcPr>
            <w:tcW w:w="2340" w:type="dxa"/>
            <w:vAlign w:val="bottom"/>
          </w:tcPr>
          <w:p>
            <w:pPr>
              <w:jc w:val="center"/>
              <w:ind w:left="872"/>
              <w:spacing w:after="0"/>
              <w:rPr>
                <w:sz w:val="20"/>
                <w:szCs w:val="20"/>
                <w:color w:val="auto"/>
              </w:rPr>
            </w:pPr>
            <w:r>
              <w:rPr>
                <w:rFonts w:ascii="Arial" w:cs="Arial" w:eastAsia="Arial" w:hAnsi="Arial"/>
                <w:sz w:val="18"/>
                <w:szCs w:val="18"/>
                <w:color w:val="auto"/>
                <w:w w:val="90"/>
              </w:rPr>
              <w:t>Furnished herewith</w:t>
            </w:r>
          </w:p>
        </w:tc>
      </w:tr>
      <w:tr>
        <w:trPr>
          <w:trHeight w:val="212"/>
        </w:trPr>
        <w:tc>
          <w:tcPr>
            <w:tcW w:w="1320" w:type="dxa"/>
            <w:vAlign w:val="bottom"/>
          </w:tcPr>
          <w:p>
            <w:pPr>
              <w:spacing w:after="0"/>
              <w:rPr>
                <w:sz w:val="18"/>
                <w:szCs w:val="18"/>
                <w:color w:val="auto"/>
              </w:rPr>
            </w:pPr>
          </w:p>
        </w:tc>
        <w:tc>
          <w:tcPr>
            <w:tcW w:w="6400" w:type="dxa"/>
            <w:vAlign w:val="bottom"/>
          </w:tcPr>
          <w:p>
            <w:pPr>
              <w:ind w:left="1000"/>
              <w:spacing w:after="0"/>
              <w:rPr>
                <w:sz w:val="20"/>
                <w:szCs w:val="20"/>
                <w:color w:val="auto"/>
              </w:rPr>
            </w:pPr>
            <w:r>
              <w:rPr>
                <w:rFonts w:ascii="Arial" w:cs="Arial" w:eastAsia="Arial" w:hAnsi="Arial"/>
                <w:sz w:val="18"/>
                <w:szCs w:val="18"/>
                <w:color w:val="auto"/>
              </w:rPr>
              <w:t>Pursuant to Rule 18 U.S.C. Section 1350, as adopted pursuant</w:t>
            </w:r>
          </w:p>
        </w:tc>
        <w:tc>
          <w:tcPr>
            <w:tcW w:w="2340" w:type="dxa"/>
            <w:vAlign w:val="bottom"/>
          </w:tcPr>
          <w:p>
            <w:pPr>
              <w:spacing w:after="0"/>
              <w:rPr>
                <w:sz w:val="18"/>
                <w:szCs w:val="18"/>
                <w:color w:val="auto"/>
              </w:rPr>
            </w:pPr>
          </w:p>
        </w:tc>
      </w:tr>
      <w:tr>
        <w:trPr>
          <w:trHeight w:val="212"/>
        </w:trPr>
        <w:tc>
          <w:tcPr>
            <w:tcW w:w="1320" w:type="dxa"/>
            <w:vAlign w:val="bottom"/>
          </w:tcPr>
          <w:p>
            <w:pPr>
              <w:spacing w:after="0"/>
              <w:rPr>
                <w:sz w:val="18"/>
                <w:szCs w:val="18"/>
                <w:color w:val="auto"/>
              </w:rPr>
            </w:pPr>
          </w:p>
        </w:tc>
        <w:tc>
          <w:tcPr>
            <w:tcW w:w="6400" w:type="dxa"/>
            <w:vAlign w:val="bottom"/>
          </w:tcPr>
          <w:p>
            <w:pPr>
              <w:ind w:left="1000"/>
              <w:spacing w:after="0"/>
              <w:rPr>
                <w:sz w:val="20"/>
                <w:szCs w:val="20"/>
                <w:color w:val="auto"/>
              </w:rPr>
            </w:pPr>
            <w:r>
              <w:rPr>
                <w:rFonts w:ascii="Arial" w:cs="Arial" w:eastAsia="Arial" w:hAnsi="Arial"/>
                <w:sz w:val="18"/>
                <w:szCs w:val="18"/>
                <w:color w:val="auto"/>
              </w:rPr>
              <w:t>to Section 906 of the Sarbanes-Oxley Act of 2002</w:t>
            </w:r>
          </w:p>
        </w:tc>
        <w:tc>
          <w:tcPr>
            <w:tcW w:w="2340" w:type="dxa"/>
            <w:vAlign w:val="bottom"/>
          </w:tcPr>
          <w:p>
            <w:pPr>
              <w:spacing w:after="0"/>
              <w:rPr>
                <w:sz w:val="18"/>
                <w:szCs w:val="18"/>
                <w:color w:val="auto"/>
              </w:rPr>
            </w:pPr>
          </w:p>
        </w:tc>
      </w:tr>
      <w:tr>
        <w:trPr>
          <w:trHeight w:val="212"/>
        </w:trPr>
        <w:tc>
          <w:tcPr>
            <w:tcW w:w="1320" w:type="dxa"/>
            <w:vAlign w:val="bottom"/>
          </w:tcPr>
          <w:p>
            <w:pPr>
              <w:spacing w:after="0"/>
              <w:rPr>
                <w:sz w:val="20"/>
                <w:szCs w:val="20"/>
                <w:color w:val="auto"/>
              </w:rPr>
            </w:pPr>
            <w:r>
              <w:rPr>
                <w:rFonts w:ascii="Arial" w:cs="Arial" w:eastAsia="Arial" w:hAnsi="Arial"/>
                <w:sz w:val="18"/>
                <w:szCs w:val="18"/>
                <w:color w:val="auto"/>
              </w:rPr>
              <w:t>32.2</w:t>
            </w:r>
          </w:p>
        </w:tc>
        <w:tc>
          <w:tcPr>
            <w:tcW w:w="6400" w:type="dxa"/>
            <w:vAlign w:val="bottom"/>
          </w:tcPr>
          <w:p>
            <w:pPr>
              <w:ind w:left="1000"/>
              <w:spacing w:after="0"/>
              <w:rPr>
                <w:sz w:val="20"/>
                <w:szCs w:val="20"/>
                <w:color w:val="auto"/>
              </w:rPr>
            </w:pPr>
            <w:r>
              <w:rPr>
                <w:rFonts w:ascii="Arial" w:cs="Arial" w:eastAsia="Arial" w:hAnsi="Arial"/>
                <w:sz w:val="18"/>
                <w:szCs w:val="18"/>
                <w:color w:val="auto"/>
              </w:rPr>
              <w:t>Certification of Chief Financial Officer Pursuant to Rule 18</w:t>
            </w:r>
          </w:p>
        </w:tc>
        <w:tc>
          <w:tcPr>
            <w:tcW w:w="2340" w:type="dxa"/>
            <w:vAlign w:val="bottom"/>
          </w:tcPr>
          <w:p>
            <w:pPr>
              <w:jc w:val="center"/>
              <w:ind w:left="872"/>
              <w:spacing w:after="0"/>
              <w:rPr>
                <w:sz w:val="20"/>
                <w:szCs w:val="20"/>
                <w:color w:val="auto"/>
              </w:rPr>
            </w:pPr>
            <w:r>
              <w:rPr>
                <w:rFonts w:ascii="Arial" w:cs="Arial" w:eastAsia="Arial" w:hAnsi="Arial"/>
                <w:sz w:val="18"/>
                <w:szCs w:val="18"/>
                <w:color w:val="auto"/>
                <w:w w:val="90"/>
              </w:rPr>
              <w:t>Furnished herewith</w:t>
            </w:r>
          </w:p>
        </w:tc>
      </w:tr>
      <w:tr>
        <w:trPr>
          <w:trHeight w:val="212"/>
        </w:trPr>
        <w:tc>
          <w:tcPr>
            <w:tcW w:w="1320" w:type="dxa"/>
            <w:vAlign w:val="bottom"/>
          </w:tcPr>
          <w:p>
            <w:pPr>
              <w:spacing w:after="0"/>
              <w:rPr>
                <w:sz w:val="18"/>
                <w:szCs w:val="18"/>
                <w:color w:val="auto"/>
              </w:rPr>
            </w:pPr>
          </w:p>
        </w:tc>
        <w:tc>
          <w:tcPr>
            <w:tcW w:w="6400" w:type="dxa"/>
            <w:vAlign w:val="bottom"/>
          </w:tcPr>
          <w:p>
            <w:pPr>
              <w:ind w:left="1000"/>
              <w:spacing w:after="0"/>
              <w:rPr>
                <w:sz w:val="20"/>
                <w:szCs w:val="20"/>
                <w:color w:val="auto"/>
              </w:rPr>
            </w:pPr>
            <w:r>
              <w:rPr>
                <w:rFonts w:ascii="Arial" w:cs="Arial" w:eastAsia="Arial" w:hAnsi="Arial"/>
                <w:sz w:val="18"/>
                <w:szCs w:val="18"/>
                <w:color w:val="auto"/>
              </w:rPr>
              <w:t>U.S.C. Section 1350, as adopted pursuant to Section 906 of</w:t>
            </w:r>
          </w:p>
        </w:tc>
        <w:tc>
          <w:tcPr>
            <w:tcW w:w="2340" w:type="dxa"/>
            <w:vAlign w:val="bottom"/>
          </w:tcPr>
          <w:p>
            <w:pPr>
              <w:spacing w:after="0"/>
              <w:rPr>
                <w:sz w:val="18"/>
                <w:szCs w:val="18"/>
                <w:color w:val="auto"/>
              </w:rPr>
            </w:pPr>
          </w:p>
        </w:tc>
      </w:tr>
      <w:tr>
        <w:trPr>
          <w:trHeight w:val="223"/>
        </w:trPr>
        <w:tc>
          <w:tcPr>
            <w:tcW w:w="1320" w:type="dxa"/>
            <w:vAlign w:val="bottom"/>
          </w:tcPr>
          <w:p>
            <w:pPr>
              <w:spacing w:after="0"/>
              <w:rPr>
                <w:sz w:val="19"/>
                <w:szCs w:val="19"/>
                <w:color w:val="auto"/>
              </w:rPr>
            </w:pPr>
          </w:p>
        </w:tc>
        <w:tc>
          <w:tcPr>
            <w:tcW w:w="6400" w:type="dxa"/>
            <w:vAlign w:val="bottom"/>
          </w:tcPr>
          <w:p>
            <w:pPr>
              <w:ind w:left="1000"/>
              <w:spacing w:after="0"/>
              <w:rPr>
                <w:sz w:val="20"/>
                <w:szCs w:val="20"/>
                <w:color w:val="auto"/>
              </w:rPr>
            </w:pPr>
            <w:r>
              <w:rPr>
                <w:rFonts w:ascii="Arial" w:cs="Arial" w:eastAsia="Arial" w:hAnsi="Arial"/>
                <w:sz w:val="18"/>
                <w:szCs w:val="18"/>
                <w:color w:val="auto"/>
              </w:rPr>
              <w:t>the Sarbanes-Oxley Act of 2002</w:t>
            </w:r>
          </w:p>
        </w:tc>
        <w:tc>
          <w:tcPr>
            <w:tcW w:w="2340" w:type="dxa"/>
            <w:vAlign w:val="bottom"/>
          </w:tcPr>
          <w:p>
            <w:pPr>
              <w:spacing w:after="0"/>
              <w:rPr>
                <w:sz w:val="19"/>
                <w:szCs w:val="19"/>
                <w:color w:val="auto"/>
              </w:rPr>
            </w:pPr>
          </w:p>
        </w:tc>
      </w:tr>
      <w:tr>
        <w:trPr>
          <w:trHeight w:val="439"/>
        </w:trPr>
        <w:tc>
          <w:tcPr>
            <w:tcW w:w="1320" w:type="dxa"/>
            <w:vAlign w:val="bottom"/>
          </w:tcPr>
          <w:p>
            <w:pPr>
              <w:spacing w:after="0"/>
              <w:rPr>
                <w:sz w:val="20"/>
                <w:szCs w:val="20"/>
                <w:color w:val="auto"/>
              </w:rPr>
            </w:pPr>
            <w:r>
              <w:rPr>
                <w:rFonts w:ascii="Arial" w:cs="Arial" w:eastAsia="Arial" w:hAnsi="Arial"/>
                <w:sz w:val="18"/>
                <w:szCs w:val="18"/>
                <w:color w:val="auto"/>
              </w:rPr>
              <w:t>101</w:t>
            </w:r>
          </w:p>
        </w:tc>
        <w:tc>
          <w:tcPr>
            <w:tcW w:w="6400" w:type="dxa"/>
            <w:vAlign w:val="bottom"/>
          </w:tcPr>
          <w:p>
            <w:pPr>
              <w:ind w:left="1000"/>
              <w:spacing w:after="0"/>
              <w:rPr>
                <w:sz w:val="20"/>
                <w:szCs w:val="20"/>
                <w:color w:val="auto"/>
              </w:rPr>
            </w:pPr>
            <w:r>
              <w:rPr>
                <w:rFonts w:ascii="Arial" w:cs="Arial" w:eastAsia="Arial" w:hAnsi="Arial"/>
                <w:sz w:val="18"/>
                <w:szCs w:val="18"/>
                <w:color w:val="auto"/>
              </w:rPr>
              <w:t>The following materials from Northern Technologies</w:t>
            </w:r>
          </w:p>
        </w:tc>
        <w:tc>
          <w:tcPr>
            <w:tcW w:w="2340" w:type="dxa"/>
            <w:vAlign w:val="bottom"/>
          </w:tcPr>
          <w:p>
            <w:pPr>
              <w:jc w:val="center"/>
              <w:ind w:left="872"/>
              <w:spacing w:after="0"/>
              <w:rPr>
                <w:sz w:val="20"/>
                <w:szCs w:val="20"/>
                <w:color w:val="auto"/>
              </w:rPr>
            </w:pPr>
            <w:r>
              <w:rPr>
                <w:rFonts w:ascii="Arial" w:cs="Arial" w:eastAsia="Arial" w:hAnsi="Arial"/>
                <w:sz w:val="18"/>
                <w:szCs w:val="18"/>
                <w:color w:val="auto"/>
                <w:w w:val="90"/>
              </w:rPr>
              <w:t>Furnished herewith</w:t>
            </w:r>
          </w:p>
        </w:tc>
      </w:tr>
      <w:tr>
        <w:trPr>
          <w:trHeight w:val="212"/>
        </w:trPr>
        <w:tc>
          <w:tcPr>
            <w:tcW w:w="1320" w:type="dxa"/>
            <w:vAlign w:val="bottom"/>
          </w:tcPr>
          <w:p>
            <w:pPr>
              <w:spacing w:after="0"/>
              <w:rPr>
                <w:sz w:val="18"/>
                <w:szCs w:val="18"/>
                <w:color w:val="auto"/>
              </w:rPr>
            </w:pPr>
          </w:p>
        </w:tc>
        <w:tc>
          <w:tcPr>
            <w:tcW w:w="6400" w:type="dxa"/>
            <w:vAlign w:val="bottom"/>
          </w:tcPr>
          <w:p>
            <w:pPr>
              <w:ind w:left="1000"/>
              <w:spacing w:after="0"/>
              <w:rPr>
                <w:sz w:val="20"/>
                <w:szCs w:val="20"/>
                <w:color w:val="auto"/>
              </w:rPr>
            </w:pPr>
            <w:r>
              <w:rPr>
                <w:rFonts w:ascii="Arial" w:cs="Arial" w:eastAsia="Arial" w:hAnsi="Arial"/>
                <w:sz w:val="18"/>
                <w:szCs w:val="18"/>
                <w:color w:val="auto"/>
              </w:rPr>
              <w:t>International Corporation’s Annual Report on Form 10-K for</w:t>
            </w:r>
          </w:p>
        </w:tc>
        <w:tc>
          <w:tcPr>
            <w:tcW w:w="2340" w:type="dxa"/>
            <w:vAlign w:val="bottom"/>
          </w:tcPr>
          <w:p>
            <w:pPr>
              <w:spacing w:after="0"/>
              <w:rPr>
                <w:sz w:val="18"/>
                <w:szCs w:val="18"/>
                <w:color w:val="auto"/>
              </w:rPr>
            </w:pPr>
          </w:p>
        </w:tc>
      </w:tr>
      <w:tr>
        <w:trPr>
          <w:trHeight w:val="212"/>
        </w:trPr>
        <w:tc>
          <w:tcPr>
            <w:tcW w:w="1320" w:type="dxa"/>
            <w:vAlign w:val="bottom"/>
          </w:tcPr>
          <w:p>
            <w:pPr>
              <w:spacing w:after="0"/>
              <w:rPr>
                <w:sz w:val="18"/>
                <w:szCs w:val="18"/>
                <w:color w:val="auto"/>
              </w:rPr>
            </w:pPr>
          </w:p>
        </w:tc>
        <w:tc>
          <w:tcPr>
            <w:tcW w:w="6400" w:type="dxa"/>
            <w:vAlign w:val="bottom"/>
          </w:tcPr>
          <w:p>
            <w:pPr>
              <w:ind w:left="1000"/>
              <w:spacing w:after="0"/>
              <w:rPr>
                <w:sz w:val="20"/>
                <w:szCs w:val="20"/>
                <w:color w:val="auto"/>
              </w:rPr>
            </w:pPr>
            <w:r>
              <w:rPr>
                <w:rFonts w:ascii="Arial" w:cs="Arial" w:eastAsia="Arial" w:hAnsi="Arial"/>
                <w:sz w:val="18"/>
                <w:szCs w:val="18"/>
                <w:color w:val="auto"/>
              </w:rPr>
              <w:t>the fiscal year ended August 31, 2012, formatted in XBRL</w:t>
            </w:r>
          </w:p>
        </w:tc>
        <w:tc>
          <w:tcPr>
            <w:tcW w:w="2340" w:type="dxa"/>
            <w:vAlign w:val="bottom"/>
          </w:tcPr>
          <w:p>
            <w:pPr>
              <w:spacing w:after="0"/>
              <w:rPr>
                <w:sz w:val="18"/>
                <w:szCs w:val="18"/>
                <w:color w:val="auto"/>
              </w:rPr>
            </w:pPr>
          </w:p>
        </w:tc>
      </w:tr>
      <w:tr>
        <w:trPr>
          <w:trHeight w:val="212"/>
        </w:trPr>
        <w:tc>
          <w:tcPr>
            <w:tcW w:w="1320" w:type="dxa"/>
            <w:vAlign w:val="bottom"/>
          </w:tcPr>
          <w:p>
            <w:pPr>
              <w:spacing w:after="0"/>
              <w:rPr>
                <w:sz w:val="18"/>
                <w:szCs w:val="18"/>
                <w:color w:val="auto"/>
              </w:rPr>
            </w:pPr>
          </w:p>
        </w:tc>
        <w:tc>
          <w:tcPr>
            <w:tcW w:w="6400" w:type="dxa"/>
            <w:vAlign w:val="bottom"/>
          </w:tcPr>
          <w:p>
            <w:pPr>
              <w:ind w:left="1000"/>
              <w:spacing w:after="0"/>
              <w:rPr>
                <w:sz w:val="20"/>
                <w:szCs w:val="20"/>
                <w:color w:val="auto"/>
              </w:rPr>
            </w:pPr>
            <w:r>
              <w:rPr>
                <w:rFonts w:ascii="Arial" w:cs="Arial" w:eastAsia="Arial" w:hAnsi="Arial"/>
                <w:sz w:val="18"/>
                <w:szCs w:val="18"/>
                <w:color w:val="auto"/>
              </w:rPr>
              <w:t>(Extensible Business Reporting Language): (i) the</w:t>
            </w:r>
          </w:p>
        </w:tc>
        <w:tc>
          <w:tcPr>
            <w:tcW w:w="2340" w:type="dxa"/>
            <w:vAlign w:val="bottom"/>
          </w:tcPr>
          <w:p>
            <w:pPr>
              <w:spacing w:after="0"/>
              <w:rPr>
                <w:sz w:val="18"/>
                <w:szCs w:val="18"/>
                <w:color w:val="auto"/>
              </w:rPr>
            </w:pPr>
          </w:p>
        </w:tc>
      </w:tr>
      <w:tr>
        <w:trPr>
          <w:trHeight w:val="223"/>
        </w:trPr>
        <w:tc>
          <w:tcPr>
            <w:tcW w:w="1320" w:type="dxa"/>
            <w:vAlign w:val="bottom"/>
          </w:tcPr>
          <w:p>
            <w:pPr>
              <w:spacing w:after="0"/>
              <w:rPr>
                <w:sz w:val="19"/>
                <w:szCs w:val="19"/>
                <w:color w:val="auto"/>
              </w:rPr>
            </w:pPr>
          </w:p>
        </w:tc>
        <w:tc>
          <w:tcPr>
            <w:tcW w:w="6400" w:type="dxa"/>
            <w:vAlign w:val="bottom"/>
          </w:tcPr>
          <w:p>
            <w:pPr>
              <w:ind w:left="1000"/>
              <w:spacing w:after="0"/>
              <w:rPr>
                <w:sz w:val="20"/>
                <w:szCs w:val="20"/>
                <w:color w:val="auto"/>
              </w:rPr>
            </w:pPr>
            <w:r>
              <w:rPr>
                <w:rFonts w:ascii="Arial" w:cs="Arial" w:eastAsia="Arial" w:hAnsi="Arial"/>
                <w:sz w:val="18"/>
                <w:szCs w:val="18"/>
                <w:color w:val="auto"/>
              </w:rPr>
              <w:t>Consolidated Balance Sheets, (ii) the Consolidated Statements</w:t>
            </w:r>
          </w:p>
        </w:tc>
        <w:tc>
          <w:tcPr>
            <w:tcW w:w="2340" w:type="dxa"/>
            <w:vAlign w:val="bottom"/>
          </w:tcPr>
          <w:p>
            <w:pPr>
              <w:spacing w:after="0"/>
              <w:rPr>
                <w:sz w:val="19"/>
                <w:szCs w:val="19"/>
                <w:color w:val="auto"/>
              </w:rPr>
            </w:pPr>
          </w:p>
        </w:tc>
      </w:tr>
    </w:tbl>
    <w:p>
      <w:pPr>
        <w:ind w:left="2320"/>
        <w:spacing w:after="0"/>
        <w:rPr>
          <w:sz w:val="20"/>
          <w:szCs w:val="20"/>
          <w:color w:val="auto"/>
        </w:rPr>
      </w:pPr>
      <w:r>
        <w:rPr>
          <w:rFonts w:ascii="Arial" w:cs="Arial" w:eastAsia="Arial" w:hAnsi="Arial"/>
          <w:sz w:val="18"/>
          <w:szCs w:val="18"/>
          <w:color w:val="auto"/>
        </w:rPr>
        <w:t>of Operations, (iii) the Consolidated Statements of Equity, (iv)</w:t>
      </w:r>
    </w:p>
    <w:p>
      <w:pPr>
        <w:spacing w:after="0" w:line="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the Consolidated Statements of Cash Flows, and (v) Notes to</w:t>
      </w:r>
    </w:p>
    <w:p>
      <w:pPr>
        <w:spacing w:after="0" w:line="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0" w:hanging="314"/>
        <w:spacing w:after="0" w:line="271" w:lineRule="auto"/>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Pursuant to Rule 406T of Regulation S-T, the XBRL related information in Exhibit 101 to this annual report on Form 10-K shall not be deemed to be “filed” for purposes of Section 18 of the Securities Exchange Act of 1934, as amended, or otherwise subject to the liability of that section, and shall not be deemed part of a registration statement, prospectus or other document filed under Section 11 or 12 of the Securities Act of 1933, as amended, or otherwise subject to the liability of those sections, except as shall be expressly set forth by specific reference in such filings.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7011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0115" cy="38100"/>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NON-EMPLOYEE DIRECTOR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ARRANGEMENTS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NTIC’s non-employee directors currently consist of Pierre Chenu, Soo Keong Koh, Ph.D., Sunggyu Lee, Ph.D., Ramani Narayan, Ph.D., Richard J. Nigon, Mark J. Stone and Konstantin von Falkenhausen. NTIC uses a combination of cash and long-term equity-based incentive compensation in the form of annual stock option grants to attract and retain qualified candidates to serve on the Board of Directors.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Retainers; Meeting Fees</w:t>
      </w:r>
    </w:p>
    <w:p>
      <w:pPr>
        <w:spacing w:after="0" w:line="250"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Each non-employee director receives an annual retainer of $10,000 for services rendered as a director of NTIC. The annual retainer is paid quarterly. NTIC’s Chairman of the Board receives an additional annual retainer of $15,000, the Chair of the Audit Committee receives an additional annual retainer of $5,000 and other members of the Audit Committee received an additional annual retainer of $4,000. Each non-employee director also receives $1,000 for each Board and strategy review meeting attended and $1,000 for each Audit Committee, Compensation Committee and Nominating and Corporate Governance Committee meeting attended. No director, however, will earn more than $1,000 per day in Board, Board committee and strategy review meeting fees. Any director that is an employee of NTIC (G. Patrick Lynch) does not receive any retainer or Board or Committee meeting fees.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0"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Each non-employee director is automatically granted a five-year non-qualified option to purchase 4,000 shares of NTIC common stock in consideration for their services as directors of NTIC and the Chairman of the Board is automatically granted an additional five-year non-qualified option to purchase 2,000 shares of NTIC common stock in consideration for his services as Chairman on the first day of each fiscal year. Each non-employee directors who is elected or appointed to the Board following the first day of the fiscal year receives an automatic grant of an option to purchase a pro rata portion of 4,000 shares of NTIC common stock calculated by dividing the number of months remaining in the fiscal year at the time of election or appointment divided by 12, which options are automatically granted at the time of the new director’s election or appointment. Each automatically granted option becomes exercisable, in full on the one-year anniversary of the date of its grant. The exercise price of such option is equal to the fair market value of a share of NTIC common stock on the date of grant. All such options are granted under the Northern Technologies International Corporation Amended and Restated 2007 Stock Incentive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50"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All of directors of NTIC are reimbursed for travel expenses for attending meetings and other miscellaneous out-of-pocket expenses incurred in performing their Board functions.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NTIC has entered into agreements with all of its directors under which NTIC is required to indemnify them against expenses, judgments, penalties, fines, settlements and other amounts actually and reasonably incurred, including expenses of a derivative action, in connection with an actual or threatened proceeding if any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394970</wp:posOffset>
            </wp:positionV>
            <wp:extent cx="725360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3810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spacing w:after="0" w:line="270" w:lineRule="auto"/>
        <w:rPr>
          <w:sz w:val="20"/>
          <w:szCs w:val="20"/>
          <w:color w:val="auto"/>
        </w:rPr>
      </w:pPr>
      <w:r>
        <w:rPr>
          <w:rFonts w:ascii="Arial" w:cs="Arial" w:eastAsia="Arial" w:hAnsi="Arial"/>
          <w:sz w:val="17"/>
          <w:szCs w:val="17"/>
          <w:color w:val="auto"/>
        </w:rPr>
        <w:t>may be made a party because he or she is or was a director of NTIC. NTIC will be obligated to pay these amounts only if the director acted in good faith and in a manner that he or she reasonably believed to be in or not opposed to NTIC’s best interests. With respect to any criminal proceeding, NTIC will be obligated to pay these amounts only if the director had no reasonable cause to believe his or her conduct was unlawful. The indemnification agreements also set forth procedures that will apply in the event of a claim for indemnification.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Arrangements</w:t>
      </w:r>
    </w:p>
    <w:p>
      <w:pPr>
        <w:spacing w:after="0" w:line="250"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NTIC paid consulting fees to Bioplastic Polymers LLC, an entity which is owned by Ramani Narayan, Ph.D., in the aggregate amount of $100,000 and royalty fees in an aggregate amount of $7,745 during the fiscal year ended August 31, 2012. The consulting services rendered by Bioplastic Polymers LLC related to research and development associated with various new technologies. The royalty fees were paid pursuant to an oral agreement pursuant to which NTIC has agreed to pay Bioplastic Polymers LLC and Dr. Narayan in consideration of the transfer and assignment by Biopolymer Plastics LLC and Dr. Narayan of certain biodegradable polymer technology to NTIC, an aggregate of three percent of the gross margin on any net sales of products incorporating the biodegradable polymer technology transferred to NTIC by Bioplastic Polymers LLC and Dr. Narayan for a period of 10 years, provided that if a patent for or with respect to biodegradable polymer technology is issued before the expiration of such 10 year period, then NTIC will until the expiration of such patent pay to Bioplastic Polymers LLC and Dr. Narayan an aggregate three percent of the biodegradable polymer technology gross margin attributable to such patent.</w:t>
      </w:r>
    </w:p>
    <w:p>
      <w:pPr>
        <w:sectPr>
          <w:pgSz w:w="11900" w:h="16838" w:orient="portrait"/>
          <w:cols w:equalWidth="0" w:num="1">
            <w:col w:w="11400"/>
          </w:cols>
          <w:pgMar w:left="240" w:top="277" w:right="25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29"/>
        </w:trPr>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ind w:left="1700"/>
              <w:spacing w:after="0"/>
              <w:rPr>
                <w:sz w:val="20"/>
                <w:szCs w:val="20"/>
                <w:color w:val="auto"/>
              </w:rPr>
            </w:pPr>
            <w:r>
              <w:rPr>
                <w:rFonts w:ascii="Arial" w:cs="Arial" w:eastAsia="Arial" w:hAnsi="Arial"/>
                <w:sz w:val="18"/>
                <w:szCs w:val="18"/>
                <w:b w:val="1"/>
                <w:bCs w:val="1"/>
                <w:color w:val="auto"/>
                <w:w w:val="89"/>
              </w:rPr>
              <w:t>Exhibit 21.1</w:t>
            </w:r>
          </w:p>
        </w:tc>
      </w:tr>
      <w:tr>
        <w:trPr>
          <w:trHeight w:val="451"/>
        </w:trPr>
        <w:tc>
          <w:tcPr>
            <w:tcW w:w="2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80" w:type="dxa"/>
            <w:vAlign w:val="bottom"/>
            <w:gridSpan w:val="3"/>
          </w:tcPr>
          <w:p>
            <w:pPr>
              <w:ind w:left="1040"/>
              <w:spacing w:after="0"/>
              <w:rPr>
                <w:sz w:val="20"/>
                <w:szCs w:val="20"/>
                <w:color w:val="auto"/>
              </w:rPr>
            </w:pPr>
            <w:r>
              <w:rPr>
                <w:rFonts w:ascii="Arial" w:cs="Arial" w:eastAsia="Arial" w:hAnsi="Arial"/>
                <w:sz w:val="18"/>
                <w:szCs w:val="18"/>
                <w:b w:val="1"/>
                <w:bCs w:val="1"/>
                <w:color w:val="auto"/>
              </w:rPr>
              <w:t>SUBSIDIARIES OF THE REGISTRANT</w:t>
            </w: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672"/>
        </w:trPr>
        <w:tc>
          <w:tcPr>
            <w:tcW w:w="2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w:t>
            </w:r>
          </w:p>
        </w:tc>
        <w:tc>
          <w:tcPr>
            <w:tcW w:w="2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12"/>
        </w:trPr>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8"/>
              </w:rPr>
              <w:t>Jurisdiction of</w:t>
            </w: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0"/>
              </w:rPr>
              <w:t>Names Under Which</w:t>
            </w:r>
          </w:p>
        </w:tc>
      </w:tr>
      <w:tr>
        <w:trPr>
          <w:trHeight w:val="212"/>
        </w:trPr>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0"/>
              </w:rPr>
              <w:t>Incorporation or</w:t>
            </w:r>
          </w:p>
        </w:tc>
        <w:tc>
          <w:tcPr>
            <w:tcW w:w="2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2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6"/>
              </w:rPr>
              <w:t>Subsidiary Does</w:t>
            </w:r>
          </w:p>
        </w:tc>
      </w:tr>
      <w:tr>
        <w:trPr>
          <w:trHeight w:val="230"/>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Subsidiary</w:t>
            </w:r>
          </w:p>
        </w:tc>
        <w:tc>
          <w:tcPr>
            <w:tcW w:w="24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Organization</w:t>
            </w:r>
          </w:p>
        </w:tc>
        <w:tc>
          <w:tcPr>
            <w:tcW w:w="22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Business</w:t>
            </w:r>
          </w:p>
        </w:tc>
      </w:tr>
      <w:tr>
        <w:trPr>
          <w:trHeight w:val="417"/>
        </w:trPr>
        <w:tc>
          <w:tcPr>
            <w:tcW w:w="2860" w:type="dxa"/>
            <w:vAlign w:val="bottom"/>
          </w:tcPr>
          <w:p>
            <w:pPr>
              <w:spacing w:after="0"/>
              <w:rPr>
                <w:sz w:val="20"/>
                <w:szCs w:val="20"/>
                <w:color w:val="auto"/>
              </w:rPr>
            </w:pPr>
            <w:r>
              <w:rPr>
                <w:rFonts w:ascii="Arial" w:cs="Arial" w:eastAsia="Arial" w:hAnsi="Arial"/>
                <w:sz w:val="18"/>
                <w:szCs w:val="18"/>
                <w:color w:val="auto"/>
              </w:rPr>
              <w:t>NTI Facilities, Inc.</w:t>
            </w:r>
          </w:p>
        </w:tc>
        <w:tc>
          <w:tcPr>
            <w:tcW w:w="2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Ohio</w:t>
            </w:r>
          </w:p>
        </w:tc>
        <w:tc>
          <w:tcPr>
            <w:tcW w:w="286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0"/>
              </w:rPr>
              <w:t>Same</w:t>
            </w:r>
          </w:p>
        </w:tc>
      </w:tr>
      <w:tr>
        <w:trPr>
          <w:trHeight w:val="439"/>
        </w:trPr>
        <w:tc>
          <w:tcPr>
            <w:tcW w:w="2860" w:type="dxa"/>
            <w:vAlign w:val="bottom"/>
          </w:tcPr>
          <w:p>
            <w:pPr>
              <w:spacing w:after="0"/>
              <w:rPr>
                <w:sz w:val="20"/>
                <w:szCs w:val="20"/>
                <w:color w:val="auto"/>
              </w:rPr>
            </w:pPr>
            <w:r>
              <w:rPr>
                <w:rFonts w:ascii="Arial" w:cs="Arial" w:eastAsia="Arial" w:hAnsi="Arial"/>
                <w:sz w:val="18"/>
                <w:szCs w:val="18"/>
                <w:color w:val="auto"/>
              </w:rPr>
              <w:t>Northern Technologies Holding</w:t>
            </w:r>
          </w:p>
        </w:tc>
        <w:tc>
          <w:tcPr>
            <w:tcW w:w="2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86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0"/>
              </w:rPr>
              <w:t>Same</w:t>
            </w: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Company, LLC</w:t>
            </w:r>
          </w:p>
        </w:tc>
        <w:tc>
          <w:tcPr>
            <w:tcW w:w="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51"/>
        </w:trPr>
        <w:tc>
          <w:tcPr>
            <w:tcW w:w="2860" w:type="dxa"/>
            <w:vAlign w:val="bottom"/>
          </w:tcPr>
          <w:p>
            <w:pPr>
              <w:spacing w:after="0"/>
              <w:rPr>
                <w:sz w:val="20"/>
                <w:szCs w:val="20"/>
                <w:color w:val="auto"/>
              </w:rPr>
            </w:pPr>
            <w:r>
              <w:rPr>
                <w:rFonts w:ascii="Arial" w:cs="Arial" w:eastAsia="Arial" w:hAnsi="Arial"/>
                <w:sz w:val="18"/>
                <w:szCs w:val="18"/>
                <w:color w:val="auto"/>
                <w:w w:val="99"/>
              </w:rPr>
              <w:t>Zerust Prevenção de Corrosão S.A.</w:t>
            </w:r>
          </w:p>
        </w:tc>
        <w:tc>
          <w:tcPr>
            <w:tcW w:w="2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3"/>
              </w:rPr>
              <w:t>Brazil</w:t>
            </w:r>
          </w:p>
        </w:tc>
        <w:tc>
          <w:tcPr>
            <w:tcW w:w="286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85%</w:t>
            </w:r>
          </w:p>
        </w:tc>
        <w:tc>
          <w:tcPr>
            <w:tcW w:w="2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0"/>
              </w:rPr>
              <w:t>Same</w:t>
            </w:r>
          </w:p>
        </w:tc>
      </w:tr>
    </w:tbl>
    <w:p>
      <w:pPr>
        <w:sectPr>
          <w:pgSz w:w="11900" w:h="16838" w:orient="portrait"/>
          <w:cols w:equalWidth="0" w:num="1">
            <w:col w:w="11420"/>
          </w:cols>
          <w:pgMar w:left="240" w:top="12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on Form S-8 (File Nos. 333-140244, 333-140245 and 333-171828) of Northern Technologies International Corporation and Subsidiaries of our report dated November 19, 2012, which appears on page 51 of this annual report on Form 10-K for the fiscal year ended August 31,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Baker Tilly Virchow Krause, LLP</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November 19, 2012</w:t>
      </w:r>
    </w:p>
    <w:p>
      <w:pPr>
        <w:sectPr>
          <w:pgSz w:w="11900" w:h="16838" w:orient="portrait"/>
          <w:cols w:equalWidth="0" w:num="1">
            <w:col w:w="11420"/>
          </w:cols>
          <w:pgMar w:left="240" w:top="12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44" w:lineRule="exact"/>
        <w:rPr>
          <w:sz w:val="20"/>
          <w:szCs w:val="20"/>
          <w:color w:val="auto"/>
        </w:rPr>
      </w:pPr>
    </w:p>
    <w:p>
      <w:pPr>
        <w:ind w:left="640" w:hanging="634"/>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243" w:lineRule="exact"/>
        <w:rPr>
          <w:rFonts w:ascii="Arial" w:cs="Arial" w:eastAsia="Arial" w:hAnsi="Arial"/>
          <w:sz w:val="18"/>
          <w:szCs w:val="18"/>
          <w:color w:val="auto"/>
        </w:rPr>
      </w:pPr>
    </w:p>
    <w:p>
      <w:pPr>
        <w:ind w:left="640" w:hanging="634"/>
        <w:spacing w:after="0" w:line="366" w:lineRule="auto"/>
        <w:tabs>
          <w:tab w:leader="none" w:pos="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5"/>
          <w:szCs w:val="15"/>
          <w:color w:val="auto"/>
        </w:rPr>
      </w:pPr>
    </w:p>
    <w:p>
      <w:pPr>
        <w:ind w:left="640" w:right="460" w:hanging="634"/>
        <w:spacing w:after="0" w:line="294" w:lineRule="auto"/>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left="640" w:right="80" w:hanging="634"/>
        <w:spacing w:after="0" w:line="255"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rFonts w:ascii="Arial" w:cs="Arial" w:eastAsia="Arial" w:hAnsi="Arial"/>
          <w:sz w:val="18"/>
          <w:szCs w:val="18"/>
          <w:color w:val="auto"/>
        </w:rPr>
      </w:pPr>
    </w:p>
    <w:p>
      <w:pPr>
        <w:ind w:left="640" w:right="20" w:firstLine="2"/>
        <w:spacing w:after="0" w:line="255" w:lineRule="auto"/>
        <w:tabs>
          <w:tab w:leader="none" w:pos="1366"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jc w:val="both"/>
        <w:ind w:left="640" w:right="400" w:firstLine="2"/>
        <w:spacing w:after="0" w:line="255" w:lineRule="auto"/>
        <w:tabs>
          <w:tab w:leader="none" w:pos="1376"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215" w:lineRule="exact"/>
        <w:rPr>
          <w:rFonts w:ascii="Arial" w:cs="Arial" w:eastAsia="Arial" w:hAnsi="Arial"/>
          <w:sz w:val="18"/>
          <w:szCs w:val="18"/>
          <w:color w:val="auto"/>
        </w:rPr>
      </w:pPr>
    </w:p>
    <w:p>
      <w:pPr>
        <w:ind w:left="640" w:right="520" w:firstLine="2"/>
        <w:spacing w:after="0" w:line="366" w:lineRule="auto"/>
        <w:tabs>
          <w:tab w:leader="none" w:pos="1366" w:val="left"/>
        </w:tabs>
        <w:numPr>
          <w:ilvl w:val="1"/>
          <w:numId w:val="2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5"/>
          <w:szCs w:val="15"/>
          <w:color w:val="auto"/>
        </w:rPr>
      </w:pPr>
    </w:p>
    <w:p>
      <w:pPr>
        <w:ind w:left="640" w:right="20" w:firstLine="2"/>
        <w:spacing w:after="0" w:line="255" w:lineRule="auto"/>
        <w:tabs>
          <w:tab w:leader="none" w:pos="1376"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rFonts w:ascii="Arial" w:cs="Arial" w:eastAsia="Arial" w:hAnsi="Arial"/>
          <w:sz w:val="18"/>
          <w:szCs w:val="18"/>
          <w:color w:val="auto"/>
        </w:rPr>
      </w:pPr>
    </w:p>
    <w:p>
      <w:pPr>
        <w:ind w:left="640" w:right="240" w:hanging="634"/>
        <w:spacing w:after="0" w:line="366" w:lineRule="auto"/>
        <w:tabs>
          <w:tab w:leader="none" w:pos="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5"/>
          <w:szCs w:val="15"/>
          <w:color w:val="auto"/>
        </w:rPr>
      </w:pPr>
    </w:p>
    <w:p>
      <w:pPr>
        <w:ind w:left="640" w:right="720" w:firstLine="2"/>
        <w:spacing w:after="0" w:line="366" w:lineRule="auto"/>
        <w:tabs>
          <w:tab w:leader="none" w:pos="1312" w:val="left"/>
        </w:tabs>
        <w:numPr>
          <w:ilvl w:val="1"/>
          <w:numId w:val="2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36" w:lineRule="exact"/>
        <w:rPr>
          <w:rFonts w:ascii="Arial" w:cs="Arial" w:eastAsia="Arial" w:hAnsi="Arial"/>
          <w:sz w:val="15"/>
          <w:szCs w:val="15"/>
          <w:color w:val="auto"/>
        </w:rPr>
      </w:pPr>
    </w:p>
    <w:p>
      <w:pPr>
        <w:ind w:left="640" w:right="480" w:firstLine="2"/>
        <w:spacing w:after="0" w:line="265" w:lineRule="auto"/>
        <w:tabs>
          <w:tab w:leader="none" w:pos="132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138430</wp:posOffset>
            </wp:positionV>
            <wp:extent cx="1700530" cy="3702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00530" cy="37020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137160</wp:posOffset>
            </wp:positionV>
            <wp:extent cx="36201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20135" cy="8255"/>
                    </a:xfrm>
                    <a:prstGeom prst="rect">
                      <a:avLst/>
                    </a:prstGeom>
                    <a:noFill/>
                  </pic:spPr>
                </pic:pic>
              </a:graphicData>
            </a:graphic>
          </wp:anchor>
        </w:drawing>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 Patrick Lynch</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244"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44" w:lineRule="exact"/>
        <w:rPr>
          <w:sz w:val="20"/>
          <w:szCs w:val="20"/>
          <w:color w:val="auto"/>
        </w:rPr>
      </w:pPr>
    </w:p>
    <w:p>
      <w:pPr>
        <w:ind w:left="800" w:hanging="794"/>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243" w:lineRule="exact"/>
        <w:rPr>
          <w:rFonts w:ascii="Arial" w:cs="Arial" w:eastAsia="Arial" w:hAnsi="Arial"/>
          <w:sz w:val="18"/>
          <w:szCs w:val="18"/>
          <w:color w:val="auto"/>
        </w:rPr>
      </w:pPr>
    </w:p>
    <w:p>
      <w:pPr>
        <w:jc w:val="both"/>
        <w:ind w:left="800" w:right="340" w:hanging="794"/>
        <w:spacing w:after="0" w:line="255"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Arial" w:cs="Arial" w:eastAsia="Arial" w:hAnsi="Arial"/>
          <w:sz w:val="18"/>
          <w:szCs w:val="18"/>
          <w:color w:val="auto"/>
        </w:rPr>
      </w:pPr>
    </w:p>
    <w:p>
      <w:pPr>
        <w:ind w:left="800" w:right="300" w:hanging="794"/>
        <w:spacing w:after="0" w:line="294" w:lineRule="auto"/>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jc w:val="both"/>
        <w:ind w:left="800" w:right="340" w:hanging="794"/>
        <w:spacing w:after="0" w:line="255"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rFonts w:ascii="Arial" w:cs="Arial" w:eastAsia="Arial" w:hAnsi="Arial"/>
          <w:sz w:val="18"/>
          <w:szCs w:val="18"/>
          <w:color w:val="auto"/>
        </w:rPr>
      </w:pPr>
    </w:p>
    <w:p>
      <w:pPr>
        <w:ind w:left="800" w:right="100" w:firstLine="2"/>
        <w:spacing w:after="0" w:line="255" w:lineRule="auto"/>
        <w:tabs>
          <w:tab w:leader="none" w:pos="1482"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jc w:val="both"/>
        <w:ind w:left="800" w:right="280" w:firstLine="2"/>
        <w:spacing w:after="0" w:line="255" w:lineRule="auto"/>
        <w:tabs>
          <w:tab w:leader="none" w:pos="14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215" w:lineRule="exact"/>
        <w:rPr>
          <w:rFonts w:ascii="Arial" w:cs="Arial" w:eastAsia="Arial" w:hAnsi="Arial"/>
          <w:sz w:val="18"/>
          <w:szCs w:val="18"/>
          <w:color w:val="auto"/>
        </w:rPr>
      </w:pPr>
    </w:p>
    <w:p>
      <w:pPr>
        <w:ind w:left="800" w:right="400" w:firstLine="2"/>
        <w:spacing w:after="0" w:line="366" w:lineRule="auto"/>
        <w:tabs>
          <w:tab w:leader="none" w:pos="1482" w:val="left"/>
        </w:tabs>
        <w:numPr>
          <w:ilvl w:val="1"/>
          <w:numId w:val="2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5"/>
          <w:szCs w:val="15"/>
          <w:color w:val="auto"/>
        </w:rPr>
      </w:pPr>
    </w:p>
    <w:p>
      <w:pPr>
        <w:ind w:left="800" w:right="380" w:firstLine="2"/>
        <w:spacing w:after="0" w:line="255" w:lineRule="auto"/>
        <w:tabs>
          <w:tab w:leader="none" w:pos="14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rFonts w:ascii="Arial" w:cs="Arial" w:eastAsia="Arial" w:hAnsi="Arial"/>
          <w:sz w:val="18"/>
          <w:szCs w:val="18"/>
          <w:color w:val="auto"/>
        </w:rPr>
      </w:pPr>
    </w:p>
    <w:p>
      <w:pPr>
        <w:ind w:left="800" w:right="100" w:hanging="794"/>
        <w:spacing w:after="0" w:line="366" w:lineRule="auto"/>
        <w:tabs>
          <w:tab w:leader="none" w:pos="8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5"/>
          <w:szCs w:val="15"/>
          <w:color w:val="auto"/>
        </w:rPr>
      </w:pPr>
    </w:p>
    <w:p>
      <w:pPr>
        <w:ind w:left="800" w:right="560" w:firstLine="2"/>
        <w:spacing w:after="0" w:line="366" w:lineRule="auto"/>
        <w:tabs>
          <w:tab w:leader="none" w:pos="1472" w:val="left"/>
        </w:tabs>
        <w:numPr>
          <w:ilvl w:val="1"/>
          <w:numId w:val="2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36" w:lineRule="exact"/>
        <w:rPr>
          <w:rFonts w:ascii="Arial" w:cs="Arial" w:eastAsia="Arial" w:hAnsi="Arial"/>
          <w:sz w:val="15"/>
          <w:szCs w:val="15"/>
          <w:color w:val="auto"/>
        </w:rPr>
      </w:pPr>
    </w:p>
    <w:p>
      <w:pPr>
        <w:ind w:left="800" w:right="320" w:firstLine="2"/>
        <w:spacing w:after="0" w:line="265" w:lineRule="auto"/>
        <w:tabs>
          <w:tab w:leader="none" w:pos="148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138430</wp:posOffset>
            </wp:positionV>
            <wp:extent cx="1322070" cy="6229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22070" cy="62293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263525</wp:posOffset>
            </wp:positionV>
            <wp:extent cx="36201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20135" cy="8255"/>
                    </a:xfrm>
                    <a:prstGeom prst="rect">
                      <a:avLst/>
                    </a:prstGeom>
                    <a:noFill/>
                  </pic:spPr>
                </pic:pic>
              </a:graphicData>
            </a:graphic>
          </wp:anchor>
        </w:drawing>
      </w:r>
    </w:p>
    <w:p>
      <w:pPr>
        <w:spacing w:after="0" w:line="39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C. Wolsfeld, CPA</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Corporate Secretary</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3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2012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218" w:lineRule="exact"/>
        <w:rPr>
          <w:sz w:val="20"/>
          <w:szCs w:val="20"/>
          <w:color w:val="auto"/>
        </w:rPr>
      </w:pPr>
    </w:p>
    <w:p>
      <w:pPr>
        <w:ind w:left="1600" w:hanging="297"/>
        <w:spacing w:after="0"/>
        <w:tabs>
          <w:tab w:leader="none" w:pos="1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3" w:lineRule="exact"/>
        <w:rPr>
          <w:rFonts w:ascii="Arial" w:cs="Arial" w:eastAsia="Arial" w:hAnsi="Arial"/>
          <w:sz w:val="18"/>
          <w:szCs w:val="18"/>
          <w:color w:val="auto"/>
        </w:rPr>
      </w:pPr>
    </w:p>
    <w:p>
      <w:pPr>
        <w:ind w:left="1600" w:hanging="297"/>
        <w:spacing w:after="0" w:line="265" w:lineRule="auto"/>
        <w:tabs>
          <w:tab w:leader="none" w:pos="1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290195</wp:posOffset>
            </wp:positionV>
            <wp:extent cx="3620135" cy="3790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20135" cy="379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 Patrick Lynch</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November 19, 2012</w:t>
      </w:r>
    </w:p>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32" w:lineRule="exact"/>
        <w:rPr>
          <w:sz w:val="20"/>
          <w:szCs w:val="20"/>
          <w:color w:val="auto"/>
        </w:rPr>
      </w:pPr>
    </w:p>
    <w:p>
      <w:pPr>
        <w:ind w:right="60"/>
        <w:spacing w:after="0" w:line="330" w:lineRule="auto"/>
        <w:rPr>
          <w:sz w:val="20"/>
          <w:szCs w:val="20"/>
          <w:color w:val="auto"/>
        </w:rPr>
      </w:pPr>
      <w:r>
        <w:rPr>
          <w:rFonts w:ascii="Arial" w:cs="Arial" w:eastAsia="Arial" w:hAnsi="Arial"/>
          <w:sz w:val="15"/>
          <w:szCs w:val="15"/>
          <w:color w:val="auto"/>
        </w:rPr>
        <w:t>In connection with the Annual Report of Northern Technologies International Corporation (the “Company”) on Form 10-K for the period ending August 31, 2012 as filed with the Securities and Exchange Commission on the date hereof (the “Report”), I, Matthew C. Wolsfeld, Chief Financial Officer of the Company, certify, pursuant to 18 U.S.C. Section 1350, as adopted pursuant to Section 906 of the Sarbanes-Oxley Act of 2002, that, to the best of my knowledge and belief:</w:t>
      </w:r>
    </w:p>
    <w:p>
      <w:pPr>
        <w:spacing w:after="0" w:line="164" w:lineRule="exact"/>
        <w:rPr>
          <w:sz w:val="20"/>
          <w:szCs w:val="20"/>
          <w:color w:val="auto"/>
        </w:rPr>
      </w:pPr>
    </w:p>
    <w:p>
      <w:pPr>
        <w:ind w:left="1600" w:hanging="297"/>
        <w:spacing w:after="0"/>
        <w:tabs>
          <w:tab w:leader="none" w:pos="1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3" w:lineRule="exact"/>
        <w:rPr>
          <w:rFonts w:ascii="Arial" w:cs="Arial" w:eastAsia="Arial" w:hAnsi="Arial"/>
          <w:sz w:val="18"/>
          <w:szCs w:val="18"/>
          <w:color w:val="auto"/>
        </w:rPr>
      </w:pPr>
    </w:p>
    <w:p>
      <w:pPr>
        <w:ind w:left="1600" w:hanging="297"/>
        <w:spacing w:after="0" w:line="265" w:lineRule="auto"/>
        <w:tabs>
          <w:tab w:leader="none" w:pos="1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290195</wp:posOffset>
            </wp:positionV>
            <wp:extent cx="3620135" cy="6311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20135" cy="631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C. Wolsfeld, CPA</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Corporate Secretary</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 and principal</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November 19, 2012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lowerRoman"/>
      <w:start w:val="10"/>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2"/>
    </w:lvl>
  </w:abstractNum>
  <w:abstractNum w:abstractNumId="12">
    <w:nsid w:val="333AB105"/>
    <w:multiLevelType w:val="hybridMultilevel"/>
    <w:lvl w:ilvl="0">
      <w:lvlJc w:val="left"/>
      <w:lvlText w:val="%1."/>
      <w:numFmt w:val="decimal"/>
      <w:start w:val="6"/>
    </w:lvl>
  </w:abstractNum>
  <w:abstractNum w:abstractNumId="13">
    <w:nsid w:val="721DA317"/>
    <w:multiLevelType w:val="hybridMultilevel"/>
    <w:lvl w:ilvl="0">
      <w:lvlJc w:val="left"/>
      <w:lvlText w:val="%1."/>
      <w:numFmt w:val="decimal"/>
      <w:start w:val="7"/>
    </w:lvl>
  </w:abstractNum>
  <w:abstractNum w:abstractNumId="14">
    <w:nsid w:val="2443A858"/>
    <w:multiLevelType w:val="hybridMultilevel"/>
    <w:lvl w:ilvl="0">
      <w:lvlJc w:val="left"/>
      <w:lvlText w:val="%1."/>
      <w:numFmt w:val="decimal"/>
      <w:start w:val="8"/>
    </w:lvl>
  </w:abstractNum>
  <w:abstractNum w:abstractNumId="15">
    <w:nsid w:val="2D1D5AE9"/>
    <w:multiLevelType w:val="hybridMultilevel"/>
    <w:lvl w:ilvl="0">
      <w:lvlJc w:val="left"/>
      <w:lvlText w:val="%1."/>
      <w:numFmt w:val="decimal"/>
      <w:start w:val="9"/>
    </w:lvl>
  </w:abstractNum>
  <w:abstractNum w:abstractNumId="16">
    <w:nsid w:val="6763845E"/>
    <w:multiLevelType w:val="hybridMultilevel"/>
    <w:lvl w:ilvl="0">
      <w:lvlJc w:val="left"/>
      <w:lvlText w:val="%1."/>
      <w:numFmt w:val="decimal"/>
      <w:start w:val="1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3"/>
    </w:lvl>
  </w:abstractNum>
  <w:abstractNum w:abstractNumId="19">
    <w:nsid w:val="79838CB2"/>
    <w:multiLevelType w:val="hybridMultilevel"/>
    <w:lvl w:ilvl="0">
      <w:lvlJc w:val="left"/>
      <w:lvlText w:val="%1."/>
      <w:numFmt w:val="decimal"/>
      <w:start w:val="14"/>
    </w:lvl>
  </w:abstractNum>
  <w:abstractNum w:abstractNumId="20">
    <w:nsid w:val="4353D0CD"/>
    <w:multiLevelType w:val="hybridMultilevel"/>
    <w:lvl w:ilvl="0">
      <w:lvlJc w:val="left"/>
      <w:lvlText w:val="%1."/>
      <w:numFmt w:val="decimal"/>
      <w:start w:val="16"/>
    </w:lvl>
  </w:abstractNum>
  <w:abstractNum w:abstractNumId="21">
    <w:nsid w:val="B03E0C6"/>
    <w:multiLevelType w:val="hybridMultilevel"/>
    <w:lvl w:ilvl="0">
      <w:lvlJc w:val="left"/>
      <w:lvlText w:val="%1."/>
      <w:numFmt w:val="decimal"/>
      <w:start w:val="17"/>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upperLetter"/>
      <w:start w:val="1"/>
    </w:lvl>
  </w:abstractNum>
  <w:abstractNum w:abstractNumId="24">
    <w:nsid w:val="71F32454"/>
    <w:multiLevelType w:val="hybridMultilevel"/>
    <w:lvl w:ilvl="0">
      <w:lvlJc w:val="left"/>
      <w:lvlText w:val="%1."/>
      <w:numFmt w:val="upperLetter"/>
      <w:start w:val="10"/>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2019-12-09T10:05:42Z</dcterms:created>
  <dcterms:modified xsi:type="dcterms:W3CDTF">2019-12-09T10:05:42Z</dcterms:modified>
</cp:coreProperties>
</file>