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680" w:right="1880" w:hanging="3672"/>
        <w:spacing w:after="0" w:line="495" w:lineRule="auto"/>
        <w:tabs>
          <w:tab w:leader="none" w:pos="22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November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 to 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468" w:right="3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33"/>
        </w:trPr>
        <w:tc>
          <w:tcPr>
            <w:tcW w:w="46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r>
      <w:tr>
        <w:trPr>
          <w:trHeight w:val="210"/>
        </w:trPr>
        <w:tc>
          <w:tcPr>
            <w:tcW w:w="46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Trading Symbol(s)</w:t>
            </w:r>
          </w:p>
        </w:tc>
        <w:tc>
          <w:tcPr>
            <w:tcW w:w="43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46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Common stock, par value $0.02 per share</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NTIC</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68" w:right="339" w:bottom="1440" w:gutter="0" w:footer="0" w:header="0"/>
          <w:type w:val="continuous"/>
        </w:sectPr>
      </w:pPr>
    </w:p>
    <w:p>
      <w:pPr>
        <w:spacing w:after="0" w:line="3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6, 2022, there were 9,203,446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88"/>
              </w:rPr>
              <w:t>Description</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r>
                <w:rPr>
                  <w:rFonts w:ascii="Arial" w:cs="Arial" w:eastAsia="Arial" w:hAnsi="Arial"/>
                  <w:sz w:val="18"/>
                  <w:szCs w:val="18"/>
                  <w:color w:val="0000EE"/>
                </w:rPr>
                <w:t>—</w:t>
              </w:r>
              <w:r>
                <w:rPr>
                  <w:rFonts w:ascii="Arial" w:cs="Arial" w:eastAsia="Arial" w:hAnsi="Arial"/>
                  <w:sz w:val="18"/>
                  <w:szCs w:val="18"/>
                  <w:b w:val="1"/>
                  <w:bCs w:val="1"/>
                  <w:color w:val="0000EE"/>
                </w:rPr>
                <w:t>FINANCIAL INFORMATION</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80" w:type="dxa"/>
            <w:vAlign w:val="bottom"/>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November 30, 2021 (unaudited) and August 31, 2021</w:t>
              </w:r>
            </w:hyperlink>
          </w:p>
        </w:tc>
        <w:tc>
          <w:tcPr>
            <w:tcW w:w="2260" w:type="dxa"/>
            <w:vAlign w:val="bottom"/>
            <w:gridSpan w:val="6"/>
          </w:tcPr>
          <w:p>
            <w:pPr>
              <w:spacing w:after="0"/>
              <w:rPr>
                <w:sz w:val="17"/>
                <w:szCs w:val="17"/>
                <w:color w:val="auto"/>
              </w:rPr>
            </w:pPr>
          </w:p>
        </w:tc>
        <w:tc>
          <w:tcPr>
            <w:tcW w:w="90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Months Ended November 30, 2021 and 2020</w:t>
              </w:r>
            </w:hyperlink>
          </w:p>
        </w:tc>
        <w:tc>
          <w:tcPr>
            <w:tcW w:w="680" w:type="dxa"/>
            <w:vAlign w:val="bottom"/>
            <w:gridSpan w:val="3"/>
          </w:tcPr>
          <w:p>
            <w:pPr>
              <w:spacing w:after="0"/>
              <w:rPr>
                <w:sz w:val="17"/>
                <w:szCs w:val="17"/>
                <w:color w:val="auto"/>
              </w:rPr>
            </w:pPr>
          </w:p>
        </w:tc>
        <w:tc>
          <w:tcPr>
            <w:tcW w:w="900" w:type="dxa"/>
            <w:vAlign w:val="bottom"/>
            <w:gridSpan w:val="5"/>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Comprehensive Income (unaudited) for the Three Months Ended November 30, 2021</w:t>
              </w:r>
            </w:hyperlink>
          </w:p>
        </w:tc>
        <w:tc>
          <w:tcPr>
            <w:tcW w:w="900" w:type="dxa"/>
            <w:vAlign w:val="bottom"/>
            <w:gridSpan w:val="5"/>
            <w:vMerge w:val="restart"/>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40" w:type="dxa"/>
            <w:vAlign w:val="bottom"/>
            <w:gridSpan w:val="18"/>
            <w:vMerge w:val="restart"/>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2020</w:t>
              </w:r>
            </w:hyperlink>
          </w:p>
        </w:tc>
        <w:tc>
          <w:tcPr>
            <w:tcW w:w="9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40" w:type="dxa"/>
            <w:vAlign w:val="bottom"/>
            <w:gridSpan w:val="18"/>
            <w:vMerge w:val="continue"/>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Equity (unaudited) for the Three Months Ended November 30, 2021 and 2020</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20" w:type="dxa"/>
            <w:vAlign w:val="bottom"/>
            <w:gridSpan w:val="16"/>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Cash Flows (unaudited) for the Three Months Ended November 30, 2021 and 2020</w:t>
              </w:r>
            </w:hyperlink>
          </w:p>
        </w:tc>
        <w:tc>
          <w:tcPr>
            <w:tcW w:w="620" w:type="dxa"/>
            <w:vAlign w:val="bottom"/>
            <w:gridSpan w:val="2"/>
          </w:tcPr>
          <w:p>
            <w:pPr>
              <w:spacing w:after="0"/>
              <w:rPr>
                <w:sz w:val="17"/>
                <w:szCs w:val="17"/>
                <w:color w:val="auto"/>
              </w:rPr>
            </w:pPr>
          </w:p>
        </w:tc>
        <w:tc>
          <w:tcPr>
            <w:tcW w:w="900" w:type="dxa"/>
            <w:vAlign w:val="bottom"/>
            <w:gridSpan w:val="5"/>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20" w:type="dxa"/>
            <w:vAlign w:val="bottom"/>
            <w:gridSpan w:val="10"/>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4000" w:type="dxa"/>
            <w:vAlign w:val="bottom"/>
            <w:gridSpan w:val="6"/>
          </w:tcPr>
          <w:p>
            <w:pPr>
              <w:spacing w:after="0"/>
              <w:rPr>
                <w:sz w:val="17"/>
                <w:szCs w:val="17"/>
                <w:color w:val="auto"/>
              </w:rPr>
            </w:pPr>
          </w:p>
        </w:tc>
        <w:tc>
          <w:tcPr>
            <w:tcW w:w="620" w:type="dxa"/>
            <w:vAlign w:val="bottom"/>
            <w:gridSpan w:val="2"/>
          </w:tcPr>
          <w:p>
            <w:pPr>
              <w:spacing w:after="0"/>
              <w:rPr>
                <w:sz w:val="17"/>
                <w:szCs w:val="17"/>
                <w:color w:val="auto"/>
              </w:rPr>
            </w:pPr>
          </w:p>
        </w:tc>
        <w:tc>
          <w:tcPr>
            <w:tcW w:w="900" w:type="dxa"/>
            <w:vAlign w:val="bottom"/>
            <w:gridSpan w:val="5"/>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6-17</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18-34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300" w:type="dxa"/>
            <w:vAlign w:val="bottom"/>
            <w:tcBorders>
              <w:left w:val="single" w:sz="8" w:color="0000EE"/>
            </w:tcBorders>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3"/>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r>
                <w:rPr>
                  <w:rFonts w:ascii="Arial" w:cs="Arial" w:eastAsia="Arial" w:hAnsi="Arial"/>
                  <w:sz w:val="18"/>
                  <w:szCs w:val="18"/>
                  <w:color w:val="0000EE"/>
                </w:rPr>
                <w:t>—</w:t>
              </w:r>
              <w:r>
                <w:rPr>
                  <w:rFonts w:ascii="Arial" w:cs="Arial" w:eastAsia="Arial" w:hAnsi="Arial"/>
                  <w:sz w:val="18"/>
                  <w:szCs w:val="18"/>
                  <w:b w:val="1"/>
                  <w:bCs w:val="1"/>
                  <w:color w:val="0000EE"/>
                </w:rPr>
                <w:t>OTHER INFORMATION</w:t>
              </w:r>
            </w:hyperlink>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1.</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864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5.</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900" w:type="dxa"/>
            <w:vAlign w:val="bottom"/>
            <w:gridSpan w:val="5"/>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5"/>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SIGNATURES</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5"/>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Arial" w:cs="Arial" w:eastAsia="Arial" w:hAnsi="Arial"/>
          <w:sz w:val="18"/>
          <w:szCs w:val="18"/>
          <w:color w:val="auto"/>
        </w:rPr>
        <w:t>“</w:t>
      </w:r>
      <w:r>
        <w:rPr>
          <w:rFonts w:ascii="Arial" w:cs="Arial" w:eastAsia="Arial" w:hAnsi="Arial"/>
          <w:sz w:val="18"/>
          <w:szCs w:val="18"/>
          <w:i w:val="1"/>
          <w:iCs w:val="1"/>
          <w:color w:val="auto"/>
        </w:rPr>
        <w:t xml:space="preserve">Part I. Financial Information </w:t>
      </w:r>
      <w:r>
        <w:rPr>
          <w:rFonts w:ascii="Arial" w:cs="Arial" w:eastAsia="Arial" w:hAnsi="Arial"/>
          <w:sz w:val="18"/>
          <w:szCs w:val="18"/>
          <w:color w:val="auto"/>
        </w:rPr>
        <w:t>–</w:t>
      </w:r>
      <w:r>
        <w:rPr>
          <w:rFonts w:ascii="Arial" w:cs="Arial" w:eastAsia="Arial" w:hAnsi="Arial"/>
          <w:sz w:val="18"/>
          <w:szCs w:val="18"/>
          <w:i w:val="1"/>
          <w:iCs w:val="1"/>
          <w:color w:val="auto"/>
        </w:rPr>
        <w:t xml:space="preserve"> Item 2.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Discussion 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Forward-Looking Statements.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 w:name="page3"/>
    <w:bookmarkEnd w:id="2"/>
    <w:p>
      <w:pPr>
        <w:ind w:left="486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 xml:space="preserve">As used in this report, references to </w:t>
      </w:r>
      <w:r>
        <w:rPr>
          <w:rFonts w:ascii="Arial" w:cs="Arial" w:eastAsia="Arial" w:hAnsi="Arial"/>
          <w:sz w:val="18"/>
          <w:szCs w:val="18"/>
          <w:color w:val="auto"/>
        </w:rPr>
        <w:t>“</w:t>
      </w:r>
      <w:r>
        <w:rPr>
          <w:rFonts w:ascii="Arial" w:cs="Arial" w:eastAsia="Arial" w:hAnsi="Arial"/>
          <w:sz w:val="18"/>
          <w:szCs w:val="18"/>
          <w:i w:val="1"/>
          <w:iCs w:val="1"/>
          <w:color w:val="auto"/>
        </w:rPr>
        <w:t>NTIC,</w:t>
      </w:r>
      <w:r>
        <w:rPr>
          <w:rFonts w:ascii="Arial" w:cs="Arial" w:eastAsia="Arial" w:hAnsi="Arial"/>
          <w:sz w:val="18"/>
          <w:szCs w:val="18"/>
          <w:color w:val="auto"/>
        </w:rPr>
        <w:t>”</w:t>
      </w:r>
      <w:r>
        <w:rPr>
          <w:rFonts w:ascii="Arial" w:cs="Arial" w:eastAsia="Arial" w:hAnsi="Arial"/>
          <w:sz w:val="18"/>
          <w:szCs w:val="18"/>
          <w:i w:val="1"/>
          <w:iCs w:val="1"/>
          <w:color w:val="auto"/>
        </w:rPr>
        <w:t xml:space="preserve">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As used in this report, references to: (1) </w:t>
      </w:r>
      <w:r>
        <w:rPr>
          <w:rFonts w:ascii="Arial" w:cs="Arial" w:eastAsia="Arial" w:hAnsi="Arial"/>
          <w:sz w:val="18"/>
          <w:szCs w:val="18"/>
          <w:color w:val="auto"/>
        </w:rPr>
        <w:t>“</w:t>
      </w:r>
      <w:r>
        <w:rPr>
          <w:rFonts w:ascii="Arial" w:cs="Arial" w:eastAsia="Arial" w:hAnsi="Arial"/>
          <w:sz w:val="18"/>
          <w:szCs w:val="18"/>
          <w:i w:val="1"/>
          <w:iCs w:val="1"/>
          <w:color w:val="auto"/>
        </w:rPr>
        <w:t>NTIC China</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NTIC</w:t>
      </w:r>
      <w:r>
        <w:rPr>
          <w:rFonts w:ascii="Arial" w:cs="Arial" w:eastAsia="Arial" w:hAnsi="Arial"/>
          <w:sz w:val="18"/>
          <w:szCs w:val="18"/>
          <w:color w:val="auto"/>
        </w:rPr>
        <w:t>’</w:t>
      </w:r>
      <w:r>
        <w:rPr>
          <w:rFonts w:ascii="Arial" w:cs="Arial" w:eastAsia="Arial" w:hAnsi="Arial"/>
          <w:sz w:val="18"/>
          <w:szCs w:val="18"/>
          <w:i w:val="1"/>
          <w:iCs w:val="1"/>
          <w:color w:val="auto"/>
        </w:rPr>
        <w:t xml:space="preserve">s wholly-owned subsidiary in China, NTIC (Shanghai) Co., Ltd.; (2) </w:t>
      </w:r>
      <w:r>
        <w:rPr>
          <w:rFonts w:ascii="Arial" w:cs="Arial" w:eastAsia="Arial" w:hAnsi="Arial"/>
          <w:sz w:val="18"/>
          <w:szCs w:val="18"/>
          <w:color w:val="auto"/>
        </w:rPr>
        <w:t>“</w:t>
      </w:r>
      <w:r>
        <w:rPr>
          <w:rFonts w:ascii="Arial" w:cs="Arial" w:eastAsia="Arial" w:hAnsi="Arial"/>
          <w:sz w:val="18"/>
          <w:szCs w:val="18"/>
          <w:i w:val="1"/>
          <w:iCs w:val="1"/>
          <w:color w:val="auto"/>
        </w:rPr>
        <w:t>NTI Europe</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NTIC</w:t>
      </w:r>
      <w:r>
        <w:rPr>
          <w:rFonts w:ascii="Arial" w:cs="Arial" w:eastAsia="Arial" w:hAnsi="Arial"/>
          <w:sz w:val="18"/>
          <w:szCs w:val="18"/>
          <w:color w:val="auto"/>
        </w:rPr>
        <w:t>’</w:t>
      </w:r>
      <w:r>
        <w:rPr>
          <w:rFonts w:ascii="Arial" w:cs="Arial" w:eastAsia="Arial" w:hAnsi="Arial"/>
          <w:sz w:val="18"/>
          <w:szCs w:val="18"/>
          <w:i w:val="1"/>
          <w:iCs w:val="1"/>
          <w:color w:val="auto"/>
        </w:rPr>
        <w:t xml:space="preserve">s wholly-owned subsidiary in Germany, NTIC Europe GmbH; (3) </w:t>
      </w:r>
      <w:r>
        <w:rPr>
          <w:rFonts w:ascii="Arial" w:cs="Arial" w:eastAsia="Arial" w:hAnsi="Arial"/>
          <w:sz w:val="18"/>
          <w:szCs w:val="18"/>
          <w:color w:val="auto"/>
        </w:rPr>
        <w:t>“</w:t>
      </w:r>
      <w:r>
        <w:rPr>
          <w:rFonts w:ascii="Arial" w:cs="Arial" w:eastAsia="Arial" w:hAnsi="Arial"/>
          <w:sz w:val="18"/>
          <w:szCs w:val="18"/>
          <w:i w:val="1"/>
          <w:iCs w:val="1"/>
          <w:color w:val="auto"/>
        </w:rPr>
        <w:t>Zerust Mexico</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NTIC</w:t>
      </w:r>
      <w:r>
        <w:rPr>
          <w:rFonts w:ascii="Arial" w:cs="Arial" w:eastAsia="Arial" w:hAnsi="Arial"/>
          <w:sz w:val="18"/>
          <w:szCs w:val="18"/>
          <w:color w:val="auto"/>
        </w:rPr>
        <w:t>’</w:t>
      </w:r>
      <w:r>
        <w:rPr>
          <w:rFonts w:ascii="Arial" w:cs="Arial" w:eastAsia="Arial" w:hAnsi="Arial"/>
          <w:sz w:val="18"/>
          <w:szCs w:val="18"/>
          <w:i w:val="1"/>
          <w:iCs w:val="1"/>
          <w:color w:val="auto"/>
        </w:rPr>
        <w:t xml:space="preserve">s wholly-owned subsidiary in Mexico, ZERUST-EXCOR MEXICO, S. de R.L. de C.V; (4) </w:t>
      </w:r>
      <w:r>
        <w:rPr>
          <w:rFonts w:ascii="Arial" w:cs="Arial" w:eastAsia="Arial" w:hAnsi="Arial"/>
          <w:sz w:val="18"/>
          <w:szCs w:val="18"/>
          <w:color w:val="auto"/>
        </w:rPr>
        <w:t>“</w:t>
      </w:r>
      <w:r>
        <w:rPr>
          <w:rFonts w:ascii="Arial" w:cs="Arial" w:eastAsia="Arial" w:hAnsi="Arial"/>
          <w:sz w:val="18"/>
          <w:szCs w:val="18"/>
          <w:i w:val="1"/>
          <w:iCs w:val="1"/>
          <w:color w:val="auto"/>
        </w:rPr>
        <w:t>Zerust India</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NTIC</w:t>
      </w:r>
      <w:r>
        <w:rPr>
          <w:rFonts w:ascii="Arial" w:cs="Arial" w:eastAsia="Arial" w:hAnsi="Arial"/>
          <w:sz w:val="18"/>
          <w:szCs w:val="18"/>
          <w:color w:val="auto"/>
        </w:rPr>
        <w:t>’</w:t>
      </w:r>
      <w:r>
        <w:rPr>
          <w:rFonts w:ascii="Arial" w:cs="Arial" w:eastAsia="Arial" w:hAnsi="Arial"/>
          <w:sz w:val="18"/>
          <w:szCs w:val="18"/>
          <w:i w:val="1"/>
          <w:iCs w:val="1"/>
          <w:color w:val="auto"/>
        </w:rPr>
        <w:t>s wholly-owned subsidiary in India effective as of September 1, 2021, Harita-NTI Limited; and (5)</w:t>
      </w:r>
      <w:r>
        <w:rPr>
          <w:rFonts w:ascii="Arial" w:cs="Arial" w:eastAsia="Arial" w:hAnsi="Arial"/>
          <w:sz w:val="18"/>
          <w:szCs w:val="18"/>
          <w:color w:val="auto"/>
        </w:rPr>
        <w:t>“</w:t>
      </w:r>
      <w:r>
        <w:rPr>
          <w:rFonts w:ascii="Arial" w:cs="Arial" w:eastAsia="Arial" w:hAnsi="Arial"/>
          <w:sz w:val="18"/>
          <w:szCs w:val="18"/>
          <w:i w:val="1"/>
          <w:iCs w:val="1"/>
          <w:color w:val="auto"/>
        </w:rPr>
        <w:t>NTI Asean</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NTIC</w:t>
      </w:r>
      <w:r>
        <w:rPr>
          <w:rFonts w:ascii="Arial" w:cs="Arial" w:eastAsia="Arial" w:hAnsi="Arial"/>
          <w:sz w:val="18"/>
          <w:szCs w:val="18"/>
          <w:color w:val="auto"/>
        </w:rPr>
        <w:t>’</w:t>
      </w:r>
      <w:r>
        <w:rPr>
          <w:rFonts w:ascii="Arial" w:cs="Arial" w:eastAsia="Arial" w:hAnsi="Arial"/>
          <w:sz w:val="18"/>
          <w:szCs w:val="18"/>
          <w:i w:val="1"/>
          <w:iCs w:val="1"/>
          <w:color w:val="auto"/>
        </w:rPr>
        <w:t>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NTIC</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 do not include the accounts of any of its joint ventures. Except as otherwise indicated, references in this report to NTIC</w:t>
      </w:r>
      <w:r>
        <w:rPr>
          <w:rFonts w:ascii="Arial" w:cs="Arial" w:eastAsia="Arial" w:hAnsi="Arial"/>
          <w:sz w:val="18"/>
          <w:szCs w:val="18"/>
          <w:color w:val="auto"/>
        </w:rPr>
        <w:t>’</w:t>
      </w:r>
      <w:r>
        <w:rPr>
          <w:rFonts w:ascii="Arial" w:cs="Arial" w:eastAsia="Arial" w:hAnsi="Arial"/>
          <w:sz w:val="18"/>
          <w:szCs w:val="18"/>
          <w:i w:val="1"/>
          <w:iCs w:val="1"/>
          <w:color w:val="auto"/>
        </w:rPr>
        <w:t>s joint ventures do not include any of NTIC</w:t>
      </w:r>
      <w:r>
        <w:rPr>
          <w:rFonts w:ascii="Arial" w:cs="Arial" w:eastAsia="Arial" w:hAnsi="Arial"/>
          <w:sz w:val="18"/>
          <w:szCs w:val="18"/>
          <w:color w:val="auto"/>
        </w:rPr>
        <w:t>’</w:t>
      </w:r>
      <w:r>
        <w:rPr>
          <w:rFonts w:ascii="Arial" w:cs="Arial" w:eastAsia="Arial" w:hAnsi="Arial"/>
          <w:sz w:val="18"/>
          <w:szCs w:val="18"/>
          <w:i w:val="1"/>
          <w:iCs w:val="1"/>
          <w:color w:val="auto"/>
        </w:rPr>
        <w:t>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As used in this report, references to </w:t>
      </w:r>
      <w:r>
        <w:rPr>
          <w:rFonts w:ascii="Arial" w:cs="Arial" w:eastAsia="Arial" w:hAnsi="Arial"/>
          <w:sz w:val="16"/>
          <w:szCs w:val="16"/>
          <w:color w:val="auto"/>
        </w:rPr>
        <w:t>“</w:t>
      </w:r>
      <w:r>
        <w:rPr>
          <w:rFonts w:ascii="Arial" w:cs="Arial" w:eastAsia="Arial" w:hAnsi="Arial"/>
          <w:sz w:val="16"/>
          <w:szCs w:val="16"/>
          <w:i w:val="1"/>
          <w:iCs w:val="1"/>
          <w:color w:val="auto"/>
        </w:rPr>
        <w:t>EXCOR</w:t>
      </w:r>
      <w:r>
        <w:rPr>
          <w:rFonts w:ascii="Arial" w:cs="Arial" w:eastAsia="Arial" w:hAnsi="Arial"/>
          <w:sz w:val="16"/>
          <w:szCs w:val="16"/>
          <w:color w:val="auto"/>
        </w:rPr>
        <w:t>”</w:t>
      </w:r>
      <w:r>
        <w:rPr>
          <w:rFonts w:ascii="Arial" w:cs="Arial" w:eastAsia="Arial" w:hAnsi="Arial"/>
          <w:sz w:val="16"/>
          <w:szCs w:val="16"/>
          <w:i w:val="1"/>
          <w:iCs w:val="1"/>
          <w:color w:val="auto"/>
        </w:rPr>
        <w:t xml:space="preserve"> refer to NTIC</w:t>
      </w:r>
      <w:r>
        <w:rPr>
          <w:rFonts w:ascii="Arial" w:cs="Arial" w:eastAsia="Arial" w:hAnsi="Arial"/>
          <w:sz w:val="16"/>
          <w:szCs w:val="16"/>
          <w:color w:val="auto"/>
        </w:rPr>
        <w:t>’</w:t>
      </w:r>
      <w:r>
        <w:rPr>
          <w:rFonts w:ascii="Arial" w:cs="Arial" w:eastAsia="Arial" w:hAnsi="Arial"/>
          <w:sz w:val="16"/>
          <w:szCs w:val="16"/>
          <w:i w:val="1"/>
          <w:iCs w:val="1"/>
          <w:color w:val="auto"/>
        </w:rPr>
        <w:t xml:space="preserve">s joint venture in Germany, Excor Korrosionsschutz </w:t>
      </w:r>
      <w:r>
        <w:rPr>
          <w:rFonts w:ascii="Arial" w:cs="Arial" w:eastAsia="Arial" w:hAnsi="Arial"/>
          <w:sz w:val="16"/>
          <w:szCs w:val="16"/>
          <w:color w:val="auto"/>
        </w:rPr>
        <w:t>–</w:t>
      </w:r>
      <w:r>
        <w:rPr>
          <w:rFonts w:ascii="Arial" w:cs="Arial" w:eastAsia="Arial" w:hAnsi="Arial"/>
          <w:sz w:val="16"/>
          <w:szCs w:val="16"/>
          <w:i w:val="1"/>
          <w:iCs w:val="1"/>
          <w:color w:val="auto"/>
        </w:rPr>
        <w:t xml:space="preserve"> Technologien und Produkte GmbH.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27"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68" w:lineRule="exact"/>
        <w:rPr>
          <w:sz w:val="20"/>
          <w:szCs w:val="20"/>
          <w:color w:val="auto"/>
        </w:rPr>
      </w:pPr>
    </w:p>
    <w:p>
      <w:pPr>
        <w:ind w:right="396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AS OF NOVEMBER 30, 2021 (UNAUDITED) AND AUGUST 31, 2021 (AUDITED)</w:t>
      </w:r>
    </w:p>
    <w:tbl>
      <w:tblPr>
        <w:tblLayout w:type="fixed"/>
        <w:tblInd w:w="0" w:type="dxa"/>
        <w:tblCellMar>
          <w:top w:w="0" w:type="dxa"/>
          <w:left w:w="0" w:type="dxa"/>
          <w:bottom w:w="0" w:type="dxa"/>
          <w:right w:w="0" w:type="dxa"/>
        </w:tblCellMar>
      </w:tblPr>
      <w:tr>
        <w:trPr>
          <w:trHeight w:val="172"/>
        </w:trPr>
        <w:tc>
          <w:tcPr>
            <w:tcW w:w="80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10"/>
              <w:spacing w:after="0" w:line="172"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2021</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8,047,565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7,680,641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4,634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2"/>
        </w:trPr>
        <w:tc>
          <w:tcPr>
            <w:tcW w:w="8000" w:type="dxa"/>
            <w:vAlign w:val="bottom"/>
          </w:tcPr>
          <w:p>
            <w:pPr>
              <w:ind w:left="500"/>
              <w:spacing w:after="0" w:line="201" w:lineRule="exact"/>
              <w:rPr>
                <w:sz w:val="20"/>
                <w:szCs w:val="20"/>
                <w:color w:val="auto"/>
              </w:rPr>
            </w:pPr>
            <w:r>
              <w:rPr>
                <w:rFonts w:ascii="Arial" w:cs="Arial" w:eastAsia="Arial" w:hAnsi="Arial"/>
                <w:sz w:val="18"/>
                <w:szCs w:val="18"/>
                <w:color w:val="auto"/>
                <w:w w:val="92"/>
              </w:rPr>
              <w:t>Trade, excluding joint ventures, less allowance for doubtful accounts of $382,000 as of November 30,</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2021 and August 31, 2021</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13,107,126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11,128,805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Trade, joint ventures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624,808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1,200,869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1,505,127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386,574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11,439,738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11,114,207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2,173,851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1,302,293</w:t>
            </w: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37,265,090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33,747,089</w:t>
            </w:r>
          </w:p>
        </w:tc>
      </w:tr>
      <w:tr>
        <w:trPr>
          <w:trHeight w:val="236"/>
        </w:trPr>
        <w:tc>
          <w:tcPr>
            <w:tcW w:w="8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12,194,674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11,821,458</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Investments in joint ventures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21,357,911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27,623,768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92,554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Patents and trademarks,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709,875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709,572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4,782,376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Intangible asset,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6,279,000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655,819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376,438</w:t>
            </w: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33,784,981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28,802,332</w:t>
            </w:r>
          </w:p>
        </w:tc>
      </w:tr>
      <w:tr>
        <w:trPr>
          <w:trHeight w:val="250"/>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83,244,745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74,370,879</w:t>
            </w:r>
          </w:p>
        </w:tc>
      </w:tr>
      <w:tr>
        <w:trPr>
          <w:trHeight w:val="223"/>
        </w:trPr>
        <w:tc>
          <w:tcPr>
            <w:tcW w:w="80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5,466,381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4,290,972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Line of credit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178,923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Payroll and related benefits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1,604,109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2,879,468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1,407,724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894,497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314,918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272,336</w:t>
            </w:r>
          </w:p>
        </w:tc>
      </w:tr>
      <w:tr>
        <w:trPr>
          <w:trHeight w:val="210"/>
        </w:trPr>
        <w:tc>
          <w:tcPr>
            <w:tcW w:w="800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11,389,728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8,516,196</w:t>
            </w: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income tax,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1,883,272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340,901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104,102</w:t>
            </w:r>
          </w:p>
        </w:tc>
      </w:tr>
      <w:tr>
        <w:trPr>
          <w:trHeight w:val="209"/>
        </w:trPr>
        <w:tc>
          <w:tcPr>
            <w:tcW w:w="8000" w:type="dxa"/>
            <w:vAlign w:val="bottom"/>
          </w:tcPr>
          <w:p>
            <w:pPr>
              <w:ind w:left="114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2,224,173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104,102</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$0.02 par value per share; authorized 15,000,000 shares as of November 30, 2021 and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August 31, 2021; issued and outstanding 9,203,446 and 9,184,811, respectively</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184,069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183,696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19,146,510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18,736,268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50,823,730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46,973,092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(3,525,030)</w:t>
            </w: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66,292,224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62,368,026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3,338,620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3,382,555</w:t>
            </w: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69,630,844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65,750,581</w:t>
            </w:r>
          </w:p>
        </w:tc>
      </w:tr>
      <w:tr>
        <w:trPr>
          <w:trHeight w:val="249"/>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83,244,745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74,370,879</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24" w:gutter="0" w:footer="0" w:header="0"/>
        </w:sectPr>
      </w:pPr>
    </w:p>
    <w:bookmarkStart w:id="4" w:name="page5"/>
    <w:bookmarkEnd w:id="4"/>
    <w:p>
      <w:pPr>
        <w:ind w:right="396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2021 AND 2020</w:t>
      </w:r>
    </w:p>
    <w:tbl>
      <w:tblPr>
        <w:tblLayout w:type="fixed"/>
        <w:tblInd w:w="0" w:type="dxa"/>
        <w:tblCellMar>
          <w:top w:w="0" w:type="dxa"/>
          <w:left w:w="0" w:type="dxa"/>
          <w:bottom w:w="0" w:type="dxa"/>
          <w:right w:w="0" w:type="dxa"/>
        </w:tblCellMar>
      </w:tblPr>
      <w:tr>
        <w:trPr>
          <w:trHeight w:val="204"/>
        </w:trPr>
        <w:tc>
          <w:tcPr>
            <w:tcW w:w="80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100" w:type="dxa"/>
            <w:vAlign w:val="bottom"/>
            <w:tcBorders>
              <w:top w:val="single" w:sz="8" w:color="auto"/>
              <w:bottom w:val="single" w:sz="8" w:color="auto"/>
            </w:tcBorders>
            <w:gridSpan w:val="4"/>
          </w:tcPr>
          <w:p>
            <w:pPr>
              <w:jc w:val="right"/>
              <w:ind w:right="770"/>
              <w:spacing w:after="0" w:line="204" w:lineRule="exact"/>
              <w:rPr>
                <w:sz w:val="20"/>
                <w:szCs w:val="20"/>
                <w:color w:val="auto"/>
              </w:rPr>
            </w:pPr>
            <w:r>
              <w:rPr>
                <w:rFonts w:ascii="Arial" w:cs="Arial" w:eastAsia="Arial" w:hAnsi="Arial"/>
                <w:sz w:val="18"/>
                <w:szCs w:val="18"/>
                <w:b w:val="1"/>
                <w:bCs w:val="1"/>
                <w:color w:val="auto"/>
              </w:rPr>
              <w:t>Three Months Ended</w:t>
            </w:r>
          </w:p>
        </w:tc>
      </w:tr>
      <w:tr>
        <w:trPr>
          <w:trHeight w:val="191"/>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3"/>
              </w:rPr>
              <w:t>November 30,</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sales, excluding joint ventures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17,352,974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12,198,808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sales, to joint ventures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840,439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580,304</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net sales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18,193,413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12,779,112</w:t>
            </w:r>
          </w:p>
        </w:tc>
      </w:tr>
      <w:tr>
        <w:trPr>
          <w:trHeight w:val="243"/>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12,490,483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8,313,321</w:t>
            </w: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5,702,930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4,465,791</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1,374,749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1,825,712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1,258,858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1,336,561</w:t>
            </w: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joint venture operations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2,633,607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3,162,273</w:t>
            </w:r>
          </w:p>
        </w:tc>
      </w:tr>
      <w:tr>
        <w:trPr>
          <w:trHeight w:val="243"/>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2,741,768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2,596,347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2,093,982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1,235,821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1,075,737</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7,069,926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5,911,487</w:t>
            </w:r>
          </w:p>
        </w:tc>
      </w:tr>
      <w:tr>
        <w:trPr>
          <w:trHeight w:val="243"/>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1,266,611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1,716,577</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REMEASUREMENT GAIN ON ACQUISITION OF EQUITY METHOD INVESTEE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3,951,550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69,538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5,226,213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1,783,747</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504,380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378,590</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4,721,833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1,405,157</w:t>
            </w:r>
          </w:p>
        </w:tc>
      </w:tr>
      <w:tr>
        <w:trPr>
          <w:trHeight w:val="243"/>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228,074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142,758</w:t>
            </w: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4,493,759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1,262,399</w:t>
            </w:r>
          </w:p>
        </w:tc>
      </w:tr>
      <w:tr>
        <w:trPr>
          <w:trHeight w:val="223"/>
        </w:trPr>
        <w:tc>
          <w:tcPr>
            <w:tcW w:w="80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0.46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0.13</w:t>
            </w:r>
          </w:p>
        </w:tc>
      </w:tr>
      <w:tr>
        <w:trPr>
          <w:trHeight w:val="223"/>
        </w:trPr>
        <w:tc>
          <w:tcPr>
            <w:tcW w:w="80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9,199,976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9,104,623</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9,779,770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9,644,630</w:t>
            </w:r>
          </w:p>
        </w:tc>
      </w:tr>
      <w:tr>
        <w:trPr>
          <w:trHeight w:val="19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r>
      <w:tr>
        <w:trPr>
          <w:trHeight w:val="413"/>
        </w:trPr>
        <w:tc>
          <w:tcPr>
            <w:tcW w:w="8000" w:type="dxa"/>
            <w:vAlign w:val="bottom"/>
            <w:tcBorders>
              <w:top w:val="single" w:sz="8" w:color="CCEEFF"/>
            </w:tcBorders>
          </w:tcPr>
          <w:p>
            <w:pPr>
              <w:ind w:left="4020"/>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5" w:name="page6"/>
    <w:bookmarkEnd w:id="5"/>
    <w:p>
      <w:pPr>
        <w:ind w:right="396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(UNAUDITED) FOR THE THREE MONTHS ENDED NOVEMBER 30, 2021 AND 2020</w:t>
      </w:r>
    </w:p>
    <w:tbl>
      <w:tblPr>
        <w:tblLayout w:type="fixed"/>
        <w:tblInd w:w="0" w:type="dxa"/>
        <w:tblCellMar>
          <w:top w:w="0" w:type="dxa"/>
          <w:left w:w="0" w:type="dxa"/>
          <w:bottom w:w="0" w:type="dxa"/>
          <w:right w:w="0" w:type="dxa"/>
        </w:tblCellMar>
      </w:tblPr>
      <w:tr>
        <w:trPr>
          <w:trHeight w:val="190"/>
        </w:trPr>
        <w:tc>
          <w:tcPr>
            <w:tcW w:w="80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4"/>
          </w:tcPr>
          <w:p>
            <w:pPr>
              <w:jc w:val="right"/>
              <w:ind w:right="770"/>
              <w:spacing w:after="0" w:line="190"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3"/>
              </w:rPr>
              <w:t>November 30,</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4,721,833</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1,405,157</w:t>
            </w:r>
          </w:p>
        </w:tc>
        <w:tc>
          <w:tcPr>
            <w:tcW w:w="0" w:type="dxa"/>
            <w:vAlign w:val="bottom"/>
          </w:tcPr>
          <w:p>
            <w:pPr>
              <w:spacing w:after="0"/>
              <w:rPr>
                <w:sz w:val="1"/>
                <w:szCs w:val="1"/>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rPr>
              <w:t>OTHER COMPREHENSIVE INCOME (LOSS) – FOREIGN CURRENCY TRANSLATION</w:t>
            </w:r>
          </w:p>
        </w:tc>
        <w:tc>
          <w:tcPr>
            <w:tcW w:w="14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(409,064)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color w:val="auto"/>
              </w:rPr>
              <w:t>298,665</w:t>
            </w:r>
          </w:p>
        </w:tc>
        <w:tc>
          <w:tcPr>
            <w:tcW w:w="0" w:type="dxa"/>
            <w:vAlign w:val="bottom"/>
          </w:tcPr>
          <w:p>
            <w:pPr>
              <w:spacing w:after="0"/>
              <w:rPr>
                <w:sz w:val="1"/>
                <w:szCs w:val="1"/>
                <w:color w:val="auto"/>
              </w:rPr>
            </w:pPr>
          </w:p>
        </w:tc>
      </w:tr>
      <w:tr>
        <w:trPr>
          <w:trHeight w:val="217"/>
        </w:trPr>
        <w:tc>
          <w:tcPr>
            <w:tcW w:w="8000" w:type="dxa"/>
            <w:vAlign w:val="bottom"/>
          </w:tcPr>
          <w:p>
            <w:pPr>
              <w:ind w:left="340"/>
              <w:spacing w:after="0"/>
              <w:rPr>
                <w:sz w:val="20"/>
                <w:szCs w:val="20"/>
                <w:color w:val="auto"/>
              </w:rPr>
            </w:pPr>
            <w:r>
              <w:rPr>
                <w:rFonts w:ascii="Arial" w:cs="Arial" w:eastAsia="Arial" w:hAnsi="Arial"/>
                <w:sz w:val="18"/>
                <w:szCs w:val="18"/>
                <w:color w:val="auto"/>
              </w:rPr>
              <w:t>ADJUSTMENT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4,312,769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1,703,822</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210,663</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NTIC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4,468,834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1,493,159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NOVEMBER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4"/>
            <w:vMerge w:val="restart"/>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Non-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19"/>
                <w:szCs w:val="19"/>
                <w:color w:val="auto"/>
              </w:rPr>
            </w:pPr>
          </w:p>
        </w:tc>
        <w:tc>
          <w:tcPr>
            <w:tcW w:w="208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9"/>
                <w:szCs w:val="19"/>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AUGUST 31, 2020</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9,099,990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182,000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$17,415,043</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$42,472,810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3,045,026</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$59,704,441</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plan</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36,099</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36,192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181,669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181,669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1,262,399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142,758</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1,405,157</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230,760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67,905</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298,665</w:t>
            </w:r>
          </w:p>
        </w:tc>
        <w:tc>
          <w:tcPr>
            <w:tcW w:w="0" w:type="dxa"/>
            <w:vAlign w:val="bottom"/>
          </w:tcPr>
          <w:p>
            <w:pPr>
              <w:spacing w:after="0"/>
              <w:rPr>
                <w:sz w:val="1"/>
                <w:szCs w:val="1"/>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BALANCE AS OF NOVEMBER 30,</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9,104,636</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182,093</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7"/>
              </w:rPr>
              <w:t>$ 17,632,811</w:t>
            </w:r>
          </w:p>
        </w:tc>
        <w:tc>
          <w:tcPr>
            <w:tcW w:w="1140" w:type="dxa"/>
            <w:vAlign w:val="bottom"/>
            <w:gridSpan w:val="2"/>
            <w:vMerge w:val="restart"/>
          </w:tcPr>
          <w:p>
            <w:pPr>
              <w:jc w:val="right"/>
              <w:ind w:right="3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43,735,209</w:t>
            </w:r>
          </w:p>
        </w:tc>
        <w:tc>
          <w:tcPr>
            <w:tcW w:w="3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(3,179,678)</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3,255,689</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$61,626,124</w:t>
            </w:r>
          </w:p>
        </w:tc>
        <w:tc>
          <w:tcPr>
            <w:tcW w:w="0" w:type="dxa"/>
            <w:vAlign w:val="bottom"/>
          </w:tcPr>
          <w:p>
            <w:pPr>
              <w:spacing w:after="0"/>
              <w:rPr>
                <w:sz w:val="1"/>
                <w:szCs w:val="1"/>
                <w:color w:val="auto"/>
              </w:rPr>
            </w:pPr>
          </w:p>
        </w:tc>
      </w:tr>
      <w:tr>
        <w:trPr>
          <w:trHeight w:val="190"/>
        </w:trPr>
        <w:tc>
          <w:tcPr>
            <w:tcW w:w="3240" w:type="dxa"/>
            <w:vAlign w:val="bottom"/>
          </w:tcPr>
          <w:p>
            <w:pPr>
              <w:spacing w:after="0" w:line="190" w:lineRule="exact"/>
              <w:rPr>
                <w:sz w:val="20"/>
                <w:szCs w:val="20"/>
                <w:color w:val="auto"/>
              </w:rPr>
            </w:pPr>
            <w:r>
              <w:rPr>
                <w:rFonts w:ascii="Arial" w:cs="Arial" w:eastAsia="Arial" w:hAnsi="Arial"/>
                <w:sz w:val="18"/>
                <w:szCs w:val="18"/>
                <w:color w:val="auto"/>
              </w:rPr>
              <w:t>2020</w:t>
            </w:r>
          </w:p>
        </w:tc>
        <w:tc>
          <w:tcPr>
            <w:tcW w:w="100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AUGUST 31, 2021</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9,184,811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183,696</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$18,736,268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$46,973,092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(3,525,030)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3,382,555</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$65,750,581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138,880</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139,200</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38,479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38,532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232,883</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232,883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(643,121)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(643,121)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4,493,759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228,074</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4,721,833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Comprehensive loss</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(337,055)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(409,064)</w:t>
            </w:r>
          </w:p>
        </w:tc>
        <w:tc>
          <w:tcPr>
            <w:tcW w:w="0" w:type="dxa"/>
            <w:vAlign w:val="bottom"/>
          </w:tcPr>
          <w:p>
            <w:pPr>
              <w:spacing w:after="0"/>
              <w:rPr>
                <w:sz w:val="1"/>
                <w:szCs w:val="1"/>
                <w:color w:val="auto"/>
              </w:rPr>
            </w:pPr>
          </w:p>
        </w:tc>
      </w:tr>
      <w:tr>
        <w:trPr>
          <w:trHeight w:val="195"/>
        </w:trPr>
        <w:tc>
          <w:tcPr>
            <w:tcW w:w="3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AS OF NOVEMBER 30,</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9,203,446</w:t>
            </w:r>
          </w:p>
        </w:tc>
        <w:tc>
          <w:tcPr>
            <w:tcW w:w="100" w:type="dxa"/>
            <w:vAlign w:val="bottom"/>
            <w:vMerge w:val="restart"/>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184,069</w:t>
            </w:r>
          </w:p>
        </w:tc>
        <w:tc>
          <w:tcPr>
            <w:tcW w:w="11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19,146,510</w:t>
            </w:r>
          </w:p>
        </w:tc>
        <w:tc>
          <w:tcPr>
            <w:tcW w:w="11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50,823,730</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(3,862,085)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2"/>
              </w:rPr>
              <w:t>3,338,620</w:t>
            </w:r>
          </w:p>
        </w:tc>
        <w:tc>
          <w:tcPr>
            <w:tcW w:w="11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$69,630,844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2021</w:t>
            </w:r>
          </w:p>
        </w:tc>
        <w:tc>
          <w:tcPr>
            <w:tcW w:w="10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ind w:right="396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THREE MONTHS ENDED NOVEMBER 30, 2021 AND 2020</w:t>
      </w:r>
    </w:p>
    <w:tbl>
      <w:tblPr>
        <w:tblLayout w:type="fixed"/>
        <w:tblInd w:w="0" w:type="dxa"/>
        <w:tblCellMar>
          <w:top w:w="0" w:type="dxa"/>
          <w:left w:w="0" w:type="dxa"/>
          <w:bottom w:w="0" w:type="dxa"/>
          <w:right w:w="0" w:type="dxa"/>
        </w:tblCellMar>
      </w:tblPr>
      <w:tr>
        <w:trPr>
          <w:trHeight w:val="190"/>
        </w:trPr>
        <w:tc>
          <w:tcPr>
            <w:tcW w:w="7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080" w:type="dxa"/>
            <w:vAlign w:val="bottom"/>
            <w:tcBorders>
              <w:top w:val="single" w:sz="8" w:color="auto"/>
              <w:bottom w:val="single" w:sz="8" w:color="auto"/>
            </w:tcBorders>
            <w:gridSpan w:val="3"/>
          </w:tcPr>
          <w:p>
            <w:pPr>
              <w:jc w:val="right"/>
              <w:spacing w:after="0" w:line="190" w:lineRule="exact"/>
              <w:rPr>
                <w:sz w:val="20"/>
                <w:szCs w:val="20"/>
                <w:color w:val="auto"/>
              </w:rPr>
            </w:pPr>
            <w:r>
              <w:rPr>
                <w:rFonts w:ascii="Arial" w:cs="Arial" w:eastAsia="Arial" w:hAnsi="Arial"/>
                <w:sz w:val="18"/>
                <w:szCs w:val="18"/>
                <w:b w:val="1"/>
                <w:bCs w:val="1"/>
                <w:color w:val="auto"/>
              </w:rPr>
              <w:t>Three Months Ended</w:t>
            </w:r>
          </w:p>
        </w:tc>
        <w:tc>
          <w:tcPr>
            <w:tcW w:w="9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0"/>
              </w:rPr>
              <w:t>November 30, 2021</w:t>
            </w:r>
          </w:p>
        </w:tc>
        <w:tc>
          <w:tcPr>
            <w:tcW w:w="12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1"/>
              </w:rPr>
              <w:t>November 30, 2020</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4,721,833</w:t>
            </w:r>
          </w:p>
        </w:tc>
        <w:tc>
          <w:tcPr>
            <w:tcW w:w="8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1,405,157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232,883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181,669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expense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215,306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211,932</w:t>
            </w:r>
          </w:p>
        </w:tc>
        <w:tc>
          <w:tcPr>
            <w:tcW w:w="0" w:type="dxa"/>
            <w:vAlign w:val="bottom"/>
          </w:tcPr>
          <w:p>
            <w:pPr>
              <w:spacing w:after="0"/>
              <w:rPr>
                <w:sz w:val="1"/>
                <w:szCs w:val="1"/>
                <w:color w:val="auto"/>
              </w:rPr>
            </w:pPr>
          </w:p>
        </w:tc>
      </w:tr>
      <w:tr>
        <w:trPr>
          <w:trHeight w:val="216"/>
        </w:trPr>
        <w:tc>
          <w:tcPr>
            <w:tcW w:w="7720" w:type="dxa"/>
            <w:vAlign w:val="bottom"/>
          </w:tcPr>
          <w:p>
            <w:pPr>
              <w:ind w:left="660"/>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119,894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49,989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allowance for doubtful accounts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7720" w:type="dxa"/>
            <w:vAlign w:val="bottom"/>
          </w:tcPr>
          <w:p>
            <w:pPr>
              <w:ind w:left="660"/>
              <w:spacing w:after="0"/>
              <w:rPr>
                <w:sz w:val="20"/>
                <w:szCs w:val="20"/>
                <w:color w:val="auto"/>
              </w:rPr>
            </w:pPr>
            <w:r>
              <w:rPr>
                <w:rFonts w:ascii="Arial" w:cs="Arial" w:eastAsia="Arial" w:hAnsi="Arial"/>
                <w:sz w:val="18"/>
                <w:szCs w:val="18"/>
                <w:color w:val="auto"/>
              </w:rPr>
              <w:t>Remeasurement gain on acquisition of equity method investee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(3,951,550)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Equity in income from joint ventures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(1,374,749)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(1,825,712)</w:t>
            </w:r>
          </w:p>
        </w:tc>
        <w:tc>
          <w:tcPr>
            <w:tcW w:w="0" w:type="dxa"/>
            <w:vAlign w:val="bottom"/>
          </w:tcPr>
          <w:p>
            <w:pPr>
              <w:spacing w:after="0"/>
              <w:rPr>
                <w:sz w:val="1"/>
                <w:szCs w:val="1"/>
                <w:color w:val="auto"/>
              </w:rPr>
            </w:pPr>
          </w:p>
        </w:tc>
      </w:tr>
      <w:tr>
        <w:trPr>
          <w:trHeight w:val="216"/>
        </w:trPr>
        <w:tc>
          <w:tcPr>
            <w:tcW w:w="7720" w:type="dxa"/>
            <w:vAlign w:val="bottom"/>
          </w:tcPr>
          <w:p>
            <w:pPr>
              <w:ind w:left="660"/>
              <w:spacing w:after="0"/>
              <w:rPr>
                <w:sz w:val="20"/>
                <w:szCs w:val="20"/>
                <w:color w:val="auto"/>
              </w:rPr>
            </w:pPr>
            <w:r>
              <w:rPr>
                <w:rFonts w:ascii="Arial" w:cs="Arial" w:eastAsia="Arial" w:hAnsi="Arial"/>
                <w:sz w:val="18"/>
                <w:szCs w:val="18"/>
                <w:color w:val="auto"/>
              </w:rPr>
              <w:t>Dividends received from joint ventures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5,042,271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1,125,361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126,852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Arial" w:cs="Arial" w:eastAsia="Arial" w:hAnsi="Arial"/>
                <w:sz w:val="18"/>
                <w:szCs w:val="18"/>
                <w:color w:val="auto"/>
              </w:rPr>
              <w:t>Changes in current assets and liabilities: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300"/>
              <w:spacing w:after="0"/>
              <w:rPr>
                <w:sz w:val="20"/>
                <w:szCs w:val="20"/>
                <w:color w:val="auto"/>
              </w:rPr>
            </w:pPr>
            <w:r>
              <w:rPr>
                <w:rFonts w:ascii="Arial" w:cs="Arial" w:eastAsia="Arial" w:hAnsi="Arial"/>
                <w:sz w:val="18"/>
                <w:szCs w:val="18"/>
                <w:color w:val="auto"/>
              </w:rPr>
              <w:t>Trade, excluding joint ventures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(308,325)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(1,334,199)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Trade, joint ventures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(199,491)</w:t>
            </w:r>
          </w:p>
        </w:tc>
        <w:tc>
          <w:tcPr>
            <w:tcW w:w="0" w:type="dxa"/>
            <w:vAlign w:val="bottom"/>
          </w:tcPr>
          <w:p>
            <w:pPr>
              <w:spacing w:after="0"/>
              <w:rPr>
                <w:sz w:val="1"/>
                <w:szCs w:val="1"/>
                <w:color w:val="auto"/>
              </w:rPr>
            </w:pPr>
          </w:p>
        </w:tc>
      </w:tr>
      <w:tr>
        <w:trPr>
          <w:trHeight w:val="216"/>
        </w:trPr>
        <w:tc>
          <w:tcPr>
            <w:tcW w:w="7720" w:type="dxa"/>
            <w:vAlign w:val="bottom"/>
          </w:tcPr>
          <w:p>
            <w:pPr>
              <w:ind w:left="1300"/>
              <w:spacing w:after="0"/>
              <w:rPr>
                <w:sz w:val="20"/>
                <w:szCs w:val="20"/>
                <w:color w:val="auto"/>
              </w:rPr>
            </w:pPr>
            <w:r>
              <w:rPr>
                <w:rFonts w:ascii="Arial" w:cs="Arial" w:eastAsia="Arial" w:hAnsi="Arial"/>
                <w:sz w:val="18"/>
                <w:szCs w:val="18"/>
                <w:color w:val="auto"/>
              </w:rPr>
              <w:t>Fees for services provided to joint ventures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304,258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(221,879)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16"/>
        </w:trPr>
        <w:tc>
          <w:tcPr>
            <w:tcW w:w="7720" w:type="dxa"/>
            <w:vAlign w:val="bottom"/>
          </w:tcPr>
          <w:p>
            <w:pPr>
              <w:ind w:left="9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516,283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1,242,101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(108,751)</w:t>
            </w:r>
          </w:p>
        </w:tc>
        <w:tc>
          <w:tcPr>
            <w:tcW w:w="0" w:type="dxa"/>
            <w:vAlign w:val="bottom"/>
          </w:tcPr>
          <w:p>
            <w:pPr>
              <w:spacing w:after="0"/>
              <w:rPr>
                <w:sz w:val="1"/>
                <w:szCs w:val="1"/>
                <w:color w:val="auto"/>
              </w:rPr>
            </w:pPr>
          </w:p>
        </w:tc>
      </w:tr>
      <w:tr>
        <w:trPr>
          <w:trHeight w:val="216"/>
        </w:trPr>
        <w:tc>
          <w:tcPr>
            <w:tcW w:w="7720" w:type="dxa"/>
            <w:vAlign w:val="bottom"/>
          </w:tcPr>
          <w:p>
            <w:pPr>
              <w:ind w:left="9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98,545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1,046,577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156,951</w:t>
            </w:r>
          </w:p>
        </w:tc>
        <w:tc>
          <w:tcPr>
            <w:tcW w:w="0" w:type="dxa"/>
            <w:vAlign w:val="bottom"/>
          </w:tcPr>
          <w:p>
            <w:pPr>
              <w:spacing w:after="0"/>
              <w:rPr>
                <w:sz w:val="1"/>
                <w:szCs w:val="1"/>
                <w:color w:val="auto"/>
              </w:rPr>
            </w:pPr>
          </w:p>
        </w:tc>
      </w:tr>
      <w:tr>
        <w:trPr>
          <w:trHeight w:val="216"/>
        </w:trPr>
        <w:tc>
          <w:tcPr>
            <w:tcW w:w="7720" w:type="dxa"/>
            <w:vAlign w:val="bottom"/>
          </w:tcPr>
          <w:p>
            <w:pPr>
              <w:ind w:left="98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(1,617,099)</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(168,924)</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3,319,024</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1,601,120</w:t>
            </w: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Arial" w:cs="Arial" w:eastAsia="Arial" w:hAnsi="Arial"/>
                <w:sz w:val="18"/>
                <w:szCs w:val="18"/>
                <w:color w:val="auto"/>
              </w:rPr>
              <w:t>Acquisition of Zerust India business, net of cash acquired (see Note 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(5,062,003)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available for sale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(838,063)</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(315,390)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(309,400)</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Investments in patents</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(30,406)</w:t>
            </w:r>
          </w:p>
        </w:tc>
        <w:tc>
          <w:tcPr>
            <w:tcW w:w="0" w:type="dxa"/>
            <w:vAlign w:val="bottom"/>
          </w:tcPr>
          <w:p>
            <w:pPr>
              <w:spacing w:after="0"/>
              <w:rPr>
                <w:sz w:val="1"/>
                <w:szCs w:val="1"/>
                <w:color w:val="auto"/>
              </w:rPr>
            </w:pPr>
          </w:p>
        </w:tc>
      </w:tr>
      <w:tr>
        <w:trPr>
          <w:trHeight w:val="210"/>
        </w:trPr>
        <w:tc>
          <w:tcPr>
            <w:tcW w:w="7720" w:type="dxa"/>
            <w:vAlign w:val="bottom"/>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(5,429,590)</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(1,177,869)</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line of credit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Arial" w:cs="Arial" w:eastAsia="Arial" w:hAnsi="Arial"/>
                <w:sz w:val="18"/>
                <w:szCs w:val="18"/>
                <w:color w:val="auto"/>
              </w:rPr>
              <w:t>Dividends paid on NTIC common stock</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(643,121)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Arial" w:cs="Arial" w:eastAsia="Arial" w:hAnsi="Arial"/>
                <w:sz w:val="18"/>
                <w:szCs w:val="18"/>
                <w:color w:val="auto"/>
              </w:rPr>
              <w:t>Dividends received by non-controlling interest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38,532</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36,192</w:t>
            </w:r>
          </w:p>
        </w:tc>
        <w:tc>
          <w:tcPr>
            <w:tcW w:w="0" w:type="dxa"/>
            <w:vAlign w:val="bottom"/>
          </w:tcPr>
          <w:p>
            <w:pPr>
              <w:spacing w:after="0"/>
              <w:rPr>
                <w:sz w:val="1"/>
                <w:szCs w:val="1"/>
                <w:color w:val="auto"/>
              </w:rPr>
            </w:pPr>
          </w:p>
        </w:tc>
      </w:tr>
      <w:tr>
        <w:trPr>
          <w:trHeight w:val="210"/>
        </w:trPr>
        <w:tc>
          <w:tcPr>
            <w:tcW w:w="772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1,834,611</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36,192</w:t>
            </w:r>
          </w:p>
        </w:tc>
        <w:tc>
          <w:tcPr>
            <w:tcW w:w="0" w:type="dxa"/>
            <w:vAlign w:val="bottom"/>
          </w:tcPr>
          <w:p>
            <w:pPr>
              <w:spacing w:after="0"/>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642,879</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90,866</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366,924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550,309</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7,680,641</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6,403,032</w:t>
            </w:r>
          </w:p>
        </w:tc>
        <w:tc>
          <w:tcPr>
            <w:tcW w:w="0" w:type="dxa"/>
            <w:vAlign w:val="bottom"/>
          </w:tcPr>
          <w:p>
            <w:pPr>
              <w:spacing w:after="0"/>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8,047,565</w:t>
            </w:r>
          </w:p>
        </w:tc>
        <w:tc>
          <w:tcPr>
            <w:tcW w:w="8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6,953,341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3620"/>
              <w:spacing w:after="0"/>
              <w:rPr>
                <w:sz w:val="20"/>
                <w:szCs w:val="20"/>
                <w:color w:val="auto"/>
              </w:rPr>
            </w:pPr>
            <w:r>
              <w:rPr>
                <w:rFonts w:ascii="Arial" w:cs="Arial" w:eastAsia="Arial" w:hAnsi="Arial"/>
                <w:sz w:val="22"/>
                <w:szCs w:val="22"/>
                <w:color w:val="auto"/>
                <w:w w:val="88"/>
              </w:rPr>
              <w:t>See notes to consolidated financial statements.</w:t>
            </w: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7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720" w:type="dxa"/>
            <w:vAlign w:val="bottom"/>
          </w:tcPr>
          <w:p>
            <w:pPr>
              <w:ind w:left="55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8" w:name="page9"/>
    <w:bookmarkEnd w:id="8"/>
    <w:p>
      <w:pPr>
        <w:ind w:right="39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2021 and August 31, 2021 and the results of the Company’s operations for the three months ended November 30, 2021 and 2020, the changes in stockholders’ equity for the three months ended November 30, 2021 and 2020 and the Company’s cash flows for the three months ended November 30, 2021 and 2020, in conformity with accounting principles generally accepted in the United States of America (U.S. GAAP).</w:t>
      </w:r>
    </w:p>
    <w:p>
      <w:pPr>
        <w:spacing w:after="0" w:line="161" w:lineRule="exact"/>
        <w:rPr>
          <w:sz w:val="20"/>
          <w:szCs w:val="20"/>
          <w:color w:val="auto"/>
        </w:rPr>
      </w:pPr>
    </w:p>
    <w:p>
      <w:pPr>
        <w:ind w:right="640"/>
        <w:spacing w:after="0" w:line="311"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2021. These consolidated financial statements also should be read in conjunction with the “</w:t>
      </w:r>
      <w:r>
        <w:rPr>
          <w:rFonts w:ascii="Arial" w:cs="Arial" w:eastAsia="Arial" w:hAnsi="Arial"/>
          <w:sz w:val="16"/>
          <w:szCs w:val="16"/>
          <w:i w:val="1"/>
          <w:iCs w:val="1"/>
          <w:color w:val="auto"/>
        </w:rPr>
        <w:t>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w:t>
      </w:r>
      <w:r>
        <w:rPr>
          <w:rFonts w:ascii="Arial" w:cs="Arial" w:eastAsia="Arial" w:hAnsi="Arial"/>
          <w:sz w:val="16"/>
          <w:szCs w:val="16"/>
          <w:color w:val="auto"/>
        </w:rPr>
        <w:t>” section appearing in this report.</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results for the three months ended November 30, 2021 are not necessarily indicative of the results that may be expected for the full fiscal year ending August 31, 2022.</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March 2020, the World Health Organization declared the novel coronavirus (COVID-19) outbreak a global pandemic. 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in the first quarter of fiscal 2022 and is expected to continue during the remainder of fiscal 2022. In the first quarter of fiscal 2022, the Company was impacted by shipping issues, including freight container shortages, shipping delays, and increased costs, and supply chain issues, including longer lead times and raw material cost increases.</w:t>
      </w:r>
    </w:p>
    <w:p>
      <w:pPr>
        <w:spacing w:after="0" w:line="40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which revises guidance for the accounting for credit losses on financial instruments within its scope, and in November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 w:name="page10"/>
    <w:bookmarkEnd w:id="9"/>
    <w:p>
      <w:pPr>
        <w:ind w:right="14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21, 2021, the Company announced that it acquired the remaining 50% ownership interest in its Indian joint venture, Harita-NTI Limited (Zerust India), for $6.25 million in cash, effective as of September 1, 2021, the date the Company obtained control. Prior to September 1, 2021, the Company owned 50% of the outstanding capital stock of Zerust India. The Company had historically accounted for this investment under the equity method of accounting. This purchase was funded with cash on hand and borrowings under the Company’s revolving line of credit. The Company undertook the acquisition to enhance its Zerust business in India.</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purchase price of $6.25 million was funded with cash on hand and borrowings under the Company’s revolving line of credit, which was increased in connection with the transaction to $5.0 million.</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Because the Company increased its ownership interest in Zerust India to 100%, the acquisition of Zerust India has been accounted for in accordance with Accounting Standards Codification (ASC) 805, Business Combinations, by using the acquisition method of accounting. Effective September 1, 2021, Zerust India is now a consolidated subsidiary within the Company’s financial statements.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preliminary purchase price allocation that includes the fair values of the separately identifiable assets acquired and liabilities assumed as of September 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1,187,997</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Trade account receivable</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1,954,769</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886,650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396,545</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219,077</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Operating lease, right of use asset</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355,000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6,347,000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Goodwill</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4,782,376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(1,370,314)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(1,904,100)</w:t>
            </w:r>
          </w:p>
        </w:tc>
      </w:tr>
      <w:tr>
        <w:trPr>
          <w:trHeight w:val="216"/>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19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r>
      <w:tr>
        <w:trPr>
          <w:trHeight w:val="209"/>
        </w:trPr>
        <w:tc>
          <w:tcPr>
            <w:tcW w:w="7740" w:type="dxa"/>
            <w:vAlign w:val="bottom"/>
          </w:tcPr>
          <w:p>
            <w:pPr>
              <w:ind w:left="1800"/>
              <w:spacing w:after="0"/>
              <w:rPr>
                <w:sz w:val="20"/>
                <w:szCs w:val="20"/>
                <w:color w:val="auto"/>
              </w:rPr>
            </w:pPr>
            <w:r>
              <w:rPr>
                <w:rFonts w:ascii="Arial" w:cs="Arial" w:eastAsia="Arial" w:hAnsi="Arial"/>
                <w:sz w:val="18"/>
                <w:szCs w:val="18"/>
                <w:color w:val="auto"/>
              </w:rPr>
              <w:t>Net assets acquired</w:t>
            </w:r>
          </w:p>
        </w:tc>
        <w:tc>
          <w:tcPr>
            <w:tcW w:w="2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12,500,000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740" w:type="dxa"/>
            <w:vAlign w:val="bottom"/>
          </w:tcPr>
          <w:p>
            <w:pPr>
              <w:ind w:left="1800"/>
              <w:spacing w:after="0"/>
              <w:rPr>
                <w:sz w:val="20"/>
                <w:szCs w:val="20"/>
                <w:color w:val="auto"/>
              </w:rPr>
            </w:pPr>
            <w:r>
              <w:rPr>
                <w:rFonts w:ascii="Arial" w:cs="Arial" w:eastAsia="Arial" w:hAnsi="Arial"/>
                <w:sz w:val="18"/>
                <w:szCs w:val="18"/>
                <w:color w:val="auto"/>
              </w:rPr>
              <w:t>Fair value of previously held equity method investment</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(1,637,362)</w:t>
            </w:r>
          </w:p>
        </w:tc>
      </w:tr>
      <w:tr>
        <w:trPr>
          <w:trHeight w:val="216"/>
        </w:trPr>
        <w:tc>
          <w:tcPr>
            <w:tcW w:w="77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Cumulative foreign currency translation</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(661,088)</w:t>
            </w:r>
          </w:p>
        </w:tc>
      </w:tr>
      <w:tr>
        <w:trPr>
          <w:trHeight w:val="216"/>
        </w:trPr>
        <w:tc>
          <w:tcPr>
            <w:tcW w:w="7740" w:type="dxa"/>
            <w:vAlign w:val="bottom"/>
          </w:tcPr>
          <w:p>
            <w:pPr>
              <w:ind w:left="1800"/>
              <w:spacing w:after="0"/>
              <w:rPr>
                <w:sz w:val="20"/>
                <w:szCs w:val="20"/>
                <w:color w:val="auto"/>
              </w:rPr>
            </w:pPr>
            <w:r>
              <w:rPr>
                <w:rFonts w:ascii="Arial" w:cs="Arial" w:eastAsia="Arial" w:hAnsi="Arial"/>
                <w:sz w:val="18"/>
                <w:szCs w:val="18"/>
                <w:color w:val="auto"/>
              </w:rPr>
              <w:t>Gain recognized on acquisition</w:t>
            </w:r>
          </w:p>
        </w:tc>
        <w:tc>
          <w:tcPr>
            <w:tcW w:w="1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(3,951,550)</w:t>
            </w:r>
          </w:p>
        </w:tc>
      </w:tr>
      <w:tr>
        <w:trPr>
          <w:trHeight w:val="209"/>
        </w:trPr>
        <w:tc>
          <w:tcPr>
            <w:tcW w:w="7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Cash paid for acquisition</w:t>
            </w:r>
          </w:p>
        </w:tc>
        <w:tc>
          <w:tcPr>
            <w:tcW w:w="2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6,250,000</w:t>
            </w:r>
          </w:p>
        </w:tc>
      </w:tr>
    </w:tbl>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excess of the fair value of purchase consideration over the fair value of net tangible and identifiable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The Company expects to finalize the purchase price allocation as soon as practicable, but not later than one year from the acquisition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jc w:val="both"/>
        <w:ind w:right="20"/>
        <w:spacing w:after="0" w:line="263" w:lineRule="auto"/>
        <w:rPr>
          <w:sz w:val="20"/>
          <w:szCs w:val="20"/>
          <w:color w:val="auto"/>
        </w:rPr>
      </w:pPr>
      <w:r>
        <w:rPr>
          <w:rFonts w:ascii="Arial" w:cs="Arial" w:eastAsia="Arial" w:hAnsi="Arial"/>
          <w:sz w:val="18"/>
          <w:szCs w:val="18"/>
          <w:color w:val="auto"/>
        </w:rPr>
        <w:t>The fair value of the intangible asset associated with customer relationships was estimated using a discounted cash flow method with the application of the multi-period excess earnings method. Under this method, an intangible asset’s fair value is equal to the present value of the incremental after-tax cash flows attributable to only the subject intangible asset after deducting contributory asset charges.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rate used to discount the estimated future net cash flows to their present values for the intangible assets was based upon a weighted average cost of capital calculation. The discount rate was determined after consideration of market rates of return on debt and equity capital, the weighted average return on invested capital and the risk associated with achieving forecasted sales related to the assets acquired from Zerust India. The weighted average discount rate used to determine the fair value of the customer relationships was 15.3%.</w:t>
      </w:r>
    </w:p>
    <w:p>
      <w:pPr>
        <w:spacing w:after="0" w:line="18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amortization period for the intangible assets is 15 years. The intangible assets are being amortized on a straight-line basis, which is consistent with the pattern that the economic benefits of the intangible assets are expected to be utilized based upon estimated cash flows generated from such asset. Goodwill associated with the acquisition was primarily attributable to the expansion opportunity of the Company’s ZERUST business in India.</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Authoritative guidance on accounting for business combinations requires that an acquirer re-measure its previously held equity interest in the acquisition at its acquisition date fair value and recognize the resulting gain or loss in earnings. As such, since the Company acquired the remaining 50% ownership interest of Zerust India effective September 1, 2021, the Company recognized a gain of $3,951,550 during the three months ended November 30, 2021. This gain is included in “Remeasurement gain on acquisition of equity method investee” on the Company’s consolidated statements of operations for the three months ended November 30, 2021.</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included the financial results of Zerust India in the consolidated financial statements from September 1, 2021. Net revenue and net income related to Zerust India since the date of acquisition totaled $2,452,812 and $292,528, respectively. The transaction costs associated with the acquisition were approximately $50,000 and are recorded in general and administrative expense as incurred during the three months ended November 30, 2021.</w:t>
      </w:r>
    </w:p>
    <w:p>
      <w:pPr>
        <w:spacing w:after="0" w:line="18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Unaudited consolidated pro forma information assuming the acquisition had occurred on September 1, 2020. for the three months ended November 30, 2020 would have an increase in net sales from $12,779,112 to $14,806,403. Unaudited pro forma net income had occurred on September 1, 2020 for the three months ended November 30, 2020 was not considered material to the Company’s consolidated net income. The unaudited consolidated pro forma combined financial information does not purport to be indicative of the results which would have been obtained had the acquisition been completed as of the beginning of the earliest period presented or of results that may be obtained in the future. In addition, they do not include any benefits that may result from the acquisition due to synergies that may be derived from the elimination of any duplicative costs.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3780" w:type="dxa"/>
            <w:vAlign w:val="bottom"/>
          </w:tcPr>
          <w:p>
            <w:pPr>
              <w:ind w:left="260"/>
              <w:spacing w:after="0"/>
              <w:rPr>
                <w:sz w:val="20"/>
                <w:szCs w:val="20"/>
                <w:color w:val="auto"/>
              </w:rPr>
            </w:pPr>
            <w:r>
              <w:rPr>
                <w:rFonts w:ascii="Arial" w:cs="Arial" w:eastAsia="Arial" w:hAnsi="Arial"/>
                <w:sz w:val="18"/>
                <w:szCs w:val="18"/>
                <w:b w:val="1"/>
                <w:bCs w:val="1"/>
                <w:color w:val="auto"/>
              </w:rPr>
              <w:t>INVENTORIES</w:t>
            </w: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August 31, 2021</w:t>
            </w: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4,590,008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4,453,688</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6,849,730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6,660,519</w:t>
            </w:r>
          </w:p>
        </w:tc>
      </w:tr>
      <w:tr>
        <w:trPr>
          <w:trHeight w:val="249"/>
        </w:trPr>
        <w:tc>
          <w:tcPr>
            <w:tcW w:w="40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11,439,738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11,114,207</w:t>
            </w:r>
          </w:p>
        </w:tc>
      </w:tr>
      <w:tr>
        <w:trPr>
          <w:trHeight w:val="413"/>
        </w:trPr>
        <w:tc>
          <w:tcPr>
            <w:tcW w:w="400" w:type="dxa"/>
            <w:vAlign w:val="bottom"/>
            <w:tcBorders>
              <w:top w:val="single" w:sz="8" w:color="CCEEFF"/>
            </w:tcBorders>
          </w:tcPr>
          <w:p>
            <w:pPr>
              <w:spacing w:after="0"/>
              <w:rPr>
                <w:sz w:val="24"/>
                <w:szCs w:val="24"/>
                <w:color w:val="auto"/>
              </w:rPr>
            </w:pPr>
          </w:p>
        </w:tc>
        <w:tc>
          <w:tcPr>
            <w:tcW w:w="3780" w:type="dxa"/>
            <w:vAlign w:val="bottom"/>
            <w:tcBorders>
              <w:top w:val="single" w:sz="8" w:color="CCEEFF"/>
            </w:tcBorders>
          </w:tcPr>
          <w:p>
            <w:pPr>
              <w:spacing w:after="0"/>
              <w:rPr>
                <w:sz w:val="24"/>
                <w:szCs w:val="24"/>
                <w:color w:val="auto"/>
              </w:rPr>
            </w:pPr>
          </w:p>
        </w:tc>
        <w:tc>
          <w:tcPr>
            <w:tcW w:w="3820" w:type="dxa"/>
            <w:vAlign w:val="bottom"/>
            <w:tcBorders>
              <w:top w:val="single" w:sz="8" w:color="CCEEFF"/>
            </w:tcBorders>
          </w:tcPr>
          <w:p>
            <w:pPr>
              <w:jc w:val="right"/>
              <w:ind w:right="225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115"/>
        </w:trPr>
        <w:tc>
          <w:tcPr>
            <w:tcW w:w="4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1" w:name="page12"/>
    <w:bookmarkEnd w:id="11"/>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2021</w:t>
            </w:r>
          </w:p>
        </w:tc>
        <w:tc>
          <w:tcPr>
            <w:tcW w:w="0" w:type="dxa"/>
            <w:vAlign w:val="bottom"/>
          </w:tcPr>
          <w:p>
            <w:pPr>
              <w:spacing w:after="0"/>
              <w:rPr>
                <w:sz w:val="1"/>
                <w:szCs w:val="1"/>
                <w:color w:val="auto"/>
              </w:rPr>
            </w:pPr>
          </w:p>
        </w:tc>
      </w:tr>
      <w:tr>
        <w:trPr>
          <w:trHeight w:val="21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13,723,824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13,149,258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5,477,338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5,453,679</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19,511,527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18,913,302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(7,316,853)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(7,091,844)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12,194,674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11,821,458</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4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PATENTS AND TRADEMARKS,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2021</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3,070,704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3,018,507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(2,360,829)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(2,308,935)</w:t>
            </w:r>
          </w:p>
        </w:tc>
        <w:tc>
          <w:tcPr>
            <w:tcW w:w="0" w:type="dxa"/>
            <w:vAlign w:val="bottom"/>
          </w:tcPr>
          <w:p>
            <w:pPr>
              <w:spacing w:after="0"/>
              <w:rPr>
                <w:sz w:val="1"/>
                <w:szCs w:val="1"/>
                <w:color w:val="auto"/>
              </w:rPr>
            </w:pPr>
          </w:p>
        </w:tc>
      </w:tr>
      <w:tr>
        <w:trPr>
          <w:trHeight w:val="249"/>
        </w:trPr>
        <w:tc>
          <w:tcPr>
            <w:tcW w:w="52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709,875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709,572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be $190,000 in each of the next four fiscal years.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November 30, 2021</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54,945,793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25,127,390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29,818,403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58,833,491</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27,282,965</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31,550,526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14,079,093</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4,139,822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9,939,271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1,288,670</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1,288,670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43,465,728</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23,143,143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20,322,585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21,357,911</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11,571,573</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9,786,338</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19,142,941</w:t>
            </w: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11,540,668</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7,602,273</w:t>
            </w:r>
          </w:p>
        </w:tc>
      </w:tr>
      <w:tr>
        <w:trPr>
          <w:trHeight w:val="459"/>
        </w:trPr>
        <w:tc>
          <w:tcPr>
            <w:tcW w:w="6080" w:type="dxa"/>
            <w:vAlign w:val="bottom"/>
          </w:tcPr>
          <w:p>
            <w:pPr>
              <w:ind w:left="55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Three Months Ended November 30, 2021</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27,022,995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11,300,228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15,722,767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11,032,959</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5,468,986</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5,563,973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2,777,605</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1,821,547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956,058</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1,374,749</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910,773</w:t>
            </w:r>
          </w:p>
        </w:tc>
        <w:tc>
          <w:tcPr>
            <w:tcW w:w="3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463,976</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5,042,271</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4,255,200</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787,071</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of August 31, 2021</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Other(1)</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69,394,796</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33,886,655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35,508,141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73,814,402</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36,211,520</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37,602,882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16,366,398</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5,386,377</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10,980,021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1,455,524</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1,455,524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55,992,480</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30,825,144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25,167,336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27,623,768</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15,412,574</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12,211,194</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24,702,778</w:t>
            </w: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14,697,490</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10,005,288</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Three Months Ended November 30, 2020</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Other(1)</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26,777,343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9,551,483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17,225,860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12,441,761</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5,699,007</w:t>
            </w: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6,742,754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3,651,424</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2,021,074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1,630,350</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1,825,712</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1,010,537</w:t>
            </w:r>
          </w:p>
        </w:tc>
        <w:tc>
          <w:tcPr>
            <w:tcW w:w="2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815,175</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1,125,361</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1,125,361</w:t>
            </w:r>
          </w:p>
        </w:tc>
      </w:tr>
      <w:tr>
        <w:trPr>
          <w:trHeight w:val="218"/>
        </w:trPr>
        <w:tc>
          <w:tcPr>
            <w:tcW w:w="6120" w:type="dxa"/>
            <w:vAlign w:val="bottom"/>
          </w:tcPr>
          <w:p>
            <w:pPr>
              <w:spacing w:after="0"/>
              <w:rPr>
                <w:sz w:val="20"/>
                <w:szCs w:val="20"/>
                <w:color w:val="auto"/>
              </w:rPr>
            </w:pPr>
            <w:r>
              <w:rPr>
                <w:rFonts w:ascii="Arial" w:cs="Arial" w:eastAsia="Arial" w:hAnsi="Arial"/>
                <w:sz w:val="18"/>
                <w:szCs w:val="18"/>
                <w:color w:val="auto"/>
              </w:rPr>
              <w:t>__________________</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ind w:left="660" w:hanging="652"/>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Zerust India since Zerust India was not a consolidated subsidiary of the Company as of August 31, 2021 or November 30, 2020. See Note 3 entitled “Business Combination.”</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8.</w:t>
            </w:r>
          </w:p>
        </w:tc>
        <w:tc>
          <w:tcPr>
            <w:tcW w:w="5400" w:type="dxa"/>
            <w:vAlign w:val="bottom"/>
          </w:tcPr>
          <w:p>
            <w:pPr>
              <w:ind w:left="260"/>
              <w:spacing w:after="0"/>
              <w:rPr>
                <w:sz w:val="20"/>
                <w:szCs w:val="20"/>
                <w:color w:val="auto"/>
              </w:rPr>
            </w:pPr>
            <w:r>
              <w:rPr>
                <w:rFonts w:ascii="Arial" w:cs="Arial" w:eastAsia="Arial" w:hAnsi="Arial"/>
                <w:sz w:val="18"/>
                <w:szCs w:val="18"/>
                <w:b w:val="1"/>
                <w:bCs w:val="1"/>
                <w:color w:val="auto"/>
              </w:rPr>
              <w:t>INTANGIBLE ASSET, NET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w w:val="99"/>
              </w:rPr>
              <w:t>Intangible asset, net consisted of the following as of November 30, 2021: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Gross Carrying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Net Carrying</w:t>
            </w:r>
          </w:p>
        </w:tc>
      </w:tr>
      <w:tr>
        <w:trPr>
          <w:trHeight w:val="234"/>
        </w:trPr>
        <w:tc>
          <w:tcPr>
            <w:tcW w:w="4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6,347,000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6,279,000</w:t>
            </w: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customer relationships was established as a part of purchase accounting related to our Zerust India acquisition. See Note 3 entitled “Business Combination.” The Company amortizes the intangible asset related to the customer relationships using the straight-line method over the estimated useful lives of the asset, which is 15 years. Total amortization expense was $68,000 for the three months ended November 30, 2021. Amortization expense is estimated to be $423,000 in each of the next five fiscal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a revolving line of credit with PNC Bank, National Association (“PNC Bank”) of $5,000,000 as of November 30, 2021. This line of credit was increased from $3,000,000 to $5,000,000 effective as of August 31, 2021. Borrowings of $2,500,000 were outstanding under the line of credit as of November 30, 2021 and no amounts were outstanding as of August 31, 2021. Outstanding advances under the line of credit bear interest at a rate equal to the daily BSBY rate plus 2.50%. The weighted average interest rate during the three months ended November 30, 2021 was 2.57%. The line of credit matures on February 22, 2022. The line of credit is governed under an amended and restated loan agreement. The loan agreement contains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2021, the Company was in compliance with all debt covenants.</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November 30, 2021 and August 31, 2021, the Company did not have any letters of credit outstanding with respect to the letter of credit sub-facility available under the revolving line of credit with PNC Bank. As of November 30, 2021 and August 31, 2021, the Company had $104,363 of letters of credit with JP Morgan Chase Bank that are performance based and set to expire between 2021 and 2022.</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April 23, 2020, the Company announced the temporary suspension of its quarterly cash dividend pending clarity on the financial impact of COVID-19 on the Company. Therefore, the Company did not declare a cash dividend during the three months ended November 30, 2020. However, on January 15, 2021, the Company announced the reinstatement of its quarterly cash dividend. On October 20, 2021, the Company’s Board of Directors declared a cash dividend of $0.07 per share of the Company’s common stock on, payable on November 17, 2021 to stockholders of record on November 3,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2021 and 2020, the Company repurchased no shares of its common stock.</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November 30, 2021, the Company granted stock options under the Northern Technologies International Corporation 2019 Stock Incentive Plan (the 2019 Plan) to purchase an aggregate of 174,840 shares of its common stock to various employees and directors. The weighted average per share exercise price of the stock options is $16.97. The exercise price of the stock options is equal to the fair market value of the Company’s common stock on the date of grant. During the three months ended November 30, 2021, 16,000 stock options to purchase common stock were exercised at a weighted average exercise price of $8.70.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November 30, 2020, the Company granted stock options under the 2019 Plan to purchase an aggregate of 419,874 shares of its common stock to various employees and directors. The weighted average per share exercise price of the stock options is $8.24. The exercise price of the stock options is equal to the fair market value of the Company’s common stock on the date of grant. During the three months ended November 30, 2020, no stock options to purchase common stock were exercised.</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issued 2,636 and 4,646 shares of common stock on September 1, 2021 and 2020, respectively, under the Northern Technologies International Corporation Employee Stock Purchase Plan (the ESPP). As of November 30, 2021, 72,186 shares of common stock remained available for sale under the ESPP.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sectPr>
      </w:pPr>
    </w:p>
    <w:bookmarkStart w:id="14" w:name="page15"/>
    <w:bookmarkEnd w:id="14"/>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per share computation for the three months ended November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3"/>
              </w:rPr>
              <w:t>November 30,</w:t>
            </w:r>
          </w:p>
        </w:tc>
      </w:t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4,493,759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1,262,399</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9,199,976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9,104,623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579,794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540,007</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9,779,770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9,644,630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0.13</w:t>
            </w:r>
          </w:p>
        </w:tc>
      </w:tr>
    </w:tbl>
    <w:p>
      <w:pPr>
        <w:spacing w:after="0" w:line="18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months ended November 30, 2021 were options outstanding to purchase 311,061 shares of common stock. Excluded from the computation of diluted net income per share for the three months ended November 30, 2020 were options outstanding to purchase 605,629 shares of common stock.</w:t>
      </w: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three stock-based compensation plans under which stock options or other stock-based awards have been granted: the Northern Technologies International Corporation Amended and Restated 2019 Stock Incentive Plan, the Northern Technologies International Corporation Amended and Restated 2007 Stock Incentive Plan (the 2007 Plan) and the Northern Technologies International Corporation Employee Stock Purchase Plan. The 2019 Plan replaced the 2007 Plan with respect to future grants; and, therefore, no further awards may be made under the 2007 Plan. The Compensation Committee of the Board of Directors and the Board of Directors administer these plans.</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On January 15, 2021, the Company’s stockholders approved certain amendments to the 2019 Plan, including an increase in the number of shares of common stock available for issuance under the plan by an additional 800,000 shares. Subject to adjustment as provided in the 2019 Plan, up to a maximum of 1,600,000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November 30, 2021, options to purchase an aggregate of 895,484 shares of the Company’s common stock were outstanding under the 2019 Plan and 704,516 shares of the Company’s common stock remain available for grant under the 2019 Plan. As of November 30, 2021, options to purchase an aggregate of 690,007 shares of the Company’s common stock were outstanding under the 2007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5" w:name="page16"/>
    <w:bookmarkEnd w:id="15"/>
    <w:p>
      <w:pPr>
        <w:ind w:right="80"/>
        <w:spacing w:after="0" w:line="290" w:lineRule="auto"/>
        <w:rPr>
          <w:sz w:val="20"/>
          <w:szCs w:val="20"/>
          <w:color w:val="auto"/>
        </w:rPr>
      </w:pPr>
      <w:r>
        <w:rPr>
          <w:rFonts w:ascii="Arial" w:cs="Arial" w:eastAsia="Arial" w:hAnsi="Arial"/>
          <w:sz w:val="16"/>
          <w:szCs w:val="16"/>
          <w:color w:val="auto"/>
        </w:rPr>
        <w:t>The Company granted options to purchase an aggregate of 174,840 and 419,874 shares of its common stock during the three months ended November 30, 2021 and 2020, respectively. The fair value of option grants is determined at the date of grant using the Black-Scholes option pricing model with the assumptions listed below. The Company recognized compensation expense of $232,883 and $181,669 during the three months ended November 30, 2021 and 2020, respectively, related to the options that vested during such time period. As of November 30, 2021, the total compensation cost for non-vested options not yet recognized in the Company’s consolidated statements of operations was $1,708,368. Stock-based compensation expense of $698,649 is expected through the remainder of fiscal year 2022, and $671,526 and $338,193 is expected to be recognized during fiscal 2023 and 2024, respectively, based on outstanding options as of November 30, 2021. Future option grants will impact the compensation expense recognized. Stock-based compensation expense is included in general and administrative expense on the consolidated statements of operations.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66"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November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0.28%</w:t>
            </w:r>
          </w:p>
        </w:tc>
      </w:tr>
    </w:tbl>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weighted average per share fair value of options granted during the three months ended November 30, 2021 and 2020 was $7.29 and $3.12, respectively. The weighted average remaining contractual life of the options outstanding as of November 30, 2021 and 2020 was 6.41 years and 6.90 years, respectively.</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45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2021 and 2020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35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3"/>
              </w:rPr>
              <w:t>November 30,</w:t>
            </w:r>
          </w:p>
        </w:tc>
      </w:tr>
      <w:tr>
        <w:trPr>
          <w:trHeight w:val="234"/>
        </w:trPr>
        <w:tc>
          <w:tcPr>
            <w:tcW w:w="35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4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14,423,785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10,220,551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Natur-Tec® net sales</w:t>
            </w:r>
          </w:p>
        </w:tc>
        <w:tc>
          <w:tcPr>
            <w:tcW w:w="4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3,769,628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2,558,561</w:t>
            </w:r>
          </w:p>
        </w:tc>
      </w:tr>
      <w:tr>
        <w:trPr>
          <w:trHeight w:val="249"/>
        </w:trPr>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4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18,193,413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12,779,112</w:t>
            </w:r>
          </w:p>
        </w:tc>
      </w:tr>
      <w:tr>
        <w:trPr>
          <w:trHeight w:val="413"/>
        </w:trPr>
        <w:tc>
          <w:tcPr>
            <w:tcW w:w="3540" w:type="dxa"/>
            <w:vAlign w:val="bottom"/>
            <w:tcBorders>
              <w:top w:val="single" w:sz="8" w:color="CCEEFF"/>
            </w:tcBorders>
          </w:tcPr>
          <w:p>
            <w:pPr>
              <w:spacing w:after="0"/>
              <w:rPr>
                <w:sz w:val="24"/>
                <w:szCs w:val="24"/>
                <w:color w:val="auto"/>
              </w:rPr>
            </w:pPr>
          </w:p>
        </w:tc>
        <w:tc>
          <w:tcPr>
            <w:tcW w:w="446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2021 and 2020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59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November 30,</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November 30,</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r>
      <w:tr>
        <w:trPr>
          <w:trHeight w:val="234"/>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Sales*</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ZERUST®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8,706,667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5,771,089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56.5%</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2,922,098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1,767,630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861,718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774,602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r>
      <w:tr>
        <w:trPr>
          <w:trHeight w:val="209"/>
        </w:trPr>
        <w:tc>
          <w:tcPr>
            <w:tcW w:w="5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cost of goods sold ….</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12,490,483</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8,313,321</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right="1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i w:val="1"/>
                <w:iCs w:val="1"/>
                <w:color w:val="auto"/>
              </w:rPr>
              <w:t>Geographic Information</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w w:val="93"/>
              </w:rPr>
              <w:t>Net sales by geographic location for the three months ended November 30, 2021 and 2020 were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3"/>
              </w:rPr>
              <w:t>November 30,</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6,156,322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4,861,355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Outside the U.S.A. to:</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840,439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580,304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Unaffiliated customers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11,196,652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7,337,453</w:t>
            </w: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18,193,413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12,779,112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2021 and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Fees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Fees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November 30,</w:t>
            </w: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Joint</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November 30,</w:t>
            </w: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Joint</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8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218,430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228,826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Poland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176,927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189,410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166,807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France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116,292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105,907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United Kingdom</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94,927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61,915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Finland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80,173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76,283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70,098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South Korea</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62,626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85,079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76,954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71,197</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280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1,258,858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1,336,561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560" w:type="dxa"/>
            <w:vAlign w:val="bottom"/>
            <w:vMerge w:val="restart"/>
          </w:tcPr>
          <w:p>
            <w:pPr>
              <w:jc w:val="right"/>
              <w:ind w:right="13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As of</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2021</w:t>
            </w:r>
          </w:p>
        </w:tc>
      </w:tr>
      <w:tr>
        <w:trPr>
          <w:trHeight w:val="195"/>
        </w:trPr>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5,380,922</w:t>
            </w:r>
          </w:p>
        </w:tc>
        <w:tc>
          <w:tcPr>
            <w:tcW w:w="10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5,110,071</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668,393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453,199</w:t>
            </w:r>
          </w:p>
        </w:tc>
      </w:tr>
      <w:tr>
        <w:trPr>
          <w:trHeight w:val="230"/>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6,145,359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6,258,188</w:t>
            </w:r>
          </w:p>
        </w:tc>
      </w:tr>
      <w:tr>
        <w:trPr>
          <w:trHeight w:val="21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12,194,674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11,821,458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3"/>
              </w:rPr>
              <w:t>November 30,</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5"/>
        </w:trPr>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4,057,853</w:t>
            </w:r>
          </w:p>
        </w:tc>
        <w:tc>
          <w:tcPr>
            <w:tcW w:w="10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4,543,978</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1,296,217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713,853</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4,476,984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1,200,468</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2,206,037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1,459,458</w:t>
            </w:r>
          </w:p>
        </w:tc>
      </w:tr>
      <w:tr>
        <w:trPr>
          <w:trHeight w:val="230"/>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6,156,322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4,861,355</w:t>
            </w:r>
          </w:p>
        </w:tc>
      </w:tr>
      <w:tr>
        <w:trPr>
          <w:trHeight w:val="20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18,193,413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12,779,112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611" w:right="339" w:bottom="1440" w:gutter="0" w:footer="0" w:header="0"/>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Long-lived assets consist of property and equipment and intangible assets. These assets are periodically reviewed to assure the net realizable value from the estimated future production based on forecasted sales exceeds the carrying value of the assets.</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Plan</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August 26, 2021, the Compensation Committee of the Board of Directors of the Company approved the material terms of an annual bonus plan for the Company’s executive officers as well as certain officers and employees for the fiscal year ending August 31, 2022. For fiscal 2022,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2022 compared to a pre-established target EBITOI for fiscal 2022,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the Company’s common stock, the exact amount and percentages of which are determined by the Company’s Board of Directors, upon recommendation of the Compensation Committee, after the completion of the Company’s consolidated financial statements for fiscal 2022. There was $483,334 recognized for management bonuses for the three months ended November 30, 2021 compared to $516,667 accrued for management bonuses for the three months ended November 30,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Two joint ventures (consisting of the Company’s joint ventures in the Korea and Japan) accounted for 42.4% of the Company’s trade joint venture receivables as of November 30, 2021, and three joint ventures (consisting of the Company’s joint ventures in South Korea, USA and India) accounted for 55.6% of the Company’s trade joint venture receivables as of November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2021,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1"/>
              </w:rPr>
              <w:t>Fair Value Measurements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1"/>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November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1"/>
              </w:rPr>
              <w:t>Fair Value Measurements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1"/>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months ended November 30, 2021 or 2020.</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Supplemental disclosures of cash flow information consisted of:</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November 30,</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2,368</w:t>
            </w: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Income tax expense for the three months ended November 30, 2021 was $504,380 compared to $378,590 for the same prior year period. The expense was largely due to foreign operations. The Company has federal and state tax credit carry forwards, net operating loss carry forwards and foreign tax carry forwards. The Company has recorded a full valuation allowance against the U.S. deferred tax assets as of November 30, 2021 and August 31, 2021.</w:t>
      </w:r>
    </w:p>
    <w:p>
      <w:pPr>
        <w:spacing w:after="0" w:line="38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January 4, 2022, the Company and PNC Bank entered into an Amended and Restated Revolving Line of Credit Note, which extended the maturity date to January 7, 2023 and revised the rate at which amounts outstanding under the line of credit bear interest to equal a per annum rate equal to the daily Bloomberg Short-Term Bank Yield Index plus 250 basis points (2.50%). Additionally, beginning February 23, 2022 and through January 7, 2023, the line of credit will be decreased from $5,000,000 to $3,000,000. The other material terms of the line of credit were not affected by this amendment.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NTIC develops and markets proprietary, environmentally-beneficial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45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6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Internationally, NTIC sells its ZERUST® corrosion prevention solutions through its wholly-owned subsidiary in China, NTIC (Shanghai) Co., Ltd. (NTIC China), starting September 1, 2021 its wholly-owned subsidiary in India, Harita-NTI Ltd. (Zerust India),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1" w:name="page22"/>
    <w:bookmarkEnd w:id="21"/>
    <w:p>
      <w:pPr>
        <w:spacing w:after="0" w:line="290" w:lineRule="auto"/>
        <w:rPr>
          <w:sz w:val="20"/>
          <w:szCs w:val="20"/>
          <w:color w:val="auto"/>
        </w:rPr>
      </w:pPr>
      <w:r>
        <w:rPr>
          <w:rFonts w:ascii="Arial" w:cs="Arial" w:eastAsia="Arial" w:hAnsi="Arial"/>
          <w:sz w:val="16"/>
          <w:szCs w:val="16"/>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 of Zerust India</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September 21, 2021, NTIC announced that it acquired the remaining 50% ownership interest in its Indian joint venture, Zerust India, for $6.25 million in cash, effective as of September 1, 2021. Prior to September 1, 2021, NTIC owned 50% of the outstanding capital stock of Zerust India. NTIC had historically accounted for this investment under the equity method of accounting.</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purchase price of $6.25 million was funded with cash on hand and borrowings under the Company’s revolving line of credit, which was increased in connection with the transaction to $5.0 million.</w:t>
      </w:r>
    </w:p>
    <w:p>
      <w:pPr>
        <w:spacing w:after="0" w:line="17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Because NTIC increased its ownership interest in Zerust India to 100%, the acquisition of Zerust India has been accounted for in accordance with Accounting Standards Codification (ASC) 805, Business Combinations, by using the acquisition method of accounting. Effective September 1, 2021, Zerust India is now a consolidated subsidiary within NTIC’s financial statements.</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Net sales and net income related to Zerust India since the date of acquisition totaled $2,452,812 and $292,528, respectively. The transaction costs associated with the acquisition were approximately $50,000 and are recorded in general and administrative expense as incurred during the three months ended November 30, 2021.</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Authoritative guidance on accounting for business combinations requires that an acquirer re-measure its previously held equity interest in the acquisition at its acquisition date fair value and recognize the resulting gain or loss in earnings. As such, since NTIC acquired the remaining 50% ownership interest of Zerust India effective September 1, 2021, NTIC recognized a gain of $3,951,550 during the three months ended November 30, 2021. This gain is included in “Remeasurement gain on acquisition of equity method investee” on NTIC’s consolidated statements of operations.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a result of the acquisition of Zerust India, NTIC’s revenues and operating expenses increased and its equity in income from joint ventures decreased during the three months ended November 30, 2021 as compared to the three months ended November 30, 2020 and it is anticipated that the acquisition will continue to have these effects on NTIC’s financial results during the remainder of fiscal 2022.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NTIC</w:t>
      </w:r>
      <w:r>
        <w:rPr>
          <w:rFonts w:ascii="Arial" w:cs="Arial" w:eastAsia="Arial" w:hAnsi="Arial"/>
          <w:sz w:val="18"/>
          <w:szCs w:val="18"/>
          <w:color w:val="auto"/>
        </w:rPr>
        <w:t>’</w:t>
      </w:r>
      <w:r>
        <w:rPr>
          <w:rFonts w:ascii="Arial" w:cs="Arial" w:eastAsia="Arial" w:hAnsi="Arial"/>
          <w:sz w:val="18"/>
          <w:szCs w:val="18"/>
          <w:b w:val="1"/>
          <w:bCs w:val="1"/>
          <w:color w:val="auto"/>
        </w:rPr>
        <w:t>s Subsidiaries and Joint Venture Network</w:t>
      </w:r>
    </w:p>
    <w:p>
      <w:pPr>
        <w:spacing w:after="0" w:line="22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NTIC has ownership interests in 10 operating subsidiaries in North America, South America, Europe and Asia. The following table sets forth a list of NTIC’s operating subsidiaries as of November 30, 2021, the country in which the subsidiary is organized and NTIC’s ownership percentage in each subsidiary: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right"/>
              <w:ind w:right="790"/>
              <w:spacing w:after="0"/>
              <w:rPr>
                <w:sz w:val="20"/>
                <w:szCs w:val="20"/>
                <w:color w:val="auto"/>
              </w:rPr>
            </w:pPr>
            <w:r>
              <w:rPr>
                <w:rFonts w:ascii="Arial" w:cs="Arial" w:eastAsia="Arial" w:hAnsi="Arial"/>
                <w:sz w:val="18"/>
                <w:szCs w:val="18"/>
                <w:b w:val="1"/>
                <w:bCs w:val="1"/>
                <w:color w:val="auto"/>
              </w:rPr>
              <w:t>NTIC</w:t>
            </w:r>
          </w:p>
        </w:tc>
      </w:tr>
      <w:tr>
        <w:trPr>
          <w:trHeight w:val="234"/>
        </w:trPr>
        <w:tc>
          <w:tcPr>
            <w:tcW w:w="652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Subsidiary Name</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120" w:type="dxa"/>
            <w:vAlign w:val="bottom"/>
          </w:tcPr>
          <w:p>
            <w:pPr>
              <w:spacing w:after="0"/>
              <w:rPr>
                <w:sz w:val="20"/>
                <w:szCs w:val="20"/>
                <w:color w:val="auto"/>
              </w:rPr>
            </w:pPr>
          </w:p>
        </w:tc>
        <w:tc>
          <w:tcPr>
            <w:tcW w:w="2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 (%) Ownership</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NTIC (Shanghai) Co., Ltd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23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100%</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NTI Asean LLC</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2340" w:type="dxa"/>
            <w:vAlign w:val="bottom"/>
            <w:gridSpan w:val="2"/>
          </w:tcPr>
          <w:p>
            <w:pPr>
              <w:jc w:val="right"/>
              <w:ind w:right="910"/>
              <w:spacing w:after="0"/>
              <w:rPr>
                <w:sz w:val="20"/>
                <w:szCs w:val="20"/>
                <w:color w:val="auto"/>
              </w:rPr>
            </w:pPr>
            <w:r>
              <w:rPr>
                <w:rFonts w:ascii="Arial" w:cs="Arial" w:eastAsia="Arial" w:hAnsi="Arial"/>
                <w:sz w:val="18"/>
                <w:szCs w:val="18"/>
                <w:color w:val="auto"/>
              </w:rPr>
              <w:t>60%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Zerust Prevenção de Corrosão S.A.</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23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85%</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ZERUST-EXCOR MEXICO, S. de R.L. de C.V</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Mexico</w:t>
            </w:r>
          </w:p>
        </w:tc>
        <w:tc>
          <w:tcPr>
            <w:tcW w:w="2340" w:type="dxa"/>
            <w:vAlign w:val="bottom"/>
            <w:gridSpan w:val="2"/>
          </w:tcPr>
          <w:p>
            <w:pPr>
              <w:jc w:val="right"/>
              <w:ind w:right="910"/>
              <w:spacing w:after="0"/>
              <w:rPr>
                <w:sz w:val="20"/>
                <w:szCs w:val="20"/>
                <w:color w:val="auto"/>
              </w:rPr>
            </w:pPr>
            <w:r>
              <w:rPr>
                <w:rFonts w:ascii="Arial" w:cs="Arial" w:eastAsia="Arial" w:hAnsi="Arial"/>
                <w:sz w:val="18"/>
                <w:szCs w:val="18"/>
                <w:color w:val="auto"/>
              </w:rPr>
              <w:t>100%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Harita-NTI Limited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23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100%</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Natur-Tec India Private Limited</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2340" w:type="dxa"/>
            <w:vAlign w:val="bottom"/>
            <w:gridSpan w:val="2"/>
          </w:tcPr>
          <w:p>
            <w:pPr>
              <w:jc w:val="right"/>
              <w:ind w:right="910"/>
              <w:spacing w:after="0"/>
              <w:rPr>
                <w:sz w:val="20"/>
                <w:szCs w:val="20"/>
                <w:color w:val="auto"/>
              </w:rPr>
            </w:pPr>
            <w:r>
              <w:rPr>
                <w:rFonts w:ascii="Arial" w:cs="Arial" w:eastAsia="Arial" w:hAnsi="Arial"/>
                <w:sz w:val="18"/>
                <w:szCs w:val="18"/>
                <w:color w:val="auto"/>
              </w:rPr>
              <w:t>75%</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 Tec Lanka (Pvt) Ltd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9"/>
              </w:rPr>
              <w:t>Sri Lanka</w:t>
            </w:r>
            <w:r>
              <w:rPr>
                <w:rFonts w:ascii="Arial" w:cs="Arial" w:eastAsia="Arial" w:hAnsi="Arial"/>
                <w:sz w:val="25"/>
                <w:szCs w:val="25"/>
                <w:color w:val="auto"/>
                <w:w w:val="99"/>
                <w:vertAlign w:val="superscript"/>
              </w:rPr>
              <w:t>(1)</w:t>
            </w:r>
          </w:p>
        </w:tc>
        <w:tc>
          <w:tcPr>
            <w:tcW w:w="23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75%</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NTIC Europe GmbH</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2340" w:type="dxa"/>
            <w:vAlign w:val="bottom"/>
            <w:gridSpan w:val="2"/>
          </w:tcPr>
          <w:p>
            <w:pPr>
              <w:jc w:val="right"/>
              <w:ind w:right="910"/>
              <w:spacing w:after="0"/>
              <w:rPr>
                <w:sz w:val="20"/>
                <w:szCs w:val="20"/>
                <w:color w:val="auto"/>
              </w:rPr>
            </w:pPr>
            <w:r>
              <w:rPr>
                <w:rFonts w:ascii="Arial" w:cs="Arial" w:eastAsia="Arial" w:hAnsi="Arial"/>
                <w:sz w:val="18"/>
                <w:szCs w:val="18"/>
                <w:color w:val="auto"/>
              </w:rPr>
              <w:t>100%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Zerust Singapore Pte Ltd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6"/>
              </w:rPr>
              <w:t>Singapore</w:t>
            </w:r>
            <w:r>
              <w:rPr>
                <w:rFonts w:ascii="Arial" w:cs="Arial" w:eastAsia="Arial" w:hAnsi="Arial"/>
                <w:sz w:val="25"/>
                <w:szCs w:val="25"/>
                <w:color w:val="auto"/>
                <w:w w:val="96"/>
                <w:vertAlign w:val="superscript"/>
              </w:rPr>
              <w:t>(2)</w:t>
            </w:r>
          </w:p>
        </w:tc>
        <w:tc>
          <w:tcPr>
            <w:tcW w:w="23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60%</w:t>
            </w:r>
          </w:p>
        </w:tc>
      </w:tr>
      <w:tr>
        <w:trPr>
          <w:trHeight w:val="198"/>
        </w:trPr>
        <w:tc>
          <w:tcPr>
            <w:tcW w:w="6520" w:type="dxa"/>
            <w:vAlign w:val="bottom"/>
          </w:tcPr>
          <w:p>
            <w:pPr>
              <w:ind w:left="20"/>
              <w:spacing w:after="0" w:line="198" w:lineRule="exact"/>
              <w:rPr>
                <w:sz w:val="20"/>
                <w:szCs w:val="20"/>
                <w:color w:val="auto"/>
              </w:rPr>
            </w:pPr>
            <w:r>
              <w:rPr>
                <w:rFonts w:ascii="Arial" w:cs="Arial" w:eastAsia="Arial" w:hAnsi="Arial"/>
                <w:sz w:val="18"/>
                <w:szCs w:val="18"/>
                <w:color w:val="auto"/>
              </w:rPr>
              <w:t>Zerust Vietnam Co. Ltd</w:t>
            </w:r>
          </w:p>
        </w:tc>
        <w:tc>
          <w:tcPr>
            <w:tcW w:w="1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Arial" w:cs="Arial" w:eastAsia="Arial" w:hAnsi="Arial"/>
                <w:sz w:val="14"/>
                <w:szCs w:val="14"/>
                <w:color w:val="auto"/>
              </w:rPr>
              <w:t>Vietnam</w:t>
            </w:r>
            <w:r>
              <w:rPr>
                <w:rFonts w:ascii="Arial" w:cs="Arial" w:eastAsia="Arial" w:hAnsi="Arial"/>
                <w:sz w:val="22"/>
                <w:szCs w:val="22"/>
                <w:color w:val="auto"/>
                <w:vertAlign w:val="superscript"/>
              </w:rPr>
              <w:t>(2)</w:t>
            </w:r>
          </w:p>
        </w:tc>
        <w:tc>
          <w:tcPr>
            <w:tcW w:w="2340" w:type="dxa"/>
            <w:vAlign w:val="bottom"/>
            <w:gridSpan w:val="2"/>
          </w:tcPr>
          <w:p>
            <w:pPr>
              <w:jc w:val="right"/>
              <w:ind w:right="910"/>
              <w:spacing w:after="0" w:line="198" w:lineRule="exact"/>
              <w:rPr>
                <w:sz w:val="20"/>
                <w:szCs w:val="20"/>
                <w:color w:val="auto"/>
              </w:rPr>
            </w:pPr>
            <w:r>
              <w:rPr>
                <w:rFonts w:ascii="Arial" w:cs="Arial" w:eastAsia="Arial" w:hAnsi="Arial"/>
                <w:sz w:val="18"/>
                <w:szCs w:val="18"/>
                <w:color w:val="auto"/>
              </w:rPr>
              <w:t>60%</w:t>
            </w:r>
          </w:p>
        </w:tc>
      </w:t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__________________</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 Tec Lanka (Pvt) Ltd. is 100% owned by Natur-Tec India Private Limited and, therefore, indirectly owned by NTIC.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Zerust Singapore Pte Ltd and Zerust Vietnam Co. Ltd are 100% owned by NTI Asean LLC and, therefore, indirectly owned by NTIC.</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results of these subsidiaries are fully consolidated in NTIC’s consolidated financial statements, including Zerust India, which has been consolidated since September 1,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participates in 17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list of NTIC’s operating joint ventures as of November 30, 2021,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Joint Venture Name</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Percent (%) Ownership</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TAIYONIC LTD.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Japan</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ACOBAL SAS</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02"/>
        </w:trPr>
        <w:tc>
          <w:tcPr>
            <w:tcW w:w="65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EXCOR KORROSIONSSCHUTZ – TECHNOLOGIEN</w:t>
            </w:r>
          </w:p>
        </w:tc>
        <w:tc>
          <w:tcPr>
            <w:tcW w:w="120" w:type="dxa"/>
            <w:vAlign w:val="bottom"/>
            <w:shd w:val="clear" w:color="auto" w:fill="CCEEFF"/>
          </w:tcPr>
          <w:p>
            <w:pPr>
              <w:spacing w:after="0"/>
              <w:rPr>
                <w:sz w:val="17"/>
                <w:szCs w:val="17"/>
                <w:color w:val="auto"/>
              </w:rPr>
            </w:pPr>
          </w:p>
        </w:tc>
        <w:tc>
          <w:tcPr>
            <w:tcW w:w="2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234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122"/>
        </w:trPr>
        <w:tc>
          <w:tcPr>
            <w:tcW w:w="6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UND PRODUKTE GMBH</w:t>
            </w:r>
          </w:p>
        </w:tc>
        <w:tc>
          <w:tcPr>
            <w:tcW w:w="120" w:type="dxa"/>
            <w:vAlign w:val="bottom"/>
            <w:shd w:val="clear" w:color="auto" w:fill="CCEEFF"/>
          </w:tcPr>
          <w:p>
            <w:pPr>
              <w:spacing w:after="0"/>
              <w:rPr>
                <w:sz w:val="10"/>
                <w:szCs w:val="10"/>
                <w:color w:val="auto"/>
              </w:rPr>
            </w:pPr>
          </w:p>
        </w:tc>
        <w:tc>
          <w:tcPr>
            <w:tcW w:w="2260" w:type="dxa"/>
            <w:vAlign w:val="bottom"/>
            <w:vMerge w:val="continue"/>
            <w:shd w:val="clear" w:color="auto" w:fill="CCEEFF"/>
          </w:tcPr>
          <w:p>
            <w:pPr>
              <w:spacing w:after="0"/>
              <w:rPr>
                <w:sz w:val="10"/>
                <w:szCs w:val="10"/>
                <w:color w:val="auto"/>
              </w:rPr>
            </w:pPr>
          </w:p>
        </w:tc>
        <w:tc>
          <w:tcPr>
            <w:tcW w:w="23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ZERUST AB</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MOSTNIC-ZERUST</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ZERUST OY</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Finland</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ZERUST (U.K.) LTD.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EXCOR-ZERUST S.R.O.</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Czech Republic</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EXCOR SP. Z.O.O.</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Poland</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ZERUST A.Ş.</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Turkey</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ZERUST CONSUMER PRODUCTS, LLC</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ZERUST – DNEPR</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KOREA ZERUST CO., LTD.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6"/>
              </w:rPr>
              <w:t xml:space="preserve">South Korea </w:t>
            </w:r>
            <w:r>
              <w:rPr>
                <w:rFonts w:ascii="Arial" w:cs="Arial" w:eastAsia="Arial" w:hAnsi="Arial"/>
                <w:sz w:val="25"/>
                <w:szCs w:val="25"/>
                <w:color w:val="auto"/>
                <w:w w:val="96"/>
                <w:vertAlign w:val="superscript"/>
              </w:rPr>
              <w:t>(1)</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ZERUST-NIC (TAIWAN) CORP.</w:t>
            </w:r>
          </w:p>
        </w:tc>
        <w:tc>
          <w:tcPr>
            <w:tcW w:w="120" w:type="dxa"/>
            <w:vAlign w:val="bottom"/>
          </w:tcPr>
          <w:p>
            <w:pPr>
              <w:spacing w:after="0"/>
              <w:rPr>
                <w:sz w:val="18"/>
                <w:szCs w:val="18"/>
                <w:color w:val="auto"/>
              </w:rPr>
            </w:pPr>
          </w:p>
        </w:tc>
        <w:tc>
          <w:tcPr>
            <w:tcW w:w="2260" w:type="dxa"/>
            <w:vAlign w:val="bottom"/>
          </w:tcPr>
          <w:p>
            <w:pPr>
              <w:jc w:val="center"/>
              <w:spacing w:after="0" w:line="216" w:lineRule="exact"/>
              <w:rPr>
                <w:sz w:val="20"/>
                <w:szCs w:val="20"/>
                <w:color w:val="auto"/>
              </w:rPr>
            </w:pPr>
            <w:r>
              <w:rPr>
                <w:rFonts w:ascii="Arial" w:cs="Arial" w:eastAsia="Arial" w:hAnsi="Arial"/>
                <w:sz w:val="16"/>
                <w:szCs w:val="16"/>
                <w:color w:val="auto"/>
                <w:w w:val="96"/>
              </w:rPr>
              <w:t xml:space="preserve">Taiwan </w:t>
            </w:r>
            <w:r>
              <w:rPr>
                <w:rFonts w:ascii="Arial" w:cs="Arial" w:eastAsia="Arial" w:hAnsi="Arial"/>
                <w:sz w:val="25"/>
                <w:szCs w:val="25"/>
                <w:color w:val="auto"/>
                <w:w w:val="96"/>
                <w:vertAlign w:val="superscript"/>
              </w:rPr>
              <w:t>(1)</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CHEMINDO – NTIA</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Indonesia </w:t>
            </w:r>
            <w:r>
              <w:rPr>
                <w:rFonts w:ascii="Arial" w:cs="Arial" w:eastAsia="Arial" w:hAnsi="Arial"/>
                <w:sz w:val="25"/>
                <w:szCs w:val="25"/>
                <w:color w:val="auto"/>
                <w:w w:val="95"/>
                <w:vertAlign w:val="superscript"/>
              </w:rPr>
              <w:t>(1)</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ZERUST SPECIALTY TECH CO. LTD.</w:t>
            </w:r>
          </w:p>
        </w:tc>
        <w:tc>
          <w:tcPr>
            <w:tcW w:w="120" w:type="dxa"/>
            <w:vAlign w:val="bottom"/>
          </w:tcPr>
          <w:p>
            <w:pPr>
              <w:spacing w:after="0"/>
              <w:rPr>
                <w:sz w:val="18"/>
                <w:szCs w:val="18"/>
                <w:color w:val="auto"/>
              </w:rPr>
            </w:pPr>
          </w:p>
        </w:tc>
        <w:tc>
          <w:tcPr>
            <w:tcW w:w="2260" w:type="dxa"/>
            <w:vAlign w:val="bottom"/>
          </w:tcPr>
          <w:p>
            <w:pPr>
              <w:jc w:val="center"/>
              <w:spacing w:after="0" w:line="216" w:lineRule="exact"/>
              <w:rPr>
                <w:sz w:val="20"/>
                <w:szCs w:val="20"/>
                <w:color w:val="auto"/>
              </w:rPr>
            </w:pPr>
            <w:r>
              <w:rPr>
                <w:rFonts w:ascii="Arial" w:cs="Arial" w:eastAsia="Arial" w:hAnsi="Arial"/>
                <w:sz w:val="16"/>
                <w:szCs w:val="16"/>
                <w:color w:val="auto"/>
                <w:w w:val="99"/>
              </w:rPr>
              <w:t xml:space="preserve">Thailand </w:t>
            </w:r>
            <w:r>
              <w:rPr>
                <w:rFonts w:ascii="Arial" w:cs="Arial" w:eastAsia="Arial" w:hAnsi="Arial"/>
                <w:sz w:val="25"/>
                <w:szCs w:val="25"/>
                <w:color w:val="auto"/>
                <w:w w:val="99"/>
                <w:vertAlign w:val="superscript"/>
              </w:rPr>
              <w:t>(1)</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CHONG WAH-NTIA SDN. BHD.</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7"/>
              </w:rPr>
              <w:t xml:space="preserve">Malaysia </w:t>
            </w:r>
            <w:r>
              <w:rPr>
                <w:rFonts w:ascii="Arial" w:cs="Arial" w:eastAsia="Arial" w:hAnsi="Arial"/>
                <w:sz w:val="25"/>
                <w:szCs w:val="25"/>
                <w:color w:val="auto"/>
                <w:w w:val="97"/>
                <w:vertAlign w:val="superscript"/>
              </w:rPr>
              <w:t>(1)</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02"/>
        </w:trPr>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6080" w:type="dxa"/>
            <w:vAlign w:val="bottom"/>
          </w:tcPr>
          <w:p>
            <w:pPr>
              <w:ind w:left="220"/>
              <w:spacing w:after="0"/>
              <w:rPr>
                <w:sz w:val="20"/>
                <w:szCs w:val="20"/>
                <w:color w:val="auto"/>
              </w:rPr>
            </w:pPr>
            <w:r>
              <w:rPr>
                <w:rFonts w:ascii="Arial" w:cs="Arial" w:eastAsia="Arial" w:hAnsi="Arial"/>
                <w:sz w:val="18"/>
                <w:szCs w:val="18"/>
                <w:color w:val="auto"/>
              </w:rPr>
              <w:t>Indirect ownership interest through NTI Asean.</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dividends are paid and, if so, what amount is paid in a given year. The payment of a dividend by an entity is determined by a joint vote of the owners and is not at the sole discretion of NTIC.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NTIC accounts for the investments and financial results of its joint ventures in its financial statements utilizing the equity method of accounting.</w:t>
      </w:r>
    </w:p>
    <w:p>
      <w:pPr>
        <w:spacing w:after="0" w:line="23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NTIC considers EXCOR to be individually significant to NTIC’s consolidated assets and income as of November 30, 2021. Therefore, NTIC provides certain additional information regarding EXCOR in the notes to NTIC’s consolidated financial statements and in this section of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March 2020, the World Health Organization declared the novel coronavirus (COVID-19) outbreak a global pandemic. The COVID-19 pandemic has negatively impacted the global economy, disrupted global supply chains and shipping, created significant volatility and disruption in financial markets and has resulted in an economic recession. The outbreak and continuing rapid spread of COVID-19 has resulted in a substantial curtailment of business activities worldwide and is causing weakened economic conditions, both in the United States and abroad.</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part of efforts to contain the spread of COVID-19, federal, state, local and foreign governments imposed various restrictions on the conduct of business and travel, some of which remain in place in whole or in part and some of which have been or may be reinstated. Government restrictions, such as stay-at-home orders, quarantines and worker absenteeism as a result of COVID-19, led to a significant number of business closures and slowdowns. These business closures and slowdowns adversely impacted and may continue to adversely impact NTIC directly and caused some of NTIC’s customers and suppliers to operate at a fraction of their capacities or wholly lock down, which disrupted and may continue to disrupt NTIC’s sales and production.</w:t>
      </w:r>
    </w:p>
    <w:p>
      <w:pPr>
        <w:spacing w:after="0" w:line="1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the events surrounding the COVID-19 pandemic unfolded,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COVID-19 pandemic in 2020 and again sporadically during 2021,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During the first quarter of fiscal 2022, certain of NTIC’s facilities were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shipping delays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4" w:name="page25"/>
    <w:bookmarkEnd w:id="24"/>
    <w:p>
      <w:pPr>
        <w:ind w:right="160"/>
        <w:spacing w:after="0" w:line="291" w:lineRule="auto"/>
        <w:rPr>
          <w:sz w:val="20"/>
          <w:szCs w:val="20"/>
          <w:color w:val="auto"/>
        </w:rPr>
      </w:pPr>
      <w:r>
        <w:rPr>
          <w:rFonts w:ascii="Arial" w:cs="Arial" w:eastAsia="Arial" w:hAnsi="Arial"/>
          <w:sz w:val="16"/>
          <w:szCs w:val="16"/>
          <w:color w:val="auto"/>
        </w:rPr>
        <w:t>As a result of the global economic slowdown caused by the COVID-19 pandemic, NTIC experienced softened demand in various regions and markets during the three months ended November 30, 2021, which had an adverse effect on NTIC’s operating results and financial condition. NTIC expects this softness in sales to continue through at least the second quarter of fiscal 2022. In addition, NTIC has experienced supply shortages and price increases on raw materials and increased labor costs, which have adversely affected its margins. NTIC has also experienced increased shipping costs and shipping delays as a result of freight container shortages. These issues have persisted into second quarter of fiscal 2022 and are expected to continue to persist throughout fiscal 2022. Due to the international reach of COVID-19, NTIC’s international joint ventures have also been adversely impacted. It is not possible to predict how long the pandemic will last or the time that it will take for economic activity to return to prior levels for all business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Supply Chain Disruptions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Worldwide supply chain disruptions, which were initially brought about by the impact of the COVID-19 pandemic, have persisted despite the recovery in the global economy and financial markets. These issues have continued into the second quarter of fiscal 2022 and are expected to continue throughout fiscal 2022. NTIC has experienced longer lead times for raw materials, has been forced to find new suppliers of certain raw materials, and has experienced raw material cost increases compared to prior fiscal quarters. Additionally, NTIC has experienced significantly longer shipping times and significant price increases per shipping container compared to prior fiscal quarters due to ocean freight capacity issues resulting from increased demand for shipping and reduced capacity and equipment. These and other issues resulting from worldwide supply chain disruptions are expected to continue throughout fiscal 2022 and could continue to have a material adverse effect on NTIC’s business, operating results and financial condition. The precise financial impact and duration, however, cannot be reasonably estimated at this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second quarter of fiscal 2022 financial results include:</w:t>
      </w:r>
    </w:p>
    <w:p>
      <w:pPr>
        <w:spacing w:after="0" w:line="225" w:lineRule="exact"/>
        <w:rPr>
          <w:sz w:val="20"/>
          <w:szCs w:val="20"/>
          <w:color w:val="auto"/>
        </w:rPr>
      </w:pPr>
    </w:p>
    <w:p>
      <w:pPr>
        <w:ind w:left="980" w:right="80" w:hanging="324"/>
        <w:spacing w:after="0" w:line="25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consolidated net sales increased 42.4% during the three months ended November 30, 2021 compared to the three months ended November 30, 2020. NTIC’s consolidated net sales for the three months ended November 30, 2021 were positively affected by incremental sales as a result of the Zerust India acquisition and to a lesser extent increased demand, partially offset by softened demand in certain regions and markets due to the COVID-19 pandemic. NTIC expects this softness in sales as a result of the pandemic to continue through at least the second quarter of fiscal 2022.</w:t>
      </w:r>
    </w:p>
    <w:p>
      <w:pPr>
        <w:spacing w:after="0" w:line="187" w:lineRule="exact"/>
        <w:rPr>
          <w:rFonts w:ascii="Arial" w:cs="Arial" w:eastAsia="Arial" w:hAnsi="Arial"/>
          <w:sz w:val="18"/>
          <w:szCs w:val="18"/>
          <w:color w:val="auto"/>
        </w:rPr>
      </w:pPr>
    </w:p>
    <w:p>
      <w:pPr>
        <w:ind w:left="980" w:hanging="324"/>
        <w:spacing w:after="0" w:line="296"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three months ended November 30, 2021, 79.3% of NTIC’s consolidated net sales were derived from sales of ZERUST® products and services, which increased 41.1% to $14,423,785 compared to $10,220,551 for the three months ended November 30, 2020. This increase was due to incremental sales as a result of the Zerust India acquisition and increased sales to new and existing customers due to increased global demand.. NTIC’s consolidated net sales for the three months ended November 30, 2021 included $971,816 of sales made to customers in the oil and gas industry compared to $562,693 for the three months ended November 30, 2020.</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5" w:name="page26"/>
    <w:bookmarkEnd w:id="25"/>
    <w:p>
      <w:pPr>
        <w:ind w:left="324" w:right="180" w:hanging="324"/>
        <w:spacing w:after="0" w:line="263"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sales of Natur-Tec® products increased 47.3% during the three months ended November 30, 2021 compared to the three months ended November 30, 2020 primarily due to an increase in finished product sales in North America and at NTIC’s majority-owned subsidiary in India, Natur-Tec India Private Limited.</w:t>
      </w:r>
    </w:p>
    <w:p>
      <w:pPr>
        <w:spacing w:after="0" w:line="183" w:lineRule="exact"/>
        <w:rPr>
          <w:rFonts w:ascii="Arial" w:cs="Arial" w:eastAsia="Arial" w:hAnsi="Arial"/>
          <w:sz w:val="18"/>
          <w:szCs w:val="18"/>
          <w:color w:val="auto"/>
        </w:rPr>
      </w:pPr>
    </w:p>
    <w:p>
      <w:pPr>
        <w:ind w:left="324" w:right="100" w:hanging="324"/>
        <w:spacing w:after="0" w:line="263"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of goods sold as a percentage of net sales increased to 68.7% during the three months ended November 30, 2021, compared to 65.1% during the three months ended November 30, 2020 primarily as a result of price increases on raw materials used in NTIC’s products, as well as increased labor costs.</w:t>
      </w:r>
    </w:p>
    <w:p>
      <w:pPr>
        <w:spacing w:after="0" w:line="183" w:lineRule="exact"/>
        <w:rPr>
          <w:rFonts w:ascii="Arial" w:cs="Arial" w:eastAsia="Arial" w:hAnsi="Arial"/>
          <w:sz w:val="18"/>
          <w:szCs w:val="18"/>
          <w:color w:val="auto"/>
        </w:rPr>
      </w:pPr>
    </w:p>
    <w:p>
      <w:pPr>
        <w:ind w:left="324" w:right="20" w:hanging="324"/>
        <w:spacing w:after="0" w:line="259"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NTIC’s equity in income from joint ventures decreased 24.7% to $1,374,749 during the three months ended November 30, 2021 compared to $1,825,712 during the three months ended November 30, 2020. This decrease was primarily due to the fact that Zerust India is now a consolidated subsidiary within NTIC’s financial statements and to a lesser extent an increase in operating expenses and a decrease in gross margins at the joint ventures.</w:t>
      </w:r>
    </w:p>
    <w:p>
      <w:pPr>
        <w:spacing w:after="0" w:line="186" w:lineRule="exact"/>
        <w:rPr>
          <w:rFonts w:ascii="Arial" w:cs="Arial" w:eastAsia="Arial" w:hAnsi="Arial"/>
          <w:sz w:val="18"/>
          <w:szCs w:val="18"/>
          <w:color w:val="auto"/>
        </w:rPr>
      </w:pPr>
    </w:p>
    <w:p>
      <w:pPr>
        <w:ind w:left="324" w:right="40" w:hanging="324"/>
        <w:spacing w:after="0" w:line="279" w:lineRule="auto"/>
        <w:tabs>
          <w:tab w:leader="none" w:pos="3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sales at the joint ventures increased 0.9% to $27,022,995 during the three months ended November 30, 2021, compared to $26,777,343 for the three months ended November 30, 2020. The increase in the net sales of NTIC’s joint ventures was due primarily to increased sales to existing customers as a result of increased global demand for existing products, partially offset by a decrease in net sales at the joint ventures as a result of the Zerust India acquisition and its sales being included in NTIC’s net sales.</w:t>
      </w:r>
    </w:p>
    <w:p>
      <w:pPr>
        <w:spacing w:after="0" w:line="171" w:lineRule="exact"/>
        <w:rPr>
          <w:rFonts w:ascii="Arial" w:cs="Arial" w:eastAsia="Arial" w:hAnsi="Arial"/>
          <w:sz w:val="17"/>
          <w:szCs w:val="17"/>
          <w:color w:val="auto"/>
        </w:rPr>
      </w:pPr>
    </w:p>
    <w:p>
      <w:pPr>
        <w:ind w:left="324" w:hanging="324"/>
        <w:spacing w:after="0" w:line="263"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NTIC’s total operating expenses increased 19.6% to $7,069,926 during the three months ended November 30, 2021 compared to $5,911,487 for the three months ended November 30, 2020. This increase was primarily due to $558,337 in incremental expenses due to the Zerust India acquisition and increased personnel, travel and research and development expenses.</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Since NTIC acquired the remaining 50% ownership interest of Zerust India effective September 1, 2021, NTIC recognized a gain of</w:t>
      </w:r>
    </w:p>
    <w:p>
      <w:pPr>
        <w:spacing w:after="0" w:line="34" w:lineRule="exact"/>
        <w:rPr>
          <w:rFonts w:ascii="Arial" w:cs="Arial" w:eastAsia="Arial" w:hAnsi="Arial"/>
          <w:sz w:val="17"/>
          <w:szCs w:val="17"/>
          <w:color w:val="auto"/>
        </w:rPr>
      </w:pPr>
    </w:p>
    <w:p>
      <w:pPr>
        <w:ind w:left="324" w:right="160"/>
        <w:spacing w:after="0" w:line="260" w:lineRule="auto"/>
        <w:rPr>
          <w:rFonts w:ascii="Arial" w:cs="Arial" w:eastAsia="Arial" w:hAnsi="Arial"/>
          <w:sz w:val="17"/>
          <w:szCs w:val="17"/>
          <w:color w:val="auto"/>
        </w:rPr>
      </w:pPr>
      <w:r>
        <w:rPr>
          <w:rFonts w:ascii="Arial" w:cs="Arial" w:eastAsia="Arial" w:hAnsi="Arial"/>
          <w:sz w:val="18"/>
          <w:szCs w:val="18"/>
          <w:color w:val="auto"/>
        </w:rPr>
        <w:t>$3,951,550 during the three months ended November 30, 2021, which is included in “Remeasurement gain on acquisition of equity method investee” on NTIC’s consolidated statements of operations.</w:t>
      </w:r>
    </w:p>
    <w:p>
      <w:pPr>
        <w:spacing w:after="0" w:line="18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584" w:right="399" w:bottom="1440" w:gutter="0" w:footer="0" w:header="0"/>
        </w:sectPr>
      </w:pPr>
    </w:p>
    <w:bookmarkStart w:id="26" w:name="page27"/>
    <w:bookmarkEnd w:id="26"/>
    <w:p>
      <w:pPr>
        <w:ind w:left="980" w:right="10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NTIC incurred net income attributable to NTIC of $4,493,759, or $0.46 per diluted common share, for the three months ended November 30, 2021 compared to $1,262,399, or $0.13 per diluted common share, for the three months ended November 30, 2020. Of this increase, $3,951,550, was due to the gain from the Zerust India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November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20" w:type="dxa"/>
            <w:vAlign w:val="bottom"/>
          </w:tcPr>
          <w:p>
            <w:pPr>
              <w:spacing w:after="0"/>
              <w:rPr>
                <w:sz w:val="16"/>
                <w:szCs w:val="16"/>
                <w:color w:val="auto"/>
              </w:rPr>
            </w:pPr>
          </w:p>
        </w:tc>
        <w:tc>
          <w:tcPr>
            <w:tcW w:w="126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20" w:type="dxa"/>
            <w:vAlign w:val="bottom"/>
          </w:tcPr>
          <w:p>
            <w:pPr>
              <w:spacing w:after="0"/>
              <w:rPr>
                <w:sz w:val="16"/>
                <w:szCs w:val="16"/>
                <w:color w:val="auto"/>
              </w:rPr>
            </w:pPr>
          </w:p>
        </w:tc>
        <w:tc>
          <w:tcPr>
            <w:tcW w:w="126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 of</w:t>
            </w:r>
          </w:p>
        </w:tc>
        <w:tc>
          <w:tcPr>
            <w:tcW w:w="1320" w:type="dxa"/>
            <w:vAlign w:val="bottom"/>
            <w:gridSpan w:val="2"/>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  17,352,974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12,198,808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5,154,166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840,439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580,304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260,135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12,490,483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8,313,321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4,177,162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joint ventures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1,374,749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1,825,712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ventures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1,258,858</w:t>
            </w:r>
          </w:p>
        </w:tc>
        <w:tc>
          <w:tcPr>
            <w:tcW w:w="1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1,336,561</w:t>
            </w:r>
          </w:p>
        </w:tc>
        <w:tc>
          <w:tcPr>
            <w:tcW w:w="1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(77,703)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3,237,758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2,741,768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495,990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2,596,347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2,093,982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502,365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1,235,821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1,075,737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160,084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14.9%</w:t>
            </w:r>
          </w:p>
        </w:tc>
      </w:tr>
    </w:tbl>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42.4% to $18,193,413 during the three months ended November 30, 2021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2020. NTIC’s consolidated net sales to unaffiliated customers excluding NTIC’s joint ventures increased 42.3% to $17,352,974 during the three months ended November 30, 2021 compared to the same period in fiscal 2021. These increases were primarily a result of $2,452,812 in incremental sales as a result of the Zerust India acquisition and increased demand, partially offset by softened demand in certain regions and markets due to the COVID-19 pandemic. NTIC expects this softness in sales as a result of the pandemic to continue through at least the second quarter of fiscal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the three months ended November 30, 2021 and 2020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24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12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November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14,423,785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10,220,551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4,203,234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3,769,628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2,558,561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1,211,067</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1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18,193,413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12,779,112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5,414,301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November 30, 2021, 79.3% of NTIC’s consolidated net sales were derived from sales of ZERUST® products and services, which increased 41.1% to $14,423,785 during the three months ended November 30, 2021 compared to $10,220,551 during the three months ended November 30, 2020. This increase was primarily a result of incremental sales as a result of the Zerust India acquisition and increased demand in North America.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sets forth NTIC’s net sales of ZERUST® products for the three months ended November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2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November 30,</w:t>
            </w:r>
          </w:p>
        </w:tc>
        <w:tc>
          <w:tcPr>
            <w:tcW w:w="100" w:type="dxa"/>
            <w:vAlign w:val="bottom"/>
          </w:tcPr>
          <w:p>
            <w:pPr>
              <w:spacing w:after="0"/>
              <w:rPr>
                <w:sz w:val="16"/>
                <w:szCs w:val="16"/>
                <w:color w:val="auto"/>
              </w:rPr>
            </w:pPr>
          </w:p>
        </w:tc>
        <w:tc>
          <w:tcPr>
            <w:tcW w:w="12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November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12,611,530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9,077,554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3,533,976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840,439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580,304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260,135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971,816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562,693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409,123</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4"/>
        </w:trPr>
        <w:tc>
          <w:tcPr>
            <w:tcW w:w="5980" w:type="dxa"/>
            <w:vAlign w:val="bottom"/>
          </w:tcPr>
          <w:p>
            <w:pPr>
              <w:ind w:left="340"/>
              <w:spacing w:after="0"/>
              <w:rPr>
                <w:sz w:val="20"/>
                <w:szCs w:val="20"/>
                <w:color w:val="auto"/>
              </w:rPr>
            </w:pPr>
            <w:r>
              <w:rPr>
                <w:rFonts w:ascii="Arial" w:cs="Arial" w:eastAsia="Arial" w:hAnsi="Arial"/>
                <w:sz w:val="18"/>
                <w:szCs w:val="18"/>
                <w:color w:val="auto"/>
              </w:rPr>
              <w:t>Total ZERUST® net sales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14,423,785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10,220,551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4,203,234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41.1%</w:t>
            </w:r>
          </w:p>
        </w:tc>
      </w:tr>
    </w:tbl>
    <w:p>
      <w:pPr>
        <w:spacing w:after="0" w:line="18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NTIC’s total ZERUST® net sales increased during the three months ended November 30, 2021, compared to the prior fiscal year period, primarily due to overall increased demand for ZERUST® industrial products and services. Overall demand for ZERUST® products and services depends heavily on the overall health of the markets in which NTIC sells its products, including the automotive, oil and gas, agriculture, and mining markets in particular.</w:t>
      </w:r>
    </w:p>
    <w:p>
      <w:pPr>
        <w:spacing w:after="0" w:line="1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ZERUST® oil and gas net sales increased 72.7% during the three months ended November 30, 2021 compared to the same period last fiscal year primarily as a result of new opportunities with new customers compared to the prior fiscal year period.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three months ended November 30, 2021, 20.7% of NTIC’s consolidated net sales were derived from sales of Natur-Tec® products, compared to 20.0% during the three months ended November 30, 2020. Sales of Natur-Tec® products increased 47.3% to $3,769,628 during the three months ended November 30, 2021 compared to $2,558,561 during the three months ended November 30, 2020 as a result of increased global demand. The COVID-19 pandemic has adversely impacted demand for Natur-Tec® products from across the apparel industry, as well as many large users of bioplastics, including college campuses, stadiums, arenas, restaurants, and corporate office complexes. NTIC still expects these customers will be some of the last businesses to fully re-open, and accordingly, anticipates that the COVID-19 pandemic will continue to adversely affect sales of Natur-Tec® products during the remainder of fiscal 2022.</w:t>
      </w:r>
    </w:p>
    <w:p>
      <w:pPr>
        <w:spacing w:after="0" w:line="1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50.2% for the three months ended November 30, 2021 compared to the three months ended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primarily as a result of the increase in net sales, as described above. Cost of goods sold as a percentage of net sales increased to 68.7% for the three months ended November 30, 2021 compared to 65.1% for the three months ended November 30, 2020 primarily due to price increases on raw materials used in NTIC’s products, as well as increased labor costs. Although NTIC intends to take certain actions to address inflationary pressures, it expects these inflationary pressures to persist into at least the second quarter of fiscal 2022 and does not expect to realize benefits from its actions until the second half of fiscal 2022.</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Equity in Income from Joint Ventures. </w:t>
      </w:r>
      <w:r>
        <w:rPr>
          <w:rFonts w:ascii="Arial" w:cs="Arial" w:eastAsia="Arial" w:hAnsi="Arial"/>
          <w:sz w:val="18"/>
          <w:szCs w:val="18"/>
          <w:color w:val="auto"/>
        </w:rPr>
        <w:t>NTIC’s equity in income from joint ventures decreased 24.7% to $1,374,749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2021 compared to $1,825,712 during the three months ended November 30, 2020. This decrease was primarily due to the fact that Zerust India is now a consolidated subsidiary within NTIC’s financial statements and to a lesser extent an increase in operating expenses and a decrease in gross margins at the joint ventures. NTIC’s equity in income from joint ventures fluctuates based on net sales and profitability of the joint ventures during the respective periods. Of the total equity in income from joint ventures, NTIC had equity in income from joint ventures of $910,773 attributable to EXCOR during the three months ended November 30, 2021 compared to $1,010,537 during the three months ended November 30, 2020. NTIC had equity in income from all other joint ventures of $463,976 during the three months ended November 30, 2021, compared to $815,175 during the three months ended November 30,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right="20"/>
        <w:spacing w:after="0" w:line="289" w:lineRule="auto"/>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$1,258,858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2021 compared to $1,336,561 during the three months ended November 30, 2020, representing a decrease of $77,703, or 5.8%. Fee income for services provided to joint ventures is traditionally a function of the sales made by NTIC’s joint ventures; however, at various joint ventures, the fee income for services is a fixed amount that does not fluctuate with the increase in sales which was experienced by certain joint ventures during the three months ended November 30, 2021. Total net sales of NTIC’s joint ventures increased 0.9% to $27,022,995 during the three months ended November 30, 2021 compared to $26,777,343 for the three months ended November 30, 2020 due to increased global demand, partially offset by Zerust India previously being included in the net sales of NTIC’s joint ventures. Net sales of NTIC’s joint ventures are not included in NTIC’s product sales and are not included in NTIC’s consolidated financial statements. Of the total fee income for services provided to joint ventures, fees of $218,430 were attributable to EXCOR during the three months ended November 30, 2021 compared to $228,826 attributable to EXCOR during the three months ended November 30, 2020.</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18.1% for the three months ended November 30, 2021 compared to the same period in fiscal 2021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incremental expenses due to the Zerust India acquisition, as well as an increase in travel and personnel expenses compared to the expenses incurred during the three months ended November 30, 2020. Selling expenses as a percentage of net sales decreased to 17.8% for the three months ended November 30, 2021 from 21.5% during the three months ended November 30, 2020 primarily due to the fluctuations in net sales and selling expenses, as previously described.</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24.0% for the three months ended November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fiscal 2021 due primarily to incremental expenses due to the Zerust India acquisition, as well as increased travel and personnel expenses compared to the expenses incurred during the three months ended November 30, 2020. As a percentage of net sales, general and administrative expenses decreased to 14.3% for the three months ended November 30, 2021 from 16.4% for the three months ended November 30, 2020 primarily due to the increase in net sales, as previously described.</w:t>
      </w:r>
    </w:p>
    <w:p>
      <w:pPr>
        <w:spacing w:after="0" w:line="18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14.9% for the three months ended November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fiscal 2021 primarily due to incremental expenses due to the Zerust India acquisition, as well as increased personnel and development efforts.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$10,943 during the three months ended November 30, 2021 compared to $69,538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2020 due primarily to changes in the invested cash balances.</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NTIC’s interest expense increased to $2,891 during the three months ended November 30, 2021 compared to $2,368 during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November 30, 2020 due primarily to outstanding borrowings under the line of credit during the current fiscal year period.</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Remeasurement Gain on Acquisition of Equity Method Investee</w:t>
      </w:r>
      <w:r>
        <w:rPr>
          <w:rFonts w:ascii="Arial" w:cs="Arial" w:eastAsia="Arial" w:hAnsi="Arial"/>
          <w:sz w:val="18"/>
          <w:szCs w:val="18"/>
          <w:color w:val="auto"/>
        </w:rPr>
        <w:t>. Authoritative guidance on accounting for business combinations requires that an acquirer</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 its previously held equity interest in the acquisition at its acquisition date fair value and recognize the resulting gain or loss in earnings. As such, since NTIC acquired the remaining 50% ownership interest of Zerust India effective September 1, 2021, NTIC recognized a gain of $3,951,550 during the three months ended November 30, 2021. This gain is included in “Remeasurement gain on acquisition of equity method investee” on NTIC’s consolidated statements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ind w:right="4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NTIC had income before income tax expense of $5,226,213 for the three months ended November 30,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$1,783,747 for the three months ended November 30, 2020.</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$504,380 during the three months ended November 30, 2021 compared to $378,590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2020. Income tax expense was calculated based on management’s estimate of NTIC’s annual effective income tax rate.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$19,142,941 and $24,702,778 as of November 30, 2021 and August 31, 2021,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Net Income Attributable to NTIC</w:t>
      </w:r>
      <w:r>
        <w:rPr>
          <w:rFonts w:ascii="Arial" w:cs="Arial" w:eastAsia="Arial" w:hAnsi="Arial"/>
          <w:sz w:val="17"/>
          <w:szCs w:val="17"/>
          <w:color w:val="auto"/>
        </w:rPr>
        <w:t>. Net income attributable to NTIC increased $3,231,360 to $4,493,759, or $0.46 per diluted common share,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November 30, 2021 compared to $1,262,399, or $0.13 per diluted common share, for the three months ended November 30, 2020. This increase was primarily due to the remeasurement gain related to the acquisition of Zerust India of $3,951,550 during the three months ended November 30, 2021 included in “Remeasurement gain on acquisition of equity method investee” on NTIC’s consolidated statements of operations, as well as increased gross profit, partially offset by a decrease in joint venture operations and increased operating expenses during the three months ended November 30, 2021. NTIC anticipates that its earnings for the remainder of fiscal 2022 will continue to be somewhat adversely affected by the COVID-19 pandemic.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8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were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 of the U.S. dollar compared to the Euro and other foreign currencies during the three months ended November 30, 2021 compared to the same period in fiscal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defined as current assets less current liabilities, was $25,875,362 as of November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$8,047,565 in cash and cash equivalents and $4,634 in available for sale securities, compared to $25,230,893 as of August 31, 2021, including $7,680,641 in cash and cash equivalents and $4,634 in available for sale securities.</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November 30, 2021, NTIC has a revolving line of credit with PNC Bank of $5.0 million, which was increased from $3.0 million effective as of August 31, 2021. $2,500,000 was outstanding under the line of credit as of November 30, 2021. Outstanding advances under the line of credit bear interest at the daily BSBY rate plus 250 basis points (2.50%). The revolving line of credit matures on February 22, 2022. The line of credit is governed under an amended and restated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November 30, 2021, NTIC was in compliance with all debt covenants. As of November 30, 2021, NTIC did not have any letters of credit outstanding with respect to the letter of credit sub-facility available under the revolving line of credit with PNC Bank.</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ind w:right="160"/>
        <w:spacing w:after="0" w:line="301" w:lineRule="auto"/>
        <w:rPr>
          <w:sz w:val="20"/>
          <w:szCs w:val="20"/>
          <w:color w:val="auto"/>
        </w:rPr>
      </w:pPr>
      <w:r>
        <w:rPr>
          <w:rFonts w:ascii="Arial" w:cs="Arial" w:eastAsia="Arial" w:hAnsi="Arial"/>
          <w:sz w:val="16"/>
          <w:szCs w:val="16"/>
          <w:color w:val="auto"/>
        </w:rPr>
        <w:t>On January 4, 2022, NTIC and PNC Bank entered into an Amended and Restated Revolving Line of Credit Note, which extended the maturity date to January 7, 2023 and revised the rate at which amounts outstanding under the line of credit bear interest to equal a per annum rate equal to the daily Bloomberg Short-Term Bank Yield Index plus 250 basis points (2.50%). Additionally, beginning February 23, 2022 and through January 7, 2023, the line of credit will be decreased from $5.0 million to $3.0 million. The other material terms of the line of credit were not affected by this amendment.</w:t>
      </w:r>
    </w:p>
    <w:p>
      <w:pPr>
        <w:spacing w:after="0" w:line="15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2022, NTIC expects to continue to invest directly and through its use of working capital in Zerust India, NTIC China, Zerust Mexico,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6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provided by operating activities during the three months ended November 30, 2021 was $3,319,024,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principally from NTIC’s net income, dividends received from joint ventures, deferred income tax, depreciation expense, and stock-based compensation, partially offset by the remeasurement gain on acquisition of equity method investee and equity in income from joint ventures. Net cash provided by operating activities during the three months ended November 30, 2020 was $1,601,120, which resulted principally from NTIC’s net income, dividends received from joint ventures, depreciation expense, and stock-based compensation, partially offset by equity in income from joint ventures.</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1" w:name="page32"/>
    <w:bookmarkEnd w:id="31"/>
    <w:p>
      <w:pPr>
        <w:ind w:right="20"/>
        <w:spacing w:after="0" w:line="308" w:lineRule="auto"/>
        <w:rPr>
          <w:sz w:val="20"/>
          <w:szCs w:val="20"/>
          <w:color w:val="auto"/>
        </w:rPr>
      </w:pPr>
      <w:r>
        <w:rPr>
          <w:rFonts w:ascii="Arial" w:cs="Arial" w:eastAsia="Arial" w:hAnsi="Arial"/>
          <w:sz w:val="17"/>
          <w:szCs w:val="17"/>
          <w:color w:val="auto"/>
        </w:rPr>
        <w:t>NTIC experienced an increase in trade receivables and inventory as of November 30, 2021 compared to August 31, 2021. Trade receivables excluding joint ventures as of November 30, 2021 increased $1,978,321 compared to August 31, 2021, primarily related to an increase in sales.</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2021 remained comparable to an average of 69 days from balances outstanding from these customers as of August 31, 2021.</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Outstanding trade receivables from joint ventures as of November 30, 2021 increased $166,438 compared to August 31, 2021 primarily due to the timing of payments. Outstanding balances from trade receivables from joint ventures decreased an average of 1 day from an average of 87 days from balances outstanding from these customers compared to August 31, 2021. The average days outstanding of trade receivables from joint ventures as of November 30, 2021 were primarily due to the receivables balances at NTIC’s joint ventures in the United States, South Korea and Japan.</w:t>
      </w:r>
    </w:p>
    <w:p>
      <w:pPr>
        <w:spacing w:after="0" w:line="15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Outstanding receivables for services provided to joint ventures as of November 30, 2021 decreased $304,258 compared to August 31, 2021 and the average days to pay decreased an average of 1 day from an average of 88 days to an average of 87 days, compared to August 31, 2021.</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for the three months ended November 30, 2021 was $5,429,590, which was primarily the result of the purchase of the remaining 50% ownership interest in Zerust India, purchases of property and equipment, and investments in patents. Net cash used in investing activities for the three months ended November 30, 2020 was $1,177,869, which was primarily the result of the purchase of available for sale securities, purchases of property and equipment, and investments in patents.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financing activities for the three months ended November 30, 2021 was $1,834,611, which resulted from borrowings under the line of credit and proceeds from NTIC’s employee stock purchase plan and the exercise of stock options, partially offset by dividends paid to shareholders and dividends received by non-controlling interests. Net cash provided by financing activities for the three months ended November 30, 2020 was $36,192, which resulted from proceeds from NTIC’s employee stock purchase plan.</w:t>
      </w:r>
    </w:p>
    <w:p>
      <w:pPr>
        <w:spacing w:after="0" w:line="18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Share Repurchase Plan</w:t>
      </w:r>
      <w:r>
        <w:rPr>
          <w:rFonts w:ascii="Arial" w:cs="Arial" w:eastAsia="Arial" w:hAnsi="Arial"/>
          <w:sz w:val="16"/>
          <w:szCs w:val="16"/>
          <w:color w:val="auto"/>
        </w:rPr>
        <w:t>. On January 15, 2015, NTIC’s Board of Directors authorized the repurchase of up to $3,000,000 in shares of NTIC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open market purchases or unsolicited or solicited privately negotiated transactions. This program has no expiration date but may be terminated by NTIC’s Board of Directors at any time. No repurchases occurred during the three months ended November 30, 2021. As of November 30, 2021, up to $2,640,548 in shares of NTIC common stock remained available for repurchase under NTIC’s stock repurchase program.</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Cash Dividends</w:t>
      </w:r>
      <w:r>
        <w:rPr>
          <w:rFonts w:ascii="Arial" w:cs="Arial" w:eastAsia="Arial" w:hAnsi="Arial"/>
          <w:sz w:val="17"/>
          <w:szCs w:val="17"/>
          <w:color w:val="auto"/>
        </w:rPr>
        <w:t>. On April 23, 2020, the Company announced the temporary suspension of its quarterly cash dividend pending clarity on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COVID-19 on the Company. Therefore, the Company did not declare a cash dividend during the three months ended November 30, 2020. However, on January 15, 2021, the Company announced the reinstatement of its quarterly cash dividend. On October 20, 2021, the Company’s Board of Directors declared a cash dividend of $0.07 per share of NTIC’s common stock on, payable on November 17, 2021 to stockholders of record on November 3, 2021.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ind w:right="40"/>
        <w:spacing w:after="0" w:line="286" w:lineRule="auto"/>
        <w:rPr>
          <w:sz w:val="20"/>
          <w:szCs w:val="20"/>
          <w:color w:val="auto"/>
        </w:rPr>
      </w:pPr>
      <w:r>
        <w:rPr>
          <w:rFonts w:ascii="Arial" w:cs="Arial" w:eastAsia="Arial" w:hAnsi="Arial"/>
          <w:sz w:val="17"/>
          <w:szCs w:val="17"/>
          <w:i w:val="1"/>
          <w:iCs w:val="1"/>
          <w:color w:val="auto"/>
        </w:rPr>
        <w:t>Capital Expenditures and Commitments</w:t>
      </w:r>
      <w:r>
        <w:rPr>
          <w:rFonts w:ascii="Arial" w:cs="Arial" w:eastAsia="Arial" w:hAnsi="Arial"/>
          <w:sz w:val="17"/>
          <w:szCs w:val="17"/>
          <w:color w:val="auto"/>
        </w:rPr>
        <w:t>. NTIC spent $315,390 on capital expenditures during the three months ended November 30, 2021, which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the purchase of new equipment and facility improvements. NTIC expects to spend an aggregate of approximately $2,200,000 to $2,500,000 on capital expenditures during fiscal 2022, which it expects will relate primarily to anticipated renovation and equipment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has been no material change to NTIC’s contractual obligations as provided in “</w:t>
      </w:r>
      <w:r>
        <w:rPr>
          <w:rFonts w:ascii="Arial" w:cs="Arial" w:eastAsia="Arial" w:hAnsi="Arial"/>
          <w:sz w:val="18"/>
          <w:szCs w:val="18"/>
          <w:i w:val="1"/>
          <w:iCs w:val="1"/>
          <w:color w:val="auto"/>
        </w:rPr>
        <w:t>Part II. Item 7,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Contractual Obligations</w:t>
      </w:r>
      <w:r>
        <w:rPr>
          <w:rFonts w:ascii="Arial" w:cs="Arial" w:eastAsia="Arial" w:hAnsi="Arial"/>
          <w:sz w:val="18"/>
          <w:szCs w:val="18"/>
          <w:color w:val="auto"/>
        </w:rPr>
        <w:t>,” included in NTIC’s annual report on Form 10-K for the fiscal year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Although inflation in the United States and abroad historically has had little effect on NTIC, inflationary pressures adversely affected NTIC’s gross margins during the first quarter of fiscal 2022 and are expected to persist into at least the second quarter of fiscal 2022. Although NTIC’s business historically has not been seasonal, NTIC believes there is some seasonality in its business. NTIC anticipates its net sales in the second fiscal quarter may be adversely affected by the long Chinese New Year, the North American holiday season and overall less corrosion taking place at lower winter temperatures worldwide.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200"/>
        <w:spacing w:after="0" w:line="277" w:lineRule="auto"/>
        <w:rPr>
          <w:sz w:val="20"/>
          <w:szCs w:val="20"/>
          <w:color w:val="auto"/>
        </w:rPr>
      </w:pPr>
      <w:r>
        <w:rPr>
          <w:rFonts w:ascii="Arial" w:cs="Arial" w:eastAsia="Arial" w:hAnsi="Arial"/>
          <w:sz w:val="18"/>
          <w:szCs w:val="18"/>
          <w:color w:val="auto"/>
        </w:rPr>
        <w:t>Any outstanding advances under NTIC’s revolving line of credit with PNC Bank bear interest at an annual rate based on daily LIBOR plus 2.50%. As of November 30, 2021, NTIC had borrowings of $2,500,000 under the line of credit that existed as of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NTIC’s critical accounting policies and estimates from the information provided in “</w:t>
      </w:r>
      <w:r>
        <w:rPr>
          <w:rFonts w:ascii="Arial" w:cs="Arial" w:eastAsia="Arial" w:hAnsi="Arial"/>
          <w:sz w:val="16"/>
          <w:szCs w:val="16"/>
          <w:i w:val="1"/>
          <w:iCs w:val="1"/>
          <w:color w:val="auto"/>
        </w:rPr>
        <w:t>Part II. Item 7, Management</w:t>
      </w:r>
      <w:r>
        <w:rPr>
          <w:rFonts w:ascii="Arial" w:cs="Arial" w:eastAsia="Arial" w:hAnsi="Arial"/>
          <w:sz w:val="16"/>
          <w:szCs w:val="16"/>
          <w:color w:val="auto"/>
        </w:rPr>
        <w:t>’</w:t>
      </w:r>
      <w:r>
        <w:rPr>
          <w:rFonts w:ascii="Arial" w:cs="Arial" w:eastAsia="Arial" w:hAnsi="Arial"/>
          <w:sz w:val="16"/>
          <w:szCs w:val="16"/>
          <w:i w:val="1"/>
          <w:iCs w:val="1"/>
          <w:color w:val="auto"/>
        </w:rPr>
        <w: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Critical Accounting Policies</w:t>
      </w:r>
      <w:r>
        <w:rPr>
          <w:rFonts w:ascii="Arial" w:cs="Arial" w:eastAsia="Arial" w:hAnsi="Arial"/>
          <w:sz w:val="16"/>
          <w:szCs w:val="16"/>
          <w:color w:val="auto"/>
        </w:rPr>
        <w:t>,” included in NTIC’s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fiscal year ended August 31, 2021, other than the new critical accounting policy below in light of NTIC’s Zerust India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When applicable, NTIC accounts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Assigning estimated fair values to the net assets acquired requires the use of significant estimates, judgments, inputs, and assumptions regarding the fair value of intangible assets that are separately identifiable from goodwill, inventory, and property, plant, and equipment. While the ultimate responsibility for determining estimated fair values of the acquired net assets resides with management, for material acquisitions NTIC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NTIC expects to generate subsequent to the acquisition; applying an appropriate discount rate to estimate the present value of those projected cash flows NTIC expects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determining the estimated fair value of intangible assets that are separately identifiable from goodwill, NTIC typically utilizes the income approach, which discounts the projected future cash flows using a discount rate that appropriately reflects the risks associated with the projected cash flows. Generally, NTIC estimates the fair value of acquired customer relationships using the relief from royalty method under the income approach, which is based on the hypothetical royalty stream that would be received if NTIC were to license the acquired trade name. For most other acquired intangible assets, NTIC estimates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NTIC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NTIC typically utilizes the cost approach for raw materials and the sales comparison approach for work in process, finished goods, and service parts. In determining the estimated fair value of acquired property, plant, and equipment, NTIC typically utilizes the sales comparison approach or the cost approach depending on the nature of the respective asset and the recency of the construction or procurement of such asset.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4" w:name="page35"/>
    <w:bookmarkEnd w:id="34"/>
    <w:p>
      <w:pPr>
        <w:ind w:right="20"/>
        <w:spacing w:after="0" w:line="270" w:lineRule="auto"/>
        <w:rPr>
          <w:sz w:val="20"/>
          <w:szCs w:val="20"/>
          <w:color w:val="auto"/>
        </w:rPr>
      </w:pPr>
      <w:r>
        <w:rPr>
          <w:rFonts w:ascii="Arial" w:cs="Arial" w:eastAsia="Arial" w:hAnsi="Arial"/>
          <w:sz w:val="17"/>
          <w:szCs w:val="17"/>
          <w:color w:val="auto"/>
        </w:rPr>
        <w:t>NTIC may refine the estimated fair values of assets acquired and liabilities assumed, if necessary, over a period not to exceed one year from the date of acquisition by taking into consideration new information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selling expenses or general and administrative expenses within NTIC’s consolidated statements of operations depending on the nature of the adjustment.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recent acquisition of Zerust India on NTIC’s business, operating results and financial condition,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of Operations</w:t>
      </w:r>
      <w:r>
        <w:rPr>
          <w:rFonts w:ascii="Arial" w:cs="Arial" w:eastAsia="Arial" w:hAnsi="Arial"/>
          <w:sz w:val="17"/>
          <w:szCs w:val="17"/>
          <w:color w:val="auto"/>
        </w:rPr>
        <w: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1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COVID-19 on NTIC’s business, operating results and financial condition, including disruption to our customers, suppliers and subcontractors, as well as the global economy and financial markets;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worldwide disruption in supply issues on NTIC’s business, operating results and financial condition, which will likely continue throughout fiscal year 2022, regardless of the status of the COVID-19 pandemic;</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0" w:lineRule="exact"/>
        <w:rPr>
          <w:rFonts w:ascii="Arial" w:cs="Arial" w:eastAsia="Arial" w:hAnsi="Arial"/>
          <w:sz w:val="18"/>
          <w:szCs w:val="18"/>
          <w:color w:val="auto"/>
        </w:rPr>
      </w:pPr>
    </w:p>
    <w:p>
      <w:pPr>
        <w:ind w:left="980" w:right="24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83"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taxes, and tariffs;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NTIC’s recent acquisition of the remaining 50% ownership interest in its Indian joint venture, Zerust India;</w:t>
      </w:r>
    </w:p>
    <w:p>
      <w:pPr>
        <w:spacing w:after="0" w:line="225" w:lineRule="exact"/>
        <w:rPr>
          <w:rFonts w:ascii="Arial" w:cs="Arial" w:eastAsia="Arial" w:hAnsi="Arial"/>
          <w:sz w:val="18"/>
          <w:szCs w:val="18"/>
          <w:color w:val="auto"/>
        </w:rPr>
      </w:pPr>
    </w:p>
    <w:p>
      <w:pPr>
        <w:ind w:left="980" w:right="560" w:hanging="324"/>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23" w:lineRule="exact"/>
        <w:rPr>
          <w:rFonts w:ascii="Arial" w:cs="Arial" w:eastAsia="Arial" w:hAnsi="Arial"/>
          <w:sz w:val="16"/>
          <w:szCs w:val="16"/>
          <w:color w:val="auto"/>
        </w:rPr>
      </w:pPr>
    </w:p>
    <w:p>
      <w:pPr>
        <w:ind w:left="980" w:right="3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 including supply chain disruptions and weather related impacts;</w:t>
      </w:r>
    </w:p>
    <w:p>
      <w:pPr>
        <w:spacing w:after="0" w:line="170"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 products and services and NTIC’s ability to grow market share and succeed in penetrating other existing and new markets;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36" w:name="page37"/>
    <w:bookmarkEnd w:id="36"/>
    <w:p>
      <w:pPr>
        <w:ind w:left="980" w:right="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 products and services, and the effect of such competition on NTIC’s and its joint ventures’ pricing, net sales, and margins;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Oil prices, which may affect sales of NTIC’s ZERUST® products and services to the oil and gas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NTIC’s operations in China, and the risks associated therewith;</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NTIC’s effective tax 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2021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outstanding advances under NTIC’s revolving line of credit with PNC Bank bear interest at an annual rate based on daily LIBOR plus 2.50%. As of November 30, 2021, NTIC had borrowings of $2,500,000 under the line of credit that existed as of that date.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2021 that has materially affected or is reasonably likely to materially affect NTIC’s internal control over financial reporting, other than changes implemented to begin integrating Zerust India’s internal controls with NTIC’s internal controls.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to NTIC’s consolidated financial statements in </w:t>
      </w:r>
      <w:r>
        <w:rPr>
          <w:rFonts w:ascii="Arial" w:cs="Arial" w:eastAsia="Arial" w:hAnsi="Arial"/>
          <w:sz w:val="18"/>
          <w:szCs w:val="18"/>
          <w:i w:val="1"/>
          <w:iCs w:val="1"/>
          <w:color w:val="auto"/>
        </w:rPr>
        <w:t>Part I. Item 1. Financial Statements</w:t>
      </w:r>
      <w:r>
        <w:rPr>
          <w:rFonts w:ascii="Arial" w:cs="Arial" w:eastAsia="Arial" w:hAnsi="Arial"/>
          <w:sz w:val="18"/>
          <w:szCs w:val="18"/>
          <w:color w:val="auto"/>
        </w:rPr>
        <w:t xml:space="preserve"> of this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November 30, 2021,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first quarter of fiscal 2022 stock repurchase activity.</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180" w:type="dxa"/>
            <w:vAlign w:val="bottom"/>
            <w:tcBorders>
              <w:top w:val="single" w:sz="8" w:color="auto"/>
              <w:left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(or Units)</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Units)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56"/>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(or Unit)</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178"/>
        </w:trPr>
        <w:tc>
          <w:tcPr>
            <w:tcW w:w="3180" w:type="dxa"/>
            <w:vAlign w:val="bottom"/>
            <w:tcBorders>
              <w:top w:val="single" w:sz="8" w:color="CCEEFF"/>
              <w:left w:val="single" w:sz="8" w:color="auto"/>
              <w:right w:val="single" w:sz="8" w:color="auto"/>
            </w:tcBorders>
            <w:shd w:val="clear" w:color="auto" w:fill="CCEEFF"/>
          </w:tcPr>
          <w:p>
            <w:pPr>
              <w:ind w:left="20"/>
              <w:spacing w:after="0" w:line="178" w:lineRule="exact"/>
              <w:rPr>
                <w:sz w:val="20"/>
                <w:szCs w:val="20"/>
                <w:color w:val="auto"/>
              </w:rPr>
            </w:pPr>
            <w:r>
              <w:rPr>
                <w:rFonts w:ascii="Arial" w:cs="Arial" w:eastAsia="Arial" w:hAnsi="Arial"/>
                <w:sz w:val="18"/>
                <w:szCs w:val="18"/>
                <w:color w:val="auto"/>
                <w:w w:val="91"/>
              </w:rPr>
              <w:t>September 1, 2021 through September 30,</w:t>
            </w:r>
          </w:p>
        </w:tc>
        <w:tc>
          <w:tcPr>
            <w:tcW w:w="2020" w:type="dxa"/>
            <w:vAlign w:val="bottom"/>
            <w:tcBorders>
              <w:top w:val="single" w:sz="8" w:color="CCEEFF"/>
              <w:right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w w:val="99"/>
              </w:rPr>
              <w:t>0</w:t>
            </w:r>
          </w:p>
        </w:tc>
        <w:tc>
          <w:tcPr>
            <w:tcW w:w="2020" w:type="dxa"/>
            <w:vAlign w:val="bottom"/>
            <w:tcBorders>
              <w:top w:val="single" w:sz="8" w:color="CCEEFF"/>
              <w:right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w w:val="89"/>
              </w:rPr>
              <w:t>$0</w:t>
            </w:r>
          </w:p>
        </w:tc>
        <w:tc>
          <w:tcPr>
            <w:tcW w:w="2020" w:type="dxa"/>
            <w:vAlign w:val="bottom"/>
            <w:tcBorders>
              <w:top w:val="single" w:sz="8" w:color="CCEEFF"/>
              <w:right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w w:val="79"/>
              </w:rPr>
              <w:t>0</w:t>
            </w:r>
          </w:p>
        </w:tc>
        <w:tc>
          <w:tcPr>
            <w:tcW w:w="2000" w:type="dxa"/>
            <w:vAlign w:val="bottom"/>
            <w:tcBorders>
              <w:top w:val="single" w:sz="8" w:color="auto"/>
              <w:right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w w:val="99"/>
              </w:rPr>
              <w:t>(1)</w:t>
            </w:r>
          </w:p>
        </w:tc>
      </w:tr>
      <w:tr>
        <w:trPr>
          <w:trHeight w:val="230"/>
        </w:trPr>
        <w:tc>
          <w:tcPr>
            <w:tcW w:w="3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20" w:type="dxa"/>
            <w:vAlign w:val="bottom"/>
            <w:tcBorders>
              <w:bottom w:val="single" w:sz="8" w:color="auto"/>
              <w:right w:val="single" w:sz="8" w:color="auto"/>
            </w:tcBorders>
            <w:shd w:val="clear" w:color="auto" w:fill="CCEEFF"/>
          </w:tcPr>
          <w:p>
            <w:pPr>
              <w:spacing w:after="0"/>
              <w:rPr>
                <w:sz w:val="20"/>
                <w:szCs w:val="20"/>
                <w:color w:val="auto"/>
              </w:rPr>
            </w:pPr>
          </w:p>
        </w:tc>
        <w:tc>
          <w:tcPr>
            <w:tcW w:w="2020" w:type="dxa"/>
            <w:vAlign w:val="bottom"/>
            <w:tcBorders>
              <w:bottom w:val="single" w:sz="8" w:color="auto"/>
              <w:right w:val="single" w:sz="8" w:color="auto"/>
            </w:tcBorders>
            <w:shd w:val="clear" w:color="auto" w:fill="CCEEFF"/>
          </w:tcPr>
          <w:p>
            <w:pPr>
              <w:spacing w:after="0"/>
              <w:rPr>
                <w:sz w:val="20"/>
                <w:szCs w:val="20"/>
                <w:color w:val="auto"/>
              </w:rPr>
            </w:pPr>
          </w:p>
        </w:tc>
        <w:tc>
          <w:tcPr>
            <w:tcW w:w="2020" w:type="dxa"/>
            <w:vAlign w:val="bottom"/>
            <w:tcBorders>
              <w:bottom w:val="single" w:sz="8" w:color="auto"/>
              <w:right w:val="single" w:sz="8" w:color="auto"/>
            </w:tcBorders>
            <w:shd w:val="clear" w:color="auto" w:fill="CCEEFF"/>
          </w:tcPr>
          <w:p>
            <w:pPr>
              <w:spacing w:after="0"/>
              <w:rPr>
                <w:sz w:val="20"/>
                <w:szCs w:val="20"/>
                <w:color w:val="auto"/>
              </w:rPr>
            </w:pPr>
          </w:p>
        </w:tc>
        <w:tc>
          <w:tcPr>
            <w:tcW w:w="20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October 1, 2021 through October 31, 2021</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195"/>
        </w:trPr>
        <w:tc>
          <w:tcPr>
            <w:tcW w:w="318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3"/>
              </w:rPr>
              <w:t>November 1, 2021 through November 30,</w:t>
            </w:r>
          </w:p>
        </w:tc>
        <w:tc>
          <w:tcPr>
            <w:tcW w:w="20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20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$0</w:t>
            </w:r>
          </w:p>
        </w:tc>
        <w:tc>
          <w:tcPr>
            <w:tcW w:w="20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0</w:t>
            </w:r>
          </w:p>
        </w:tc>
        <w:tc>
          <w:tcPr>
            <w:tcW w:w="20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w:t>
            </w:r>
          </w:p>
        </w:tc>
      </w:tr>
      <w:tr>
        <w:trPr>
          <w:trHeight w:val="230"/>
        </w:trPr>
        <w:tc>
          <w:tcPr>
            <w:tcW w:w="3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20" w:type="dxa"/>
            <w:vAlign w:val="bottom"/>
            <w:tcBorders>
              <w:bottom w:val="single" w:sz="8" w:color="auto"/>
              <w:right w:val="single" w:sz="8" w:color="auto"/>
            </w:tcBorders>
            <w:shd w:val="clear" w:color="auto" w:fill="CCEEFF"/>
          </w:tcPr>
          <w:p>
            <w:pPr>
              <w:spacing w:after="0"/>
              <w:rPr>
                <w:sz w:val="20"/>
                <w:szCs w:val="20"/>
                <w:color w:val="auto"/>
              </w:rPr>
            </w:pPr>
          </w:p>
        </w:tc>
        <w:tc>
          <w:tcPr>
            <w:tcW w:w="2020" w:type="dxa"/>
            <w:vAlign w:val="bottom"/>
            <w:tcBorders>
              <w:bottom w:val="single" w:sz="8" w:color="auto"/>
              <w:right w:val="single" w:sz="8" w:color="auto"/>
            </w:tcBorders>
            <w:shd w:val="clear" w:color="auto" w:fill="CCEEFF"/>
          </w:tcPr>
          <w:p>
            <w:pPr>
              <w:spacing w:after="0"/>
              <w:rPr>
                <w:sz w:val="20"/>
                <w:szCs w:val="20"/>
                <w:color w:val="auto"/>
              </w:rPr>
            </w:pPr>
          </w:p>
        </w:tc>
        <w:tc>
          <w:tcPr>
            <w:tcW w:w="2020" w:type="dxa"/>
            <w:vAlign w:val="bottom"/>
            <w:tcBorders>
              <w:bottom w:val="single" w:sz="8" w:color="auto"/>
              <w:right w:val="single" w:sz="8" w:color="auto"/>
            </w:tcBorders>
            <w:shd w:val="clear" w:color="auto" w:fill="CCEEFF"/>
          </w:tcPr>
          <w:p>
            <w:pPr>
              <w:spacing w:after="0"/>
              <w:rPr>
                <w:sz w:val="20"/>
                <w:szCs w:val="20"/>
                <w:color w:val="auto"/>
              </w:rPr>
            </w:pPr>
          </w:p>
        </w:tc>
        <w:tc>
          <w:tcPr>
            <w:tcW w:w="20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660" w:right="28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3"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November 30, 2021, up to $2,640,548 in shares of NTIC common stock remained available for repurchase under NTIC’s stock repurchase program.</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Subsequent to the Company’s issuance of its first quarter fiscal 2022 earnings release on January 6, 2022, the Company revised its preliminary purchase price allocation that includes the fair values of the separately identifiable assets acquired and liabilities assumed as of September 1, 2021 related to the Company’s acquisition of the remaining 50% ownership interest in its Indian joint venture, Harita-NTI Limited (Zerust India), for $6.25 million in cash. The result is a $913,000 increase in goodwill, a $774,000 increase in deferred tax liability and a $139,000 decrease in Intangible assets on the Company’s consolidated balance sheet as of November 30, 2021 as included in this Quarterly Report on Form 10-Q as compared to the respective amounts reflected on the consolidated balance sheet as of November 30, 2021 included in the Company’s first quarter fiscal 2022 earnings release.</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Exhibit No.  Description</w:t>
      </w:r>
    </w:p>
    <w:p>
      <w:pPr>
        <w:spacing w:after="0" w:line="27" w:lineRule="exact"/>
        <w:rPr>
          <w:sz w:val="20"/>
          <w:szCs w:val="20"/>
          <w:color w:val="auto"/>
        </w:rPr>
      </w:pPr>
    </w:p>
    <w:p>
      <w:pPr>
        <w:ind w:left="1140" w:right="40" w:hanging="723"/>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48">
        <w:r>
          <w:rPr>
            <w:rFonts w:ascii="Arial" w:cs="Arial" w:eastAsia="Arial" w:hAnsi="Arial"/>
            <w:sz w:val="18"/>
            <w:szCs w:val="18"/>
            <w:u w:val="single" w:color="auto"/>
            <w:color w:val="0000EE"/>
          </w:rPr>
          <w:t>Amended and Restated Loan Agreement dated as of August 31, 2021 by and between Northern Technologies International Corporation and</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PNC Bank, National Association (incorporated by reference to Exhibit 10.1 to NTIC’s Current Report on Form 8-K as filed with the</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Securities and Exchange Commission on September 22, 2021 (File No. 001-11038))</w:t>
        </w:r>
      </w:hyperlink>
    </w:p>
    <w:p>
      <w:pPr>
        <w:spacing w:after="0" w:line="1" w:lineRule="exact"/>
        <w:rPr>
          <w:rFonts w:ascii="Arial" w:cs="Arial" w:eastAsia="Arial" w:hAnsi="Arial"/>
          <w:sz w:val="18"/>
          <w:szCs w:val="18"/>
          <w:u w:val="single" w:color="auto"/>
          <w:color w:val="0000EE"/>
        </w:rPr>
      </w:pPr>
    </w:p>
    <w:p>
      <w:pPr>
        <w:ind w:left="1140" w:right="80" w:hanging="723"/>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49">
        <w:r>
          <w:rPr>
            <w:rFonts w:ascii="Arial" w:cs="Arial" w:eastAsia="Arial" w:hAnsi="Arial"/>
            <w:sz w:val="18"/>
            <w:szCs w:val="18"/>
            <w:u w:val="single" w:color="auto"/>
            <w:color w:val="0000EE"/>
          </w:rPr>
          <w:t>Amended and Restated Revolving Line of Credit Note dated as of August 31, 2021 issued by Northern Technologies International</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Corporation to PNC Bank, National Association (incorporated by reference to Exhibit 10.2 to NTIC’s Current Report on Form 8-K as filed</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with the Securities and Exchange Commission on September 22, 2021 (File No. 001-11038))</w:t>
        </w:r>
      </w:hyperlink>
    </w:p>
    <w:p>
      <w:pPr>
        <w:spacing w:after="0" w:line="1" w:lineRule="exact"/>
        <w:rPr>
          <w:rFonts w:ascii="Arial" w:cs="Arial" w:eastAsia="Arial" w:hAnsi="Arial"/>
          <w:sz w:val="18"/>
          <w:szCs w:val="18"/>
          <w:u w:val="single" w:color="auto"/>
          <w:color w:val="0000EE"/>
        </w:rPr>
      </w:pPr>
    </w:p>
    <w:p>
      <w:pPr>
        <w:ind w:left="1140" w:right="20" w:hanging="723"/>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42">
        <w:r>
          <w:rPr>
            <w:rFonts w:ascii="Arial" w:cs="Arial" w:eastAsia="Arial" w:hAnsi="Arial"/>
            <w:sz w:val="18"/>
            <w:szCs w:val="18"/>
            <w:u w:val="single" w:color="auto"/>
            <w:color w:val="0000EE"/>
          </w:rPr>
          <w:t>Certification of President and Chief Executive Officer pursuant to SEC Rule 13a-14(a), as adopted pursuant to Section 302 of the Sarbanes-</w:t>
        </w:r>
      </w:hyperlink>
      <w:hyperlink w:anchor="page42">
        <w:r>
          <w:rPr>
            <w:rFonts w:ascii="Arial" w:cs="Arial" w:eastAsia="Arial" w:hAnsi="Arial"/>
            <w:sz w:val="18"/>
            <w:szCs w:val="18"/>
            <w:u w:val="single" w:color="auto"/>
            <w:color w:val="0000EE"/>
          </w:rPr>
          <w:t>Oxley Act of 2002 (filed herewith)</w:t>
        </w:r>
      </w:hyperlink>
    </w:p>
    <w:p>
      <w:pPr>
        <w:spacing w:after="0" w:line="1" w:lineRule="exact"/>
        <w:rPr>
          <w:sz w:val="20"/>
          <w:szCs w:val="20"/>
          <w:color w:val="auto"/>
        </w:rPr>
      </w:pPr>
    </w:p>
    <w:p>
      <w:pPr>
        <w:ind w:left="4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43">
        <w:r>
          <w:rPr>
            <w:rFonts w:ascii="Arial" w:cs="Arial" w:eastAsia="Arial" w:hAnsi="Arial"/>
            <w:sz w:val="16"/>
            <w:szCs w:val="16"/>
            <w:u w:val="single" w:color="auto"/>
            <w:color w:val="0000EE"/>
          </w:rPr>
          <w:t>Certification of Chief Financial Officer pursuant to SEC Rule 13a-14(a), as adopted pursuant to Section 302 of the Sarbanes-Oxley Act of</w:t>
        </w:r>
      </w:hyperlink>
    </w:p>
    <w:p>
      <w:pPr>
        <w:spacing w:after="0" w:line="9" w:lineRule="exact"/>
        <w:rPr>
          <w:sz w:val="20"/>
          <w:szCs w:val="20"/>
          <w:color w:val="auto"/>
        </w:rPr>
      </w:pPr>
    </w:p>
    <w:p>
      <w:pPr>
        <w:ind w:left="1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2002 (filed herewith)</w:t>
        </w:r>
      </w:hyperlink>
    </w:p>
    <w:p>
      <w:pPr>
        <w:spacing w:after="0" w:line="9" w:lineRule="exact"/>
        <w:rPr>
          <w:sz w:val="20"/>
          <w:szCs w:val="20"/>
          <w:color w:val="auto"/>
        </w:rPr>
      </w:pPr>
    </w:p>
    <w:p>
      <w:pPr>
        <w:ind w:left="1140" w:right="520" w:hanging="723"/>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44">
        <w:r>
          <w:rPr>
            <w:rFonts w:ascii="Arial" w:cs="Arial" w:eastAsia="Arial" w:hAnsi="Arial"/>
            <w:sz w:val="18"/>
            <w:szCs w:val="18"/>
            <w:u w:val="single" w:color="auto"/>
            <w:color w:val="0000EE"/>
          </w:rPr>
          <w:t>Certification of President and 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Sarbanes-Oxley Act of 2002 (furnished herewith)</w:t>
        </w:r>
      </w:hyperlink>
    </w:p>
    <w:p>
      <w:pPr>
        <w:spacing w:after="0" w:line="1" w:lineRule="exact"/>
        <w:rPr>
          <w:sz w:val="20"/>
          <w:szCs w:val="20"/>
          <w:color w:val="auto"/>
        </w:rPr>
      </w:pPr>
    </w:p>
    <w:p>
      <w:pPr>
        <w:ind w:left="1140" w:right="100" w:hanging="723"/>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45">
        <w:r>
          <w:rPr>
            <w:rFonts w:ascii="Arial" w:cs="Arial" w:eastAsia="Arial" w:hAnsi="Arial"/>
            <w:sz w:val="18"/>
            <w:szCs w:val="18"/>
            <w:u w:val="single" w:color="auto"/>
            <w:color w:val="0000EE"/>
          </w:rPr>
          <w:t>Certification of Chief Financial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45">
        <w:r>
          <w:rPr>
            <w:rFonts w:ascii="Arial" w:cs="Arial" w:eastAsia="Arial" w:hAnsi="Arial"/>
            <w:sz w:val="18"/>
            <w:szCs w:val="18"/>
            <w:u w:val="single" w:color="auto"/>
            <w:color w:val="0000EE"/>
          </w:rPr>
          <w:t>of 2002 (furnished herewith)</w:t>
        </w:r>
      </w:hyperlink>
    </w:p>
    <w:p>
      <w:pPr>
        <w:spacing w:after="0" w:line="1" w:lineRule="exact"/>
        <w:rPr>
          <w:sz w:val="20"/>
          <w:szCs w:val="20"/>
          <w:color w:val="auto"/>
        </w:rPr>
      </w:pPr>
    </w:p>
    <w:p>
      <w:pPr>
        <w:ind w:left="1140" w:right="120" w:hanging="700"/>
        <w:spacing w:after="0" w:line="281"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materials from NTIC’s Quarterly Report on Form 10-Q for the fiscal quarter ended November 30, 2021, formatted in Inline XBRL (Extensible Business Reporting Language): (i) the unaudited Consolidated Balance Sheets, (ii) the unaudited Consolidated</w:t>
      </w:r>
    </w:p>
    <w:p>
      <w:pPr>
        <w:spacing w:after="0" w:line="1" w:lineRule="exact"/>
        <w:rPr>
          <w:sz w:val="20"/>
          <w:szCs w:val="20"/>
          <w:color w:val="auto"/>
        </w:rPr>
      </w:pPr>
    </w:p>
    <w:p>
      <w:pPr>
        <w:ind w:left="1140" w:right="60"/>
        <w:spacing w:after="0" w:line="250" w:lineRule="auto"/>
        <w:rPr>
          <w:sz w:val="20"/>
          <w:szCs w:val="20"/>
          <w:color w:val="auto"/>
        </w:rPr>
      </w:pPr>
      <w:r>
        <w:rPr>
          <w:rFonts w:ascii="Arial" w:cs="Arial" w:eastAsia="Arial" w:hAnsi="Arial"/>
          <w:sz w:val="18"/>
          <w:szCs w:val="18"/>
          <w:color w:val="auto"/>
        </w:rPr>
        <w:t>Statements of Operations, (iii) the unaudited Consolidated Statements of Comprehensive Income , (iv) the unaudited Consolidated Statements of Equity, (v) the unaudited Consolidated Statements of Cash Flows, and (vi) Notes to Consolidated Financial Statements (filed herewith)</w:t>
      </w:r>
    </w:p>
    <w:p>
      <w:pPr>
        <w:spacing w:after="0" w:line="1" w:lineRule="exact"/>
        <w:rPr>
          <w:sz w:val="20"/>
          <w:szCs w:val="20"/>
          <w:color w:val="auto"/>
        </w:rPr>
      </w:pPr>
    </w:p>
    <w:p>
      <w:pPr>
        <w:ind w:left="5540" w:right="3540" w:hanging="5100"/>
        <w:spacing w:after="0" w:line="511" w:lineRule="auto"/>
        <w:tabs>
          <w:tab w:leader="none" w:pos="11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392"/>
        </w:trPr>
        <w:tc>
          <w:tcPr>
            <w:tcW w:w="5620" w:type="dxa"/>
            <w:vAlign w:val="bottom"/>
          </w:tcPr>
          <w:p>
            <w:pPr>
              <w:spacing w:after="0"/>
              <w:rPr>
                <w:sz w:val="20"/>
                <w:szCs w:val="20"/>
                <w:color w:val="auto"/>
              </w:rPr>
            </w:pPr>
            <w:r>
              <w:rPr>
                <w:rFonts w:ascii="Arial" w:cs="Arial" w:eastAsia="Arial" w:hAnsi="Arial"/>
                <w:sz w:val="18"/>
                <w:szCs w:val="18"/>
                <w:color w:val="auto"/>
              </w:rPr>
              <w:t>Date: January 12, 2022</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Matthew C. Wolsfeld</w:t>
            </w:r>
          </w:p>
        </w:tc>
        <w:tc>
          <w:tcPr>
            <w:tcW w:w="376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Matthew C. Wolsfeld, CPA</w:t>
            </w:r>
          </w:p>
        </w:tc>
      </w:tr>
      <w:tr>
        <w:trPr>
          <w:trHeight w:val="220"/>
        </w:trPr>
        <w:tc>
          <w:tcPr>
            <w:tcW w:w="56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06"/>
        </w:trPr>
        <w:tc>
          <w:tcPr>
            <w:tcW w:w="56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Arial" w:cs="Arial" w:eastAsia="Arial" w:hAnsi="Arial"/>
                <w:sz w:val="16"/>
                <w:szCs w:val="16"/>
                <w:color w:val="auto"/>
              </w:rPr>
              <w:t>(Principal Financial and Accounting Officer and</w:t>
            </w:r>
          </w:p>
        </w:tc>
      </w:tr>
      <w:tr>
        <w:trPr>
          <w:trHeight w:val="216"/>
        </w:trPr>
        <w:tc>
          <w:tcPr>
            <w:tcW w:w="56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6"/>
                <w:szCs w:val="16"/>
                <w:color w:val="auto"/>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580"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120" w:hanging="6"/>
        <w:spacing w:after="0" w:line="263" w:lineRule="auto"/>
        <w:tabs>
          <w:tab w:leader="none" w:pos="11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500" w:right="220" w:hanging="6"/>
        <w:spacing w:after="0" w:line="263" w:lineRule="auto"/>
        <w:tabs>
          <w:tab w:leader="none" w:pos="11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440" w:hanging="6"/>
        <w:spacing w:after="0" w:line="342" w:lineRule="auto"/>
        <w:tabs>
          <w:tab w:leader="none" w:pos="1105"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400" w:hanging="6"/>
        <w:spacing w:after="0" w:line="263" w:lineRule="auto"/>
        <w:tabs>
          <w:tab w:leader="none" w:pos="11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500" w:right="660" w:hanging="6"/>
        <w:spacing w:after="0" w:line="308" w:lineRule="auto"/>
        <w:tabs>
          <w:tab w:leader="none" w:pos="109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340" w:hanging="6"/>
        <w:spacing w:after="0" w:line="277" w:lineRule="auto"/>
        <w:tabs>
          <w:tab w:leader="none" w:pos="11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January 12,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Patrick Lynch</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G. Patrick Lynch</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120" w:hanging="6"/>
        <w:spacing w:after="0" w:line="263" w:lineRule="auto"/>
        <w:tabs>
          <w:tab w:leader="none" w:pos="11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500" w:right="220" w:hanging="6"/>
        <w:spacing w:after="0" w:line="263" w:lineRule="auto"/>
        <w:tabs>
          <w:tab w:leader="none" w:pos="11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440" w:hanging="6"/>
        <w:spacing w:after="0" w:line="342" w:lineRule="auto"/>
        <w:tabs>
          <w:tab w:leader="none" w:pos="1105"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400" w:hanging="6"/>
        <w:spacing w:after="0" w:line="263" w:lineRule="auto"/>
        <w:tabs>
          <w:tab w:leader="none" w:pos="11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500" w:right="660" w:hanging="6"/>
        <w:spacing w:after="0" w:line="308" w:lineRule="auto"/>
        <w:tabs>
          <w:tab w:leader="none" w:pos="109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340" w:hanging="6"/>
        <w:spacing w:after="0" w:line="277" w:lineRule="auto"/>
        <w:tabs>
          <w:tab w:leader="none" w:pos="11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January 12,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 Wolsfeld</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43" w:name="page44"/>
    <w:bookmarkEnd w:id="4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2021,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260" w:hanging="604"/>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300" w:hanging="944"/>
        <w:spacing w:after="0" w:line="277" w:lineRule="auto"/>
        <w:tabs>
          <w:tab w:leader="none" w:pos="12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 Patrick Lynch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2022</w:t>
      </w:r>
    </w:p>
    <w:p>
      <w:pPr>
        <w:sectPr>
          <w:pgSz w:w="11900" w:h="16838" w:orient="portrait"/>
          <w:cols w:equalWidth="0" w:num="1">
            <w:col w:w="11240"/>
          </w:cols>
          <w:pgMar w:left="320" w:top="121"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2021,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260" w:hanging="60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300" w:hanging="944"/>
        <w:spacing w:after="0" w:line="277" w:lineRule="auto"/>
        <w:tabs>
          <w:tab w:leader="none" w:pos="1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C. Wolsfeld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 (principal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5"/>
    </w:lvl>
  </w:abstractNum>
  <w:abstractNum w:abstractNumId="6">
    <w:nsid w:val="257130A3"/>
    <w:multiLevelType w:val="hybridMultilevel"/>
    <w:lvl w:ilvl="0">
      <w:lvlJc w:val="left"/>
      <w:lvlText w:val="%1."/>
      <w:numFmt w:val="decimal"/>
      <w:start w:val="7"/>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9"/>
    </w:lvl>
  </w:abstractNum>
  <w:abstractNum w:abstractNumId="9">
    <w:nsid w:val="628C895D"/>
    <w:multiLevelType w:val="hybridMultilevel"/>
    <w:lvl w:ilvl="0">
      <w:lvlJc w:val="left"/>
      <w:lvlText w:val="%1."/>
      <w:numFmt w:val="decimal"/>
      <w:start w:val="10"/>
    </w:lvl>
  </w:abstractNum>
  <w:abstractNum w:abstractNumId="10">
    <w:nsid w:val="333AB105"/>
    <w:multiLevelType w:val="hybridMultilevel"/>
    <w:lvl w:ilvl="0">
      <w:lvlJc w:val="left"/>
      <w:lvlText w:val="%1."/>
      <w:numFmt w:val="decimal"/>
      <w:start w:val="11"/>
    </w:lvl>
  </w:abstractNum>
  <w:abstractNum w:abstractNumId="11">
    <w:nsid w:val="721DA317"/>
    <w:multiLevelType w:val="hybridMultilevel"/>
    <w:lvl w:ilvl="0">
      <w:lvlJc w:val="left"/>
      <w:lvlText w:val="%1."/>
      <w:numFmt w:val="decimal"/>
      <w:start w:val="12"/>
    </w:lvl>
  </w:abstractNum>
  <w:abstractNum w:abstractNumId="12">
    <w:nsid w:val="2443A858"/>
    <w:multiLevelType w:val="hybridMultilevel"/>
    <w:lvl w:ilvl="0">
      <w:lvlJc w:val="left"/>
      <w:lvlText w:val="%1."/>
      <w:numFmt w:val="decimal"/>
      <w:start w:val="13"/>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4"/>
    </w:lvl>
  </w:abstractNum>
  <w:abstractNum w:abstractNumId="15">
    <w:nsid w:val="75A2A8D4"/>
    <w:multiLevelType w:val="hybridMultilevel"/>
    <w:lvl w:ilvl="0">
      <w:lvlJc w:val="left"/>
      <w:lvlText w:val="%1."/>
      <w:numFmt w:val="decimal"/>
      <w:start w:val="15"/>
    </w:lvl>
  </w:abstractNum>
  <w:abstractNum w:abstractNumId="16">
    <w:nsid w:val="8EDBDAB"/>
    <w:multiLevelType w:val="hybridMultilevel"/>
    <w:lvl w:ilvl="0">
      <w:lvlJc w:val="left"/>
      <w:lvlText w:val="%1."/>
      <w:numFmt w:val="decimal"/>
      <w:start w:val="16"/>
    </w:lvl>
  </w:abstractNum>
  <w:abstractNum w:abstractNumId="17">
    <w:nsid w:val="79838CB2"/>
    <w:multiLevelType w:val="hybridMultilevel"/>
    <w:lvl w:ilvl="0">
      <w:lvlJc w:val="left"/>
      <w:lvlText w:val="%1."/>
      <w:numFmt w:val="decimal"/>
      <w:start w:val="17"/>
    </w:lvl>
  </w:abstractNum>
  <w:abstractNum w:abstractNumId="18">
    <w:nsid w:val="4353D0CD"/>
    <w:multiLevelType w:val="hybridMultilevel"/>
    <w:lvl w:ilvl="0">
      <w:lvlJc w:val="left"/>
      <w:lvlText w:val="%1."/>
      <w:numFmt w:val="decimal"/>
      <w:start w:val="18"/>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01"/>
    </w:lvl>
  </w:abstractNum>
  <w:abstractNum w:abstractNumId="27">
    <w:nsid w:val="8138641"/>
    <w:multiLevelType w:val="hybridMultilevel"/>
    <w:lvl w:ilvl="0">
      <w:lvlJc w:val="left"/>
      <w:lvlText w:val="%1"/>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48" Type="http://schemas.openxmlformats.org/officeDocument/2006/relationships/hyperlink" Target="http://www.sec.gov/Archives/edgar/data/875582/000117184321006611/exh_101.htm" TargetMode="External"/><Relationship Id="rId49" Type="http://schemas.openxmlformats.org/officeDocument/2006/relationships/hyperlink" Target="http://www.sec.gov/Archives/edgar/data/875582/000117184321006611/exh_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2022-01-12T15:09:33Z</dcterms:created>
  <dcterms:modified xsi:type="dcterms:W3CDTF">2022-01-12T15:09:33Z</dcterms:modified>
</cp:coreProperties>
</file>