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1"/>
        </w:trPr>
        <w:tc>
          <w:tcPr>
            <w:tcW w:w="840" w:type="dxa"/>
            <w:vAlign w:val="bottom"/>
          </w:tcPr>
          <w:p>
            <w:pPr>
              <w:spacing w:after="0"/>
              <w:rPr>
                <w:sz w:val="21"/>
                <w:szCs w:val="21"/>
                <w:color w:val="auto"/>
              </w:rPr>
            </w:pPr>
          </w:p>
        </w:tc>
        <w:tc>
          <w:tcPr>
            <w:tcW w:w="6700" w:type="dxa"/>
            <w:vAlign w:val="bottom"/>
          </w:tcPr>
          <w:p>
            <w:pPr>
              <w:jc w:val="center"/>
              <w:ind w:left="2939"/>
              <w:spacing w:after="0"/>
              <w:rPr>
                <w:sz w:val="20"/>
                <w:szCs w:val="20"/>
                <w:color w:val="auto"/>
              </w:rPr>
            </w:pPr>
            <w:r>
              <w:rPr>
                <w:rFonts w:ascii="Arial" w:cs="Arial" w:eastAsia="Arial" w:hAnsi="Arial"/>
                <w:sz w:val="21"/>
                <w:szCs w:val="21"/>
                <w:b w:val="1"/>
                <w:bCs w:val="1"/>
                <w:color w:val="auto"/>
                <w:w w:val="99"/>
              </w:rPr>
              <w:t>UNITED STATES</w:t>
            </w: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10100" w:type="dxa"/>
            <w:vAlign w:val="bottom"/>
            <w:gridSpan w:val="2"/>
          </w:tcPr>
          <w:p>
            <w:pPr>
              <w:jc w:val="center"/>
              <w:ind w:right="272"/>
              <w:spacing w:after="0"/>
              <w:rPr>
                <w:sz w:val="20"/>
                <w:szCs w:val="20"/>
                <w:color w:val="auto"/>
              </w:rPr>
            </w:pPr>
            <w:r>
              <w:rPr>
                <w:rFonts w:ascii="Arial" w:cs="Arial" w:eastAsia="Arial" w:hAnsi="Arial"/>
                <w:sz w:val="21"/>
                <w:szCs w:val="21"/>
                <w:b w:val="1"/>
                <w:bCs w:val="1"/>
                <w:color w:val="auto"/>
              </w:rPr>
              <w:t>SECURITIES AND EXCHANGE COMMISSION</w:t>
            </w: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6700" w:type="dxa"/>
            <w:vAlign w:val="bottom"/>
          </w:tcPr>
          <w:p>
            <w:pPr>
              <w:jc w:val="center"/>
              <w:ind w:left="2939"/>
              <w:spacing w:after="0"/>
              <w:rPr>
                <w:sz w:val="20"/>
                <w:szCs w:val="20"/>
                <w:color w:val="auto"/>
              </w:rPr>
            </w:pPr>
            <w:r>
              <w:rPr>
                <w:rFonts w:ascii="Arial" w:cs="Arial" w:eastAsia="Arial" w:hAnsi="Arial"/>
                <w:sz w:val="18"/>
                <w:szCs w:val="18"/>
                <w:b w:val="1"/>
                <w:bCs w:val="1"/>
                <w:color w:val="auto"/>
                <w:w w:val="91"/>
              </w:rPr>
              <w:t>Washington, D.C. 20549</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700" w:type="dxa"/>
            <w:vAlign w:val="bottom"/>
          </w:tcPr>
          <w:p>
            <w:pPr>
              <w:jc w:val="right"/>
              <w:ind w:right="399"/>
              <w:spacing w:after="0"/>
              <w:rPr>
                <w:sz w:val="20"/>
                <w:szCs w:val="20"/>
                <w:color w:val="auto"/>
              </w:rPr>
            </w:pPr>
            <w:r>
              <w:rPr>
                <w:rFonts w:ascii="Arial" w:cs="Arial" w:eastAsia="Arial" w:hAnsi="Arial"/>
                <w:sz w:val="18"/>
                <w:szCs w:val="18"/>
                <w:b w:val="1"/>
                <w:bCs w:val="1"/>
                <w:color w:val="auto"/>
              </w:rPr>
              <w:t>______________________________</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9"/>
        </w:trPr>
        <w:tc>
          <w:tcPr>
            <w:tcW w:w="840" w:type="dxa"/>
            <w:vAlign w:val="bottom"/>
          </w:tcPr>
          <w:p>
            <w:pPr>
              <w:spacing w:after="0"/>
              <w:rPr>
                <w:sz w:val="24"/>
                <w:szCs w:val="24"/>
                <w:color w:val="auto"/>
              </w:rPr>
            </w:pPr>
          </w:p>
        </w:tc>
        <w:tc>
          <w:tcPr>
            <w:tcW w:w="6700" w:type="dxa"/>
            <w:vAlign w:val="bottom"/>
          </w:tcPr>
          <w:p>
            <w:pPr>
              <w:jc w:val="center"/>
              <w:ind w:left="2959"/>
              <w:spacing w:after="0"/>
              <w:rPr>
                <w:sz w:val="20"/>
                <w:szCs w:val="20"/>
                <w:color w:val="auto"/>
              </w:rPr>
            </w:pPr>
            <w:r>
              <w:rPr>
                <w:rFonts w:ascii="Arial" w:cs="Arial" w:eastAsia="Arial" w:hAnsi="Arial"/>
                <w:sz w:val="32"/>
                <w:szCs w:val="32"/>
                <w:b w:val="1"/>
                <w:bCs w:val="1"/>
                <w:color w:val="auto"/>
                <w:w w:val="98"/>
              </w:rPr>
              <w:t>FORM 10-Q</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40" w:type="dxa"/>
            <w:vAlign w:val="bottom"/>
          </w:tcPr>
          <w:p>
            <w:pPr>
              <w:spacing w:after="0"/>
              <w:rPr>
                <w:sz w:val="20"/>
                <w:szCs w:val="20"/>
                <w:color w:val="auto"/>
              </w:rPr>
            </w:pPr>
            <w:r>
              <w:rPr>
                <w:rFonts w:ascii="Arial" w:cs="Arial" w:eastAsia="Arial" w:hAnsi="Arial"/>
                <w:sz w:val="18"/>
                <w:szCs w:val="18"/>
                <w:color w:val="auto"/>
                <w:w w:val="94"/>
              </w:rPr>
              <w:t>(Mark one)</w:t>
            </w:r>
          </w:p>
        </w:tc>
        <w:tc>
          <w:tcPr>
            <w:tcW w:w="1010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w w:val="96"/>
              </w:rPr>
              <w:t>QUARTERLY REPORT PURSUANT TO SECTION 13 OR 15(d) OF THE SECURITIES EXCHANGE ACT OF 1934</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[x]</w:t>
            </w:r>
          </w:p>
        </w:tc>
        <w:tc>
          <w:tcPr>
            <w:tcW w:w="10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840" w:type="dxa"/>
            <w:vAlign w:val="bottom"/>
          </w:tcPr>
          <w:p>
            <w:pPr>
              <w:spacing w:after="0"/>
              <w:rPr>
                <w:sz w:val="24"/>
                <w:szCs w:val="24"/>
                <w:color w:val="auto"/>
              </w:rPr>
            </w:pPr>
          </w:p>
        </w:tc>
        <w:tc>
          <w:tcPr>
            <w:tcW w:w="10100" w:type="dxa"/>
            <w:vAlign w:val="bottom"/>
            <w:gridSpan w:val="2"/>
          </w:tcPr>
          <w:p>
            <w:pPr>
              <w:jc w:val="center"/>
              <w:ind w:right="252"/>
              <w:spacing w:after="0"/>
              <w:rPr>
                <w:sz w:val="20"/>
                <w:szCs w:val="20"/>
                <w:color w:val="auto"/>
              </w:rPr>
            </w:pPr>
            <w:r>
              <w:rPr>
                <w:rFonts w:ascii="Arial" w:cs="Arial" w:eastAsia="Arial" w:hAnsi="Arial"/>
                <w:sz w:val="21"/>
                <w:szCs w:val="21"/>
                <w:b w:val="1"/>
                <w:bCs w:val="1"/>
                <w:color w:val="auto"/>
                <w:w w:val="91"/>
              </w:rPr>
              <w:t>For the quarterly period ended February 28, 2011</w:t>
            </w:r>
          </w:p>
        </w:tc>
        <w:tc>
          <w:tcPr>
            <w:tcW w:w="0" w:type="dxa"/>
            <w:vAlign w:val="bottom"/>
          </w:tcPr>
          <w:p>
            <w:pPr>
              <w:spacing w:after="0"/>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 ]</w:t>
            </w:r>
          </w:p>
        </w:tc>
        <w:tc>
          <w:tcPr>
            <w:tcW w:w="10100" w:type="dxa"/>
            <w:vAlign w:val="bottom"/>
            <w:gridSpan w:val="2"/>
          </w:tcPr>
          <w:p>
            <w:pPr>
              <w:ind w:left="1140"/>
              <w:spacing w:after="0"/>
              <w:rPr>
                <w:sz w:val="20"/>
                <w:szCs w:val="20"/>
                <w:color w:val="auto"/>
              </w:rPr>
            </w:pPr>
            <w:r>
              <w:rPr>
                <w:rFonts w:ascii="Arial" w:cs="Arial" w:eastAsia="Arial" w:hAnsi="Arial"/>
                <w:sz w:val="18"/>
                <w:szCs w:val="18"/>
                <w:b w:val="1"/>
                <w:bCs w:val="1"/>
                <w:color w:val="auto"/>
                <w:w w:val="96"/>
              </w:rPr>
              <w:t>TRANSITION REPORT PURSUANT TO SECTION 13 OR 15(d) OF THE SECURITIES EXCHANGE ACT OF 1934</w:t>
            </w:r>
          </w:p>
        </w:tc>
        <w:tc>
          <w:tcPr>
            <w:tcW w:w="0" w:type="dxa"/>
            <w:vAlign w:val="bottom"/>
          </w:tcPr>
          <w:p>
            <w:pPr>
              <w:spacing w:after="0"/>
              <w:rPr>
                <w:sz w:val="1"/>
                <w:szCs w:val="1"/>
                <w:color w:val="auto"/>
              </w:rPr>
            </w:pPr>
          </w:p>
        </w:tc>
      </w:tr>
      <w:tr>
        <w:trPr>
          <w:trHeight w:val="448"/>
        </w:trPr>
        <w:tc>
          <w:tcPr>
            <w:tcW w:w="840" w:type="dxa"/>
            <w:vAlign w:val="bottom"/>
          </w:tcPr>
          <w:p>
            <w:pPr>
              <w:spacing w:after="0"/>
              <w:rPr>
                <w:sz w:val="24"/>
                <w:szCs w:val="24"/>
                <w:color w:val="auto"/>
              </w:rPr>
            </w:pPr>
          </w:p>
        </w:tc>
        <w:tc>
          <w:tcPr>
            <w:tcW w:w="10100" w:type="dxa"/>
            <w:vAlign w:val="bottom"/>
            <w:gridSpan w:val="2"/>
          </w:tcPr>
          <w:p>
            <w:pPr>
              <w:ind w:left="3120"/>
              <w:spacing w:after="0"/>
              <w:rPr>
                <w:sz w:val="20"/>
                <w:szCs w:val="20"/>
                <w:color w:val="auto"/>
              </w:rPr>
            </w:pPr>
            <w:r>
              <w:rPr>
                <w:rFonts w:ascii="Arial" w:cs="Arial" w:eastAsia="Arial" w:hAnsi="Arial"/>
                <w:sz w:val="18"/>
                <w:szCs w:val="18"/>
                <w:color w:val="auto"/>
              </w:rPr>
              <w:t>For the transition period from ________________ to __________________.</w:t>
            </w:r>
          </w:p>
        </w:tc>
        <w:tc>
          <w:tcPr>
            <w:tcW w:w="0" w:type="dxa"/>
            <w:vAlign w:val="bottom"/>
          </w:tcPr>
          <w:p>
            <w:pPr>
              <w:spacing w:after="0"/>
              <w:rPr>
                <w:sz w:val="1"/>
                <w:szCs w:val="1"/>
                <w:color w:val="auto"/>
              </w:rPr>
            </w:pPr>
          </w:p>
        </w:tc>
      </w:tr>
      <w:tr>
        <w:trPr>
          <w:trHeight w:val="437"/>
        </w:trPr>
        <w:tc>
          <w:tcPr>
            <w:tcW w:w="840" w:type="dxa"/>
            <w:vAlign w:val="bottom"/>
          </w:tcPr>
          <w:p>
            <w:pPr>
              <w:spacing w:after="0"/>
              <w:rPr>
                <w:sz w:val="24"/>
                <w:szCs w:val="24"/>
                <w:color w:val="auto"/>
              </w:rPr>
            </w:pPr>
          </w:p>
        </w:tc>
        <w:tc>
          <w:tcPr>
            <w:tcW w:w="6700" w:type="dxa"/>
            <w:vAlign w:val="bottom"/>
          </w:tcPr>
          <w:p>
            <w:pPr>
              <w:jc w:val="center"/>
              <w:ind w:left="2939"/>
              <w:spacing w:after="0"/>
              <w:rPr>
                <w:sz w:val="20"/>
                <w:szCs w:val="20"/>
                <w:color w:val="auto"/>
              </w:rPr>
            </w:pPr>
            <w:r>
              <w:rPr>
                <w:rFonts w:ascii="Arial" w:cs="Arial" w:eastAsia="Arial" w:hAnsi="Arial"/>
                <w:sz w:val="18"/>
                <w:szCs w:val="18"/>
                <w:b w:val="1"/>
                <w:bCs w:val="1"/>
                <w:color w:val="auto"/>
                <w:w w:val="89"/>
              </w:rPr>
              <w:t>Commission File Number: 001-11038</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700" w:type="dxa"/>
            <w:vAlign w:val="bottom"/>
          </w:tcPr>
          <w:p>
            <w:pPr>
              <w:jc w:val="right"/>
              <w:ind w:right="839"/>
              <w:spacing w:after="0"/>
              <w:rPr>
                <w:sz w:val="20"/>
                <w:szCs w:val="20"/>
                <w:color w:val="auto"/>
              </w:rPr>
            </w:pPr>
            <w:r>
              <w:rPr>
                <w:rFonts w:ascii="Arial" w:cs="Arial" w:eastAsia="Arial" w:hAnsi="Arial"/>
                <w:sz w:val="18"/>
                <w:szCs w:val="18"/>
                <w:b w:val="1"/>
                <w:bCs w:val="1"/>
                <w:i w:val="1"/>
                <w:iCs w:val="1"/>
                <w:color w:val="auto"/>
              </w:rPr>
              <w:t>____________________</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840" w:type="dxa"/>
            <w:vAlign w:val="bottom"/>
          </w:tcPr>
          <w:p>
            <w:pPr>
              <w:spacing w:after="0"/>
              <w:rPr>
                <w:sz w:val="24"/>
                <w:szCs w:val="24"/>
                <w:color w:val="auto"/>
              </w:rPr>
            </w:pPr>
          </w:p>
        </w:tc>
        <w:tc>
          <w:tcPr>
            <w:tcW w:w="10100" w:type="dxa"/>
            <w:vAlign w:val="bottom"/>
            <w:gridSpan w:val="2"/>
          </w:tcPr>
          <w:p>
            <w:pPr>
              <w:jc w:val="center"/>
              <w:ind w:right="272"/>
              <w:spacing w:after="0"/>
              <w:rPr>
                <w:sz w:val="20"/>
                <w:szCs w:val="20"/>
                <w:color w:val="auto"/>
              </w:rPr>
            </w:pPr>
            <w:r>
              <w:rPr>
                <w:rFonts w:ascii="Arial" w:cs="Arial" w:eastAsia="Arial" w:hAnsi="Arial"/>
                <w:sz w:val="32"/>
                <w:szCs w:val="32"/>
                <w:b w:val="1"/>
                <w:bCs w:val="1"/>
                <w:color w:val="auto"/>
              </w:rPr>
              <w:t>NORTHERN TECHNOLOGIES INTERNATIONAL CORPORATION</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700" w:type="dxa"/>
            <w:vAlign w:val="bottom"/>
          </w:tcPr>
          <w:p>
            <w:pPr>
              <w:jc w:val="center"/>
              <w:ind w:left="2939"/>
              <w:spacing w:after="0"/>
              <w:rPr>
                <w:sz w:val="20"/>
                <w:szCs w:val="20"/>
                <w:color w:val="auto"/>
              </w:rPr>
            </w:pPr>
            <w:r>
              <w:rPr>
                <w:rFonts w:ascii="Arial" w:cs="Arial" w:eastAsia="Arial" w:hAnsi="Arial"/>
                <w:sz w:val="18"/>
                <w:szCs w:val="18"/>
                <w:color w:val="auto"/>
                <w:w w:val="88"/>
              </w:rPr>
              <w:t>(Exact name of registrant as specified in its charter)</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840" w:type="dxa"/>
            <w:vAlign w:val="bottom"/>
          </w:tcPr>
          <w:p>
            <w:pPr>
              <w:spacing w:after="0"/>
              <w:rPr>
                <w:sz w:val="24"/>
                <w:szCs w:val="24"/>
                <w:color w:val="auto"/>
              </w:rPr>
            </w:pPr>
          </w:p>
        </w:tc>
        <w:tc>
          <w:tcPr>
            <w:tcW w:w="6700" w:type="dxa"/>
            <w:vAlign w:val="bottom"/>
          </w:tcPr>
          <w:p>
            <w:pPr>
              <w:jc w:val="center"/>
              <w:ind w:right="2159"/>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right"/>
              <w:ind w:right="1652"/>
              <w:spacing w:after="0"/>
              <w:rPr>
                <w:sz w:val="20"/>
                <w:szCs w:val="20"/>
                <w:color w:val="auto"/>
              </w:rPr>
            </w:pPr>
            <w:r>
              <w:rPr>
                <w:rFonts w:ascii="Arial" w:cs="Arial" w:eastAsia="Arial" w:hAnsi="Arial"/>
                <w:sz w:val="18"/>
                <w:szCs w:val="18"/>
                <w:b w:val="1"/>
                <w:bCs w:val="1"/>
                <w:color w:val="auto"/>
              </w:rPr>
              <w:t>41-0857886</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700" w:type="dxa"/>
            <w:vAlign w:val="bottom"/>
          </w:tcPr>
          <w:p>
            <w:pPr>
              <w:jc w:val="center"/>
              <w:ind w:right="2159"/>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400" w:type="dxa"/>
            <w:vAlign w:val="bottom"/>
          </w:tcPr>
          <w:p>
            <w:pPr>
              <w:jc w:val="center"/>
              <w:ind w:right="852"/>
              <w:spacing w:after="0"/>
              <w:rPr>
                <w:sz w:val="20"/>
                <w:szCs w:val="20"/>
                <w:color w:val="auto"/>
              </w:rPr>
            </w:pPr>
            <w:r>
              <w:rPr>
                <w:rFonts w:ascii="Arial" w:cs="Arial" w:eastAsia="Arial" w:hAnsi="Arial"/>
                <w:sz w:val="18"/>
                <w:szCs w:val="18"/>
                <w:color w:val="auto"/>
                <w:w w:val="92"/>
              </w:rPr>
              <w:t>(IRS Employer Identification No.)</w:t>
            </w:r>
          </w:p>
        </w:tc>
        <w:tc>
          <w:tcPr>
            <w:tcW w:w="0" w:type="dxa"/>
            <w:vAlign w:val="bottom"/>
          </w:tcPr>
          <w:p>
            <w:pPr>
              <w:spacing w:after="0"/>
              <w:rPr>
                <w:sz w:val="1"/>
                <w:szCs w:val="1"/>
                <w:color w:val="auto"/>
              </w:rPr>
            </w:pPr>
          </w:p>
        </w:tc>
      </w:tr>
    </w:tbl>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4201 Woodland Rd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Circle Pines, Minnesota 55014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(763) 225-6600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0" w:lineRule="exact"/>
        <w:rPr>
          <w:sz w:val="24"/>
          <w:szCs w:val="24"/>
          <w:color w:val="auto"/>
        </w:rPr>
      </w:pPr>
    </w:p>
    <w:p>
      <w:pPr>
        <w:ind w:right="400" w:firstLine="31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16" w:lineRule="exact"/>
        <w:rPr>
          <w:sz w:val="24"/>
          <w:szCs w:val="24"/>
          <w:color w:val="auto"/>
        </w:rPr>
      </w:pPr>
    </w:p>
    <w:p>
      <w:pPr>
        <w:ind w:firstLine="316"/>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 NO [ ]</w:t>
      </w:r>
    </w:p>
    <w:p>
      <w:pPr>
        <w:spacing w:after="0" w:line="216" w:lineRule="exact"/>
        <w:rPr>
          <w:sz w:val="24"/>
          <w:szCs w:val="24"/>
          <w:color w:val="auto"/>
        </w:rPr>
      </w:pPr>
    </w:p>
    <w:p>
      <w:pPr>
        <w:ind w:right="60" w:firstLine="31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13" w:right="259" w:bottom="1440" w:gutter="0" w:footer="0" w:header="0"/>
        </w:sectPr>
      </w:pP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 ]</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7040" w:space="720"/>
            <w:col w:w="3640"/>
          </w:cols>
          <w:pgMar w:left="240" w:top="213" w:right="259" w:bottom="1440" w:gutter="0" w:footer="0" w:header="0"/>
          <w:type w:val="continuous"/>
        </w:sectPr>
      </w:pPr>
    </w:p>
    <w:p>
      <w:pPr>
        <w:spacing w:after="0" w:line="26" w:lineRule="exact"/>
        <w:rPr>
          <w:sz w:val="24"/>
          <w:szCs w:val="24"/>
          <w:color w:val="auto"/>
        </w:rPr>
      </w:pPr>
    </w:p>
    <w:p>
      <w:pPr>
        <w:ind w:left="320"/>
        <w:spacing w:after="0"/>
        <w:tabs>
          <w:tab w:leader="none" w:pos="8460" w:val="left"/>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 ]</w:t>
      </w:r>
      <w:r>
        <w:rPr>
          <w:sz w:val="20"/>
          <w:szCs w:val="20"/>
          <w:color w:val="auto"/>
        </w:rPr>
        <w:tab/>
      </w:r>
      <w:r>
        <w:rPr>
          <w:rFonts w:ascii="Arial" w:cs="Arial" w:eastAsia="Arial" w:hAnsi="Arial"/>
          <w:sz w:val="16"/>
          <w:szCs w:val="16"/>
          <w:color w:val="auto"/>
        </w:rPr>
        <w:t>NO [x]</w:t>
      </w:r>
    </w:p>
    <w:p>
      <w:pPr>
        <w:spacing w:after="0" w:line="24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April 13, 2011, there were 4,343,601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13"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80" w:type="dxa"/>
            <w:vAlign w:val="bottom"/>
            <w:gridSpan w:val="4"/>
          </w:tcPr>
          <w:p>
            <w:pPr>
              <w:spacing w:after="0"/>
              <w:rPr>
                <w:sz w:val="20"/>
                <w:szCs w:val="20"/>
                <w:color w:val="auto"/>
              </w:rPr>
            </w:pPr>
            <w:r>
              <w:rPr>
                <w:rFonts w:ascii="Arial" w:cs="Arial" w:eastAsia="Arial" w:hAnsi="Arial"/>
                <w:sz w:val="18"/>
                <w:szCs w:val="18"/>
                <w:b w:val="1"/>
                <w:bCs w:val="1"/>
                <w:color w:val="auto"/>
                <w:w w:val="86"/>
              </w:rPr>
              <w:t>Description</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40" w:type="dxa"/>
            <w:vAlign w:val="bottom"/>
            <w:gridSpan w:val="8"/>
          </w:tcPr>
          <w:p>
            <w:pPr>
              <w:ind w:left="800"/>
              <w:spacing w:after="0"/>
              <w:rPr>
                <w:sz w:val="20"/>
                <w:szCs w:val="20"/>
                <w:color w:val="auto"/>
              </w:rPr>
            </w:pPr>
            <w:r>
              <w:rPr>
                <w:rFonts w:ascii="Arial" w:cs="Arial" w:eastAsia="Arial" w:hAnsi="Arial"/>
                <w:sz w:val="18"/>
                <w:szCs w:val="18"/>
                <w:b w:val="1"/>
                <w:bCs w:val="1"/>
                <w:color w:val="auto"/>
              </w:rPr>
              <w:t>Page</w:t>
            </w:r>
          </w:p>
        </w:tc>
      </w:tr>
      <w:tr>
        <w:trPr>
          <w:trHeight w:val="546"/>
        </w:trPr>
        <w:tc>
          <w:tcPr>
            <w:tcW w:w="40" w:type="dxa"/>
            <w:vAlign w:val="bottom"/>
          </w:tcPr>
          <w:p>
            <w:pPr>
              <w:spacing w:after="0"/>
              <w:rPr>
                <w:sz w:val="24"/>
                <w:szCs w:val="24"/>
                <w:color w:val="auto"/>
              </w:rPr>
            </w:pPr>
          </w:p>
        </w:tc>
        <w:tc>
          <w:tcPr>
            <w:tcW w:w="8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24"/>
                <w:szCs w:val="24"/>
                <w:color w:val="auto"/>
              </w:rPr>
            </w:pPr>
          </w:p>
        </w:tc>
        <w:tc>
          <w:tcPr>
            <w:tcW w:w="9060" w:type="dxa"/>
            <w:vAlign w:val="bottom"/>
            <w:gridSpan w:val="19"/>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880" w:type="dxa"/>
            <w:vAlign w:val="bottom"/>
            <w:gridSpan w:val="4"/>
            <w:shd w:val="clear" w:color="auto" w:fill="CCEEFF"/>
          </w:tcPr>
          <w:p>
            <w:pPr>
              <w:spacing w:after="0" w:line="198"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19"/>
          </w:tcPr>
          <w:p>
            <w:pPr>
              <w:ind w:left="40"/>
              <w:spacing w:after="0" w:line="198"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February 28, 2011 (unaudited) and August 31, 2010</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6"/>
        </w:trPr>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6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86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Consolidated Statements of Operations (unaudited) for the Three and Six Months Ended February 28, 2011 and 2010</w:t>
              </w:r>
            </w:hyperlink>
          </w:p>
        </w:tc>
        <w:tc>
          <w:tcPr>
            <w:tcW w:w="1440" w:type="dxa"/>
            <w:vAlign w:val="bottom"/>
            <w:gridSpan w:val="8"/>
            <w:shd w:val="clear" w:color="auto" w:fill="CCEEFF"/>
          </w:tcPr>
          <w:p>
            <w:pPr>
              <w:jc w:val="right"/>
              <w:ind w:right="20"/>
              <w:spacing w:after="0" w:line="198"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6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86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24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19"/>
          </w:tcPr>
          <w:p>
            <w:pPr>
              <w:ind w:left="40"/>
              <w:spacing w:after="0" w:line="198"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Six Months Ended February 28, 2011 and 2010</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6"/>
        </w:trPr>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6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8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1440" w:type="dxa"/>
            <w:vAlign w:val="bottom"/>
            <w:gridSpan w:val="8"/>
            <w:shd w:val="clear" w:color="auto" w:fill="CCEEFF"/>
          </w:tcPr>
          <w:p>
            <w:pPr>
              <w:jc w:val="right"/>
              <w:ind w:right="2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5-14</w:t>
              </w:r>
            </w:hyperlink>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6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880" w:type="dxa"/>
            <w:vAlign w:val="bottom"/>
            <w:gridSpan w:val="4"/>
          </w:tcPr>
          <w:p>
            <w:pPr>
              <w:spacing w:after="0" w:line="198"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9060" w:type="dxa"/>
            <w:vAlign w:val="bottom"/>
            <w:gridSpan w:val="19"/>
          </w:tcPr>
          <w:p>
            <w:pPr>
              <w:ind w:left="40"/>
              <w:spacing w:after="0" w:line="198"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16">
              <w:r>
                <w:rPr>
                  <w:rFonts w:ascii="Arial" w:cs="Arial" w:eastAsia="Arial" w:hAnsi="Arial"/>
                  <w:sz w:val="18"/>
                  <w:szCs w:val="18"/>
                  <w:color w:val="0000EE"/>
                </w:rPr>
                <w:t>15-28</w:t>
              </w:r>
            </w:hyperlink>
          </w:p>
        </w:tc>
      </w:tr>
      <w:tr>
        <w:trPr>
          <w:trHeight w:val="46"/>
        </w:trPr>
        <w:tc>
          <w:tcPr>
            <w:tcW w:w="4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6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86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880" w:type="dxa"/>
            <w:vAlign w:val="bottom"/>
            <w:gridSpan w:val="4"/>
            <w:shd w:val="clear" w:color="auto" w:fill="CCEEFF"/>
          </w:tcPr>
          <w:p>
            <w:pPr>
              <w:spacing w:after="0" w:line="198"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440" w:type="dxa"/>
            <w:vAlign w:val="bottom"/>
            <w:gridSpan w:val="8"/>
            <w:shd w:val="clear" w:color="auto" w:fill="CCEEFF"/>
          </w:tcPr>
          <w:p>
            <w:pPr>
              <w:jc w:val="right"/>
              <w:ind w:right="20"/>
              <w:spacing w:after="0" w:line="198"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6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880" w:type="dxa"/>
            <w:vAlign w:val="bottom"/>
            <w:gridSpan w:val="4"/>
          </w:tcPr>
          <w:p>
            <w:pPr>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060" w:type="dxa"/>
            <w:vAlign w:val="bottom"/>
            <w:gridSpan w:val="19"/>
          </w:tcPr>
          <w:p>
            <w:pPr>
              <w:ind w:left="4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28-29</w:t>
              </w:r>
            </w:hyperlink>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6"/>
        </w:trPr>
        <w:tc>
          <w:tcPr>
            <w:tcW w:w="4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9060" w:type="dxa"/>
            <w:vAlign w:val="bottom"/>
            <w:gridSpan w:val="19"/>
          </w:tcPr>
          <w:p>
            <w:pPr>
              <w:ind w:left="40"/>
              <w:spacing w:after="0"/>
              <w:rPr>
                <w:sz w:val="20"/>
                <w:szCs w:val="20"/>
                <w:color w:val="auto"/>
              </w:rPr>
            </w:pPr>
            <w:r>
              <w:rPr>
                <w:rFonts w:ascii="Arial" w:cs="Arial" w:eastAsia="Arial" w:hAnsi="Arial"/>
                <w:sz w:val="18"/>
                <w:szCs w:val="18"/>
                <w:b w:val="1"/>
                <w:bCs w:val="1"/>
                <w:color w:val="auto"/>
              </w:rPr>
              <w:t>OTHER INFORMATION</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880" w:type="dxa"/>
            <w:vAlign w:val="bottom"/>
            <w:gridSpan w:val="4"/>
            <w:shd w:val="clear" w:color="auto" w:fill="CCEEFF"/>
          </w:tcPr>
          <w:p>
            <w:pPr>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440" w:type="dxa"/>
            <w:vAlign w:val="bottom"/>
            <w:gridSpan w:val="8"/>
            <w:shd w:val="clear" w:color="auto" w:fill="CCEEFF"/>
          </w:tcPr>
          <w:p>
            <w:pPr>
              <w:jc w:val="right"/>
              <w:ind w:right="2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880" w:type="dxa"/>
            <w:vAlign w:val="bottom"/>
            <w:gridSpan w:val="4"/>
          </w:tcPr>
          <w:p>
            <w:pPr>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060" w:type="dxa"/>
            <w:vAlign w:val="bottom"/>
            <w:gridSpan w:val="19"/>
          </w:tcPr>
          <w:p>
            <w:pPr>
              <w:ind w:left="4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46"/>
        </w:trPr>
        <w:tc>
          <w:tcPr>
            <w:tcW w:w="4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880" w:type="dxa"/>
            <w:vAlign w:val="bottom"/>
            <w:gridSpan w:val="4"/>
            <w:shd w:val="clear" w:color="auto" w:fill="CCEEFF"/>
          </w:tcPr>
          <w:p>
            <w:pPr>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1440" w:type="dxa"/>
            <w:vAlign w:val="bottom"/>
            <w:gridSpan w:val="8"/>
            <w:shd w:val="clear" w:color="auto" w:fill="CCEEFF"/>
          </w:tcPr>
          <w:p>
            <w:pPr>
              <w:jc w:val="right"/>
              <w:ind w:right="2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6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880" w:type="dxa"/>
            <w:vAlign w:val="bottom"/>
            <w:gridSpan w:val="4"/>
          </w:tcPr>
          <w:p>
            <w:pPr>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060" w:type="dxa"/>
            <w:vAlign w:val="bottom"/>
            <w:gridSpan w:val="19"/>
          </w:tcPr>
          <w:p>
            <w:pPr>
              <w:ind w:left="4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46"/>
        </w:trPr>
        <w:tc>
          <w:tcPr>
            <w:tcW w:w="4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880" w:type="dxa"/>
            <w:vAlign w:val="bottom"/>
            <w:gridSpan w:val="4"/>
            <w:shd w:val="clear" w:color="auto" w:fill="CCEEFF"/>
          </w:tcPr>
          <w:p>
            <w:pPr>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[Removed and Reserved]</w:t>
              </w:r>
            </w:hyperlink>
          </w:p>
        </w:tc>
        <w:tc>
          <w:tcPr>
            <w:tcW w:w="1440" w:type="dxa"/>
            <w:vAlign w:val="bottom"/>
            <w:gridSpan w:val="8"/>
            <w:shd w:val="clear" w:color="auto" w:fill="CCEEFF"/>
          </w:tcPr>
          <w:p>
            <w:pPr>
              <w:jc w:val="right"/>
              <w:ind w:right="2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880" w:type="dxa"/>
            <w:vAlign w:val="bottom"/>
            <w:gridSpan w:val="4"/>
          </w:tcPr>
          <w:p>
            <w:pPr>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9060" w:type="dxa"/>
            <w:vAlign w:val="bottom"/>
            <w:gridSpan w:val="19"/>
          </w:tcPr>
          <w:p>
            <w:pPr>
              <w:ind w:left="4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46"/>
        </w:trPr>
        <w:tc>
          <w:tcPr>
            <w:tcW w:w="4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40" w:type="dxa"/>
            <w:vAlign w:val="bottom"/>
            <w:tcBorders>
              <w:right w:val="single" w:sz="8" w:color="CCEEFF"/>
            </w:tcBorders>
          </w:tcPr>
          <w:p>
            <w:pPr>
              <w:spacing w:after="0"/>
              <w:rPr>
                <w:sz w:val="17"/>
                <w:szCs w:val="17"/>
                <w:color w:val="auto"/>
              </w:rPr>
            </w:pPr>
          </w:p>
        </w:tc>
        <w:tc>
          <w:tcPr>
            <w:tcW w:w="880" w:type="dxa"/>
            <w:vAlign w:val="bottom"/>
            <w:gridSpan w:val="4"/>
            <w:shd w:val="clear" w:color="auto" w:fill="CCEEFF"/>
          </w:tcPr>
          <w:p>
            <w:pPr>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9060" w:type="dxa"/>
            <w:vAlign w:val="bottom"/>
            <w:gridSpan w:val="19"/>
            <w:shd w:val="clear" w:color="auto" w:fill="CCEEFF"/>
          </w:tcPr>
          <w:p>
            <w:pPr>
              <w:ind w:left="4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1440" w:type="dxa"/>
            <w:vAlign w:val="bottom"/>
            <w:gridSpan w:val="8"/>
            <w:shd w:val="clear" w:color="auto" w:fill="CCEEFF"/>
          </w:tcPr>
          <w:p>
            <w:pPr>
              <w:jc w:val="right"/>
              <w:ind w:right="20"/>
              <w:spacing w:after="0" w:line="198"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46"/>
        </w:trPr>
        <w:tc>
          <w:tcPr>
            <w:tcW w:w="40" w:type="dxa"/>
            <w:vAlign w:val="bottom"/>
            <w:tcBorders>
              <w:right w:val="single" w:sz="8" w:color="CCEEFF"/>
            </w:tcBorders>
          </w:tcPr>
          <w:p>
            <w:pPr>
              <w:spacing w:after="0"/>
              <w:rPr>
                <w:sz w:val="3"/>
                <w:szCs w:val="3"/>
                <w:color w:val="auto"/>
              </w:rPr>
            </w:pPr>
          </w:p>
        </w:tc>
        <w:tc>
          <w:tcPr>
            <w:tcW w:w="48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8"/>
        </w:trPr>
        <w:tc>
          <w:tcPr>
            <w:tcW w:w="40" w:type="dxa"/>
            <w:vAlign w:val="bottom"/>
          </w:tcPr>
          <w:p>
            <w:pPr>
              <w:spacing w:after="0"/>
              <w:rPr>
                <w:sz w:val="17"/>
                <w:szCs w:val="17"/>
                <w:color w:val="auto"/>
              </w:rPr>
            </w:pPr>
          </w:p>
        </w:tc>
        <w:tc>
          <w:tcPr>
            <w:tcW w:w="9940" w:type="dxa"/>
            <w:vAlign w:val="bottom"/>
            <w:gridSpan w:val="23"/>
          </w:tcPr>
          <w:p>
            <w:pPr>
              <w:spacing w:after="0" w:line="198"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 PAGE</w:t>
              </w:r>
            </w:hyperlink>
          </w:p>
        </w:tc>
        <w:tc>
          <w:tcPr>
            <w:tcW w:w="1440" w:type="dxa"/>
            <w:vAlign w:val="bottom"/>
            <w:gridSpan w:val="8"/>
          </w:tcPr>
          <w:p>
            <w:pPr>
              <w:jc w:val="right"/>
              <w:ind w:right="20"/>
              <w:spacing w:after="0" w:line="198"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46"/>
        </w:trPr>
        <w:tc>
          <w:tcPr>
            <w:tcW w:w="4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1360" w:type="dxa"/>
            <w:vAlign w:val="bottom"/>
            <w:tcBorders>
              <w:bottom w:val="single" w:sz="8" w:color="0000EE"/>
            </w:tcBorders>
            <w:gridSpan w:val="6"/>
            <w:shd w:val="clear" w:color="auto" w:fill="CCEEFF"/>
          </w:tcPr>
          <w:p>
            <w:pPr>
              <w:spacing w:after="0" w:line="198"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 INDEX</w:t>
              </w:r>
            </w:hyperlink>
          </w:p>
        </w:tc>
        <w:tc>
          <w:tcPr>
            <w:tcW w:w="8580" w:type="dxa"/>
            <w:vAlign w:val="bottom"/>
            <w:tcBorders>
              <w:bottom w:val="single" w:sz="8" w:color="CCEEFF"/>
            </w:tcBorders>
            <w:gridSpan w:val="17"/>
            <w:shd w:val="clear" w:color="auto" w:fill="CCEEFF"/>
          </w:tcPr>
          <w:p>
            <w:pPr>
              <w:spacing w:after="0"/>
              <w:rPr>
                <w:sz w:val="21"/>
                <w:szCs w:val="21"/>
                <w:color w:val="auto"/>
              </w:rPr>
            </w:pPr>
          </w:p>
        </w:tc>
        <w:tc>
          <w:tcPr>
            <w:tcW w:w="1240" w:type="dxa"/>
            <w:vAlign w:val="bottom"/>
            <w:tcBorders>
              <w:bottom w:val="single" w:sz="8" w:color="CCEEFF"/>
            </w:tcBorders>
            <w:gridSpan w:val="5"/>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198"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1500" w:type="dxa"/>
            <w:vAlign w:val="bottom"/>
            <w:gridSpan w:val="7"/>
          </w:tcPr>
          <w:p>
            <w:pPr>
              <w:spacing w:after="0"/>
              <w:rPr>
                <w:sz w:val="20"/>
                <w:szCs w:val="20"/>
                <w:color w:val="auto"/>
              </w:rPr>
            </w:pPr>
            <w:r>
              <w:rPr>
                <w:rFonts w:ascii="Arial" w:cs="Arial" w:eastAsia="Arial" w:hAnsi="Arial"/>
                <w:sz w:val="18"/>
                <w:szCs w:val="18"/>
                <w:color w:val="auto"/>
                <w:w w:val="86"/>
              </w:rPr>
              <w:t>_________________</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219"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 owned joint venture in Brazil, Zerust Prevenção de Corrosão S.A., all of which are consolidated on NTIC’s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8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FEBRUARY 28, 2011 (UNAUDITED)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2010 (AUDITED)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160" w:type="dxa"/>
            <w:vAlign w:val="bottom"/>
            <w:gridSpan w:val="3"/>
          </w:tcPr>
          <w:p>
            <w:pPr>
              <w:ind w:left="1080"/>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24"/>
                <w:szCs w:val="24"/>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89"/>
              </w:rPr>
              <w:t>August 31,</w:t>
            </w:r>
          </w:p>
        </w:tc>
        <w:tc>
          <w:tcPr>
            <w:tcW w:w="0" w:type="dxa"/>
            <w:vAlign w:val="bottom"/>
          </w:tcPr>
          <w:p>
            <w:pPr>
              <w:spacing w:after="0"/>
              <w:rPr>
                <w:sz w:val="1"/>
                <w:szCs w:val="1"/>
                <w:color w:val="auto"/>
              </w:rPr>
            </w:pPr>
          </w:p>
        </w:tc>
      </w:tr>
      <w:tr>
        <w:trPr>
          <w:trHeight w:val="229"/>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ASSETS</w:t>
            </w:r>
          </w:p>
        </w:tc>
        <w:tc>
          <w:tcPr>
            <w:tcW w:w="7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192"/>
        </w:trPr>
        <w:tc>
          <w:tcPr>
            <w:tcW w:w="680" w:type="dxa"/>
            <w:vAlign w:val="bottom"/>
            <w:gridSpan w:val="2"/>
            <w:vMerge w:val="continue"/>
          </w:tcPr>
          <w:p>
            <w:pPr>
              <w:spacing w:after="0"/>
              <w:rPr>
                <w:sz w:val="16"/>
                <w:szCs w:val="16"/>
                <w:color w:val="auto"/>
              </w:rPr>
            </w:pPr>
          </w:p>
        </w:tc>
        <w:tc>
          <w:tcPr>
            <w:tcW w:w="7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1,864,215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1,776,162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Receivables: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 excluding joint ventures, less allowance for doubtful accounts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520"/>
              <w:spacing w:after="0"/>
              <w:rPr>
                <w:sz w:val="20"/>
                <w:szCs w:val="20"/>
                <w:color w:val="auto"/>
              </w:rPr>
            </w:pPr>
            <w:r>
              <w:rPr>
                <w:rFonts w:ascii="Arial" w:cs="Arial" w:eastAsia="Arial" w:hAnsi="Arial"/>
                <w:sz w:val="18"/>
                <w:szCs w:val="18"/>
                <w:color w:val="auto"/>
              </w:rPr>
              <w:t>of $20,000 at February 28, 2011 and August 31, 2010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3,129,396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2,227,769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 joint ventures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1,311,758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1,216,081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380"/>
              <w:spacing w:after="0"/>
              <w:rPr>
                <w:sz w:val="20"/>
                <w:szCs w:val="20"/>
                <w:color w:val="auto"/>
              </w:rPr>
            </w:pPr>
            <w:r>
              <w:rPr>
                <w:rFonts w:ascii="Arial" w:cs="Arial" w:eastAsia="Arial" w:hAnsi="Arial"/>
                <w:sz w:val="18"/>
                <w:szCs w:val="18"/>
                <w:color w:val="auto"/>
              </w:rPr>
              <w:t>Fees for services provided to joint ventures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1,681,106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1,300,814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4,147,490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3,639,169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Prepaid expenses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437,218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143,980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448,600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448,600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80" w:type="dxa"/>
            <w:vAlign w:val="bottom"/>
          </w:tcPr>
          <w:p>
            <w:pPr>
              <w:ind w:left="20"/>
              <w:spacing w:after="0" w:line="204" w:lineRule="exact"/>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8"/>
                <w:szCs w:val="18"/>
                <w:color w:val="auto"/>
                <w:w w:val="88"/>
              </w:rPr>
              <w:t>13,019,783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w w:val="86"/>
              </w:rPr>
              <w:t>10,752,575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3,358,382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3,452,530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gridSpan w:val="2"/>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 in joint ventures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17,875,120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16,055,943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1,505,300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1,505,300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Patents and trademarks,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877,018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912,718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w w:val="93"/>
              </w:rPr>
              <w:t>Other</w:t>
            </w:r>
          </w:p>
        </w:tc>
        <w:tc>
          <w:tcPr>
            <w:tcW w:w="7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CCEEFF"/>
            </w:tcBorders>
            <w:shd w:val="clear" w:color="auto" w:fill="CCEEFF"/>
          </w:tcPr>
          <w:p>
            <w:pPr>
              <w:ind w:left="80"/>
              <w:spacing w:after="0" w:line="204" w:lineRule="exact"/>
              <w:rPr>
                <w:sz w:val="20"/>
                <w:szCs w:val="20"/>
                <w:color w:val="auto"/>
              </w:rPr>
            </w:pPr>
            <w:r>
              <w:rPr>
                <w:rFonts w:ascii="Arial" w:cs="Arial" w:eastAsia="Arial" w:hAnsi="Arial"/>
                <w:sz w:val="18"/>
                <w:szCs w:val="18"/>
                <w:color w:val="auto"/>
              </w:rPr>
              <w:t>Total other assets</w:t>
            </w: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20,257,438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18,492,195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80" w:type="dxa"/>
            <w:vAlign w:val="bottom"/>
          </w:tcPr>
          <w:p>
            <w:pPr>
              <w:ind w:left="80"/>
              <w:spacing w:after="0" w:line="204" w:lineRule="exact"/>
              <w:rPr>
                <w:sz w:val="20"/>
                <w:szCs w:val="20"/>
                <w:color w:val="auto"/>
              </w:rPr>
            </w:pPr>
            <w:r>
              <w:rPr>
                <w:rFonts w:ascii="Arial" w:cs="Arial" w:eastAsia="Arial" w:hAnsi="Arial"/>
                <w:sz w:val="18"/>
                <w:szCs w:val="18"/>
                <w:color w:val="auto"/>
              </w:rPr>
              <w:t>Total assets</w:t>
            </w:r>
          </w:p>
        </w:tc>
        <w:tc>
          <w:tcPr>
            <w:tcW w:w="1220" w:type="dxa"/>
            <w:vAlign w:val="bottom"/>
            <w:gridSpan w:val="2"/>
          </w:tcPr>
          <w:p>
            <w:pPr>
              <w:ind w:left="1080"/>
              <w:spacing w:after="0" w:line="204"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88"/>
              </w:rPr>
              <w:t>36,635,603</w:t>
            </w:r>
          </w:p>
        </w:tc>
        <w:tc>
          <w:tcPr>
            <w:tcW w:w="2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86"/>
              </w:rPr>
              <w:t>32,697,300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8140" w:type="dxa"/>
            <w:vAlign w:val="bottom"/>
            <w:gridSpan w:val="2"/>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Current portion of note payable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14,829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1,144,922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1,601,095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1,721,237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Income tax payable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324,365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174,502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380"/>
              <w:spacing w:after="0"/>
              <w:rPr>
                <w:sz w:val="20"/>
                <w:szCs w:val="20"/>
                <w:color w:val="auto"/>
              </w:rPr>
            </w:pPr>
            <w:r>
              <w:rPr>
                <w:rFonts w:ascii="Arial" w:cs="Arial" w:eastAsia="Arial" w:hAnsi="Arial"/>
                <w:sz w:val="18"/>
                <w:szCs w:val="18"/>
                <w:color w:val="auto"/>
              </w:rPr>
              <w:t>Payroll and related benefits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1,228,212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1,155,277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joint venture royalties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295,645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349,714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80" w:type="dxa"/>
            <w:vAlign w:val="bottom"/>
            <w:shd w:val="clear" w:color="auto" w:fill="CCEEFF"/>
          </w:tcPr>
          <w:p>
            <w:pPr>
              <w:ind w:left="180"/>
              <w:spacing w:after="0" w:line="204" w:lineRule="exact"/>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9"/>
              </w:rPr>
              <w:t>3,752,146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4,833,652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 NET OF CURRENT PORTION (Note 7)</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1,108,883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COMMITMENTS AND CONTINGENCIES (Note 14)</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40" w:type="dxa"/>
            <w:vAlign w:val="bottom"/>
            <w:gridSpan w:val="2"/>
          </w:tcPr>
          <w:p>
            <w:pPr>
              <w:ind w:left="220"/>
              <w:spacing w:after="0" w:line="199" w:lineRule="exact"/>
              <w:rPr>
                <w:sz w:val="20"/>
                <w:szCs w:val="20"/>
                <w:color w:val="auto"/>
              </w:rPr>
            </w:pPr>
            <w:r>
              <w:rPr>
                <w:rFonts w:ascii="Arial" w:cs="Arial" w:eastAsia="Arial" w:hAnsi="Arial"/>
                <w:sz w:val="18"/>
                <w:szCs w:val="18"/>
                <w:color w:val="auto"/>
              </w:rPr>
              <w:t>Preferred stock, no par value; authorized 10,000 shares; none issued and</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 $0.02 par value per share; authorized 10,000,000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380"/>
              <w:spacing w:after="0"/>
              <w:rPr>
                <w:sz w:val="20"/>
                <w:szCs w:val="20"/>
                <w:color w:val="auto"/>
              </w:rPr>
            </w:pPr>
            <w:r>
              <w:rPr>
                <w:rFonts w:ascii="Arial" w:cs="Arial" w:eastAsia="Arial" w:hAnsi="Arial"/>
                <w:sz w:val="18"/>
                <w:szCs w:val="18"/>
                <w:color w:val="auto"/>
              </w:rPr>
              <w:t>shares; issued and outstanding 4,328,935 and 4,259,321, respectively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86,872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85,186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9,992,998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9,140,936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19,760,538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17,911,718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1,862,675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704,473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80" w:type="dxa"/>
            <w:vAlign w:val="bottom"/>
          </w:tcPr>
          <w:p>
            <w:pPr>
              <w:ind w:left="40"/>
              <w:spacing w:after="0" w:line="204" w:lineRule="exact"/>
              <w:rPr>
                <w:sz w:val="20"/>
                <w:szCs w:val="20"/>
                <w:color w:val="auto"/>
              </w:rPr>
            </w:pPr>
            <w:r>
              <w:rPr>
                <w:rFonts w:ascii="Arial" w:cs="Arial" w:eastAsia="Arial" w:hAnsi="Arial"/>
                <w:sz w:val="18"/>
                <w:szCs w:val="18"/>
                <w:color w:val="auto"/>
              </w:rPr>
              <w:t>Total stockholders’ equity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
              <w:spacing w:after="0" w:line="204" w:lineRule="exact"/>
              <w:rPr>
                <w:sz w:val="20"/>
                <w:szCs w:val="20"/>
                <w:color w:val="auto"/>
              </w:rPr>
            </w:pPr>
            <w:r>
              <w:rPr>
                <w:rFonts w:ascii="Arial" w:cs="Arial" w:eastAsia="Arial" w:hAnsi="Arial"/>
                <w:sz w:val="18"/>
                <w:szCs w:val="18"/>
                <w:color w:val="auto"/>
                <w:w w:val="88"/>
              </w:rPr>
              <w:t>31,703,083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86"/>
              </w:rPr>
              <w:t>27,842,313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71,491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80" w:type="dxa"/>
            <w:vAlign w:val="bottom"/>
          </w:tcPr>
          <w:p>
            <w:pPr>
              <w:ind w:left="40"/>
              <w:spacing w:after="0" w:line="204" w:lineRule="exact"/>
              <w:rPr>
                <w:sz w:val="20"/>
                <w:szCs w:val="20"/>
                <w:color w:val="auto"/>
              </w:rPr>
            </w:pPr>
            <w:r>
              <w:rPr>
                <w:rFonts w:ascii="Arial" w:cs="Arial" w:eastAsia="Arial" w:hAnsi="Arial"/>
                <w:sz w:val="18"/>
                <w:szCs w:val="18"/>
                <w:color w:val="auto"/>
              </w:rPr>
              <w:t>Total equity</w:t>
            </w:r>
          </w:p>
        </w:tc>
        <w:tc>
          <w:tcPr>
            <w:tcW w:w="1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
              <w:spacing w:after="0" w:line="204" w:lineRule="exact"/>
              <w:rPr>
                <w:sz w:val="20"/>
                <w:szCs w:val="20"/>
                <w:color w:val="auto"/>
              </w:rPr>
            </w:pPr>
            <w:r>
              <w:rPr>
                <w:rFonts w:ascii="Arial" w:cs="Arial" w:eastAsia="Arial" w:hAnsi="Arial"/>
                <w:sz w:val="18"/>
                <w:szCs w:val="18"/>
                <w:color w:val="auto"/>
                <w:w w:val="88"/>
              </w:rPr>
              <w:t>31,774,574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w w:val="86"/>
              </w:rPr>
              <w:t>27,863,648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80" w:type="dxa"/>
            <w:vAlign w:val="bottom"/>
            <w:shd w:val="clear" w:color="auto" w:fill="CCEEFF"/>
          </w:tcPr>
          <w:p>
            <w:pPr>
              <w:ind w:left="4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1220" w:type="dxa"/>
            <w:vAlign w:val="bottom"/>
            <w:gridSpan w:val="2"/>
            <w:shd w:val="clear" w:color="auto" w:fill="CCEEFF"/>
          </w:tcPr>
          <w:p>
            <w:pPr>
              <w:ind w:left="108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36,635,603</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32,697,300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2011 AND 2010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4"/>
        </w:trPr>
        <w:tc>
          <w:tcPr>
            <w:tcW w:w="6040" w:type="dxa"/>
            <w:vAlign w:val="bottom"/>
            <w:gridSpan w:val="2"/>
          </w:tcPr>
          <w:p>
            <w:pPr>
              <w:spacing w:after="0" w:line="204" w:lineRule="exact"/>
              <w:rPr>
                <w:sz w:val="20"/>
                <w:szCs w:val="20"/>
                <w:color w:val="auto"/>
              </w:rPr>
            </w:pPr>
            <w:r>
              <w:rPr>
                <w:rFonts w:ascii="Arial" w:cs="Arial" w:eastAsia="Arial" w:hAnsi="Arial"/>
                <w:sz w:val="18"/>
                <w:szCs w:val="18"/>
                <w:color w:val="auto"/>
              </w:rPr>
              <w:t>NET SALES: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sales, excluding joint ventures</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4,093,107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2,548,009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7,539,410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4,730,253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Net sales, to joint ventures</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685,011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328,469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1,337,149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857,627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20" w:type="dxa"/>
            <w:vAlign w:val="bottom"/>
            <w:shd w:val="clear" w:color="auto" w:fill="CCEEFF"/>
          </w:tcPr>
          <w:p>
            <w:pPr>
              <w:ind w:left="560"/>
              <w:spacing w:after="0" w:line="204" w:lineRule="exact"/>
              <w:rPr>
                <w:sz w:val="20"/>
                <w:szCs w:val="20"/>
                <w:color w:val="auto"/>
              </w:rPr>
            </w:pPr>
            <w:r>
              <w:rPr>
                <w:rFonts w:ascii="Arial" w:cs="Arial" w:eastAsia="Arial" w:hAnsi="Arial"/>
                <w:sz w:val="18"/>
                <w:szCs w:val="18"/>
                <w:color w:val="auto"/>
              </w:rPr>
              <w:t>Total net sales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4,778,118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2,876,478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8,876,559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5,587,880</w:t>
            </w:r>
          </w:p>
        </w:tc>
        <w:tc>
          <w:tcPr>
            <w:tcW w:w="0" w:type="dxa"/>
            <w:vAlign w:val="bottom"/>
          </w:tcPr>
          <w:p>
            <w:pPr>
              <w:spacing w:after="0"/>
              <w:rPr>
                <w:sz w:val="1"/>
                <w:szCs w:val="1"/>
                <w:color w:val="auto"/>
              </w:rPr>
            </w:pPr>
          </w:p>
        </w:tc>
      </w:tr>
      <w:tr>
        <w:trPr>
          <w:trHeight w:val="211"/>
        </w:trPr>
        <w:tc>
          <w:tcPr>
            <w:tcW w:w="60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3,006,232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1,840,647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5,696,937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3,598,143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20" w:type="dxa"/>
            <w:vAlign w:val="bottom"/>
          </w:tcPr>
          <w:p>
            <w:pPr>
              <w:ind w:left="200"/>
              <w:spacing w:after="0" w:line="204" w:lineRule="exact"/>
              <w:rPr>
                <w:sz w:val="20"/>
                <w:szCs w:val="20"/>
                <w:color w:val="auto"/>
              </w:rPr>
            </w:pPr>
            <w:r>
              <w:rPr>
                <w:rFonts w:ascii="Arial" w:cs="Arial" w:eastAsia="Arial" w:hAnsi="Arial"/>
                <w:sz w:val="18"/>
                <w:szCs w:val="18"/>
                <w:color w:val="auto"/>
              </w:rPr>
              <w:t>Gross profit</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1,771,886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1,035,831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3,179,622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1,989,737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in income of joint ventures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1,129,659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691,687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2,824,790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1,397,586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Fees for services provided to joint ventures</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1,402,149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1,149,338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2,853,929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2,301,268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20" w:type="dxa"/>
            <w:vAlign w:val="bottom"/>
            <w:shd w:val="clear" w:color="auto" w:fill="CCEEFF"/>
          </w:tcPr>
          <w:p>
            <w:pPr>
              <w:ind w:left="540"/>
              <w:spacing w:after="0" w:line="204" w:lineRule="exact"/>
              <w:rPr>
                <w:sz w:val="20"/>
                <w:szCs w:val="20"/>
                <w:color w:val="auto"/>
              </w:rPr>
            </w:pPr>
            <w:r>
              <w:rPr>
                <w:rFonts w:ascii="Arial" w:cs="Arial" w:eastAsia="Arial" w:hAnsi="Arial"/>
                <w:sz w:val="18"/>
                <w:szCs w:val="18"/>
                <w:color w:val="auto"/>
              </w:rPr>
              <w:t>Total joint venture operations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2,531,808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1,841,025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5,678,719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3,698,854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Selling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921,554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587,753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1,920,607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1,184,522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1,069,636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839,235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2,173,803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1,759,264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Expenses incurred in support of joint ventures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249,275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229,474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477,996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474,384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907,170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954,042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2,100,626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1,565,698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020" w:type="dxa"/>
            <w:vAlign w:val="bottom"/>
          </w:tcPr>
          <w:p>
            <w:pPr>
              <w:ind w:left="560"/>
              <w:spacing w:after="0" w:line="205" w:lineRule="exact"/>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7"/>
              </w:rPr>
              <w:t>3,147,635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7"/>
              </w:rPr>
              <w:t>2,610,504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7"/>
              </w:rPr>
              <w:t>6,673,032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7"/>
              </w:rPr>
              <w:t>4,983,868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1,156,059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266,352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2,185,309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704,723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(49,770)</w:t>
            </w:r>
          </w:p>
        </w:tc>
        <w:tc>
          <w:tcPr>
            <w:tcW w:w="0" w:type="dxa"/>
            <w:vAlign w:val="bottom"/>
          </w:tcPr>
          <w:p>
            <w:pPr>
              <w:spacing w:after="0"/>
              <w:rPr>
                <w:sz w:val="1"/>
                <w:szCs w:val="1"/>
                <w:color w:val="auto"/>
              </w:rPr>
            </w:pPr>
          </w:p>
        </w:tc>
      </w:tr>
      <w:tr>
        <w:trPr>
          <w:trHeight w:val="211"/>
        </w:trPr>
        <w:tc>
          <w:tcPr>
            <w:tcW w:w="6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13,650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1,141,219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252,641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2,158,093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673,346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262,000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1,001,219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346,641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1,896,093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782,346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gridSpan w:val="2"/>
          </w:tcPr>
          <w:p>
            <w:pPr>
              <w:spacing w:after="0"/>
              <w:rPr>
                <w:sz w:val="20"/>
                <w:szCs w:val="20"/>
                <w:color w:val="auto"/>
              </w:rPr>
            </w:pPr>
            <w:r>
              <w:rPr>
                <w:rFonts w:ascii="Arial" w:cs="Arial" w:eastAsia="Arial" w:hAnsi="Arial"/>
                <w:sz w:val="18"/>
                <w:szCs w:val="18"/>
                <w:color w:val="auto"/>
              </w:rPr>
              <w:t>NET INCOME ATTRIBUTABLE TO NON CONTROLLING INTEREST</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52,180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47,273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949,039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346,641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1,848,820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782,346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6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020" w:type="dxa"/>
            <w:vAlign w:val="bottom"/>
          </w:tcPr>
          <w:p>
            <w:pPr>
              <w:spacing w:after="0" w:line="190" w:lineRule="exact"/>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0.22</w:t>
            </w:r>
          </w:p>
        </w:tc>
        <w:tc>
          <w:tcPr>
            <w:tcW w:w="10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0.08</w:t>
            </w:r>
          </w:p>
        </w:tc>
        <w:tc>
          <w:tcPr>
            <w:tcW w:w="30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0.42</w:t>
            </w:r>
          </w:p>
        </w:tc>
        <w:tc>
          <w:tcPr>
            <w:tcW w:w="280" w:type="dxa"/>
            <w:vAlign w:val="bottom"/>
            <w:gridSpan w:val="2"/>
          </w:tcPr>
          <w:p>
            <w:pPr>
              <w:ind w:left="100"/>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0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ASSUMED OUTSTANDING:</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4,340,934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4,240,679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4,281,399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4,194,887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w:t>
            </w: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97"/>
              </w:rPr>
              <w:t>4,419,921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97"/>
              </w:rPr>
              <w:t>4,286,372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97"/>
              </w:rPr>
              <w:t>4,351,177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97"/>
              </w:rPr>
              <w:t>4,225,907</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4" w:name="page5"/>
    <w:bookmarkEnd w:id="4"/>
    <w:p>
      <w:pPr>
        <w:ind w:right="4320"/>
        <w:spacing w:after="0" w:line="257"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SIX MONTHS ENDED FEBRUARY 28, 2011 AND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6" w:lineRule="exact"/>
              <w:rPr>
                <w:sz w:val="20"/>
                <w:szCs w:val="20"/>
                <w:color w:val="auto"/>
              </w:rPr>
            </w:pPr>
            <w:r>
              <w:rPr>
                <w:rFonts w:ascii="Arial" w:cs="Arial" w:eastAsia="Arial" w:hAnsi="Arial"/>
                <w:sz w:val="18"/>
                <w:szCs w:val="18"/>
                <w:b w:val="1"/>
                <w:bCs w:val="1"/>
                <w:color w:val="auto"/>
                <w:w w:val="98"/>
              </w:rPr>
              <w:t>February 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line="204"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1,896,093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782,346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Expensing of fair value of stock options vested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168,810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189,072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77,144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Equity in income from joint ventures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(2,824,790)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(1,397,586)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Gain on sale of property and equipment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Changes in current assets and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920"/>
              <w:spacing w:after="0"/>
              <w:rPr>
                <w:sz w:val="20"/>
                <w:szCs w:val="20"/>
                <w:color w:val="auto"/>
              </w:rPr>
            </w:pPr>
            <w:r>
              <w:rPr>
                <w:rFonts w:ascii="Arial" w:cs="Arial" w:eastAsia="Arial" w:hAnsi="Arial"/>
                <w:sz w:val="18"/>
                <w:szCs w:val="18"/>
                <w:color w:val="auto"/>
              </w:rPr>
              <w:t>Trade, excluding joint ventures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(479,378)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Trade, joint ventures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(555,298)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920"/>
              <w:spacing w:after="0"/>
              <w:rPr>
                <w:sz w:val="20"/>
                <w:szCs w:val="20"/>
                <w:color w:val="auto"/>
              </w:rPr>
            </w:pPr>
            <w:r>
              <w:rPr>
                <w:rFonts w:ascii="Arial" w:cs="Arial" w:eastAsia="Arial" w:hAnsi="Arial"/>
                <w:sz w:val="18"/>
                <w:szCs w:val="18"/>
                <w:color w:val="auto"/>
              </w:rPr>
              <w:t>Fees for services receivables, joint ventures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114,464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(479,384)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561,391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Income tax payable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149,863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76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338,515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40" w:type="dxa"/>
            <w:vAlign w:val="bottom"/>
            <w:shd w:val="clear" w:color="auto" w:fill="CCEEFF"/>
          </w:tcPr>
          <w:p>
            <w:pPr>
              <w:ind w:left="920"/>
              <w:spacing w:after="0" w:line="204"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(2,416,393)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3"/>
              </w:rPr>
              <w:t>(1,286,287)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Investment in joint ventures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received from joint ventures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2,195,506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269,801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Additions to property and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Additions to patents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40" w:type="dxa"/>
            <w:vAlign w:val="bottom"/>
            <w:shd w:val="clear" w:color="auto" w:fill="CCEEFF"/>
          </w:tcPr>
          <w:p>
            <w:pPr>
              <w:ind w:left="920"/>
              <w:spacing w:after="0" w:line="204" w:lineRule="exact"/>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2,092,028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Repayment of note payable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repayments made on line of credit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(1,077,000)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Proceeds from the issuance of common stock</w:t>
            </w: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3,552,000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purchase plan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406,474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40" w:type="dxa"/>
            <w:vAlign w:val="bottom"/>
            <w:tcBorders>
              <w:bottom w:val="single" w:sz="8" w:color="CCEEFF"/>
            </w:tcBorders>
            <w:shd w:val="clear" w:color="auto" w:fill="CCEEFF"/>
          </w:tcPr>
          <w:p>
            <w:pPr>
              <w:ind w:left="920"/>
              <w:spacing w:after="0" w:line="204"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403,009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9"/>
              </w:rPr>
              <w:t>2,483,769</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91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1,195,504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1,776,162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138,885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1,864,215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1,334,389</w:t>
            </w:r>
          </w:p>
        </w:tc>
        <w:tc>
          <w:tcPr>
            <w:tcW w:w="0" w:type="dxa"/>
            <w:vAlign w:val="bottom"/>
          </w:tcPr>
          <w:p>
            <w:pPr>
              <w:spacing w:after="0"/>
              <w:rPr>
                <w:sz w:val="1"/>
                <w:szCs w:val="1"/>
                <w:color w:val="auto"/>
              </w:rPr>
            </w:pPr>
          </w:p>
        </w:tc>
      </w:tr>
      <w:tr>
        <w:trPr>
          <w:trHeight w:val="401"/>
        </w:trPr>
        <w:tc>
          <w:tcPr>
            <w:tcW w:w="916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9160" w:type="dxa"/>
            <w:vAlign w:val="bottom"/>
            <w:gridSpan w:val="2"/>
          </w:tcPr>
          <w:p>
            <w:pPr>
              <w:jc w:val="right"/>
              <w:ind w:right="3312"/>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9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5" w:name="page6"/>
    <w:bookmarkEnd w:id="5"/>
    <w:p>
      <w:pPr>
        <w:ind w:right="4320"/>
        <w:spacing w:after="0" w:line="333" w:lineRule="auto"/>
        <w:rPr>
          <w:sz w:val="20"/>
          <w:szCs w:val="20"/>
          <w:color w:val="auto"/>
        </w:rPr>
      </w:pPr>
      <w:r>
        <w:rPr>
          <w:rFonts w:ascii="Arial" w:cs="Arial" w:eastAsia="Arial" w:hAnsi="Arial"/>
          <w:sz w:val="16"/>
          <w:szCs w:val="16"/>
          <w:b w:val="1"/>
          <w:bCs w:val="1"/>
          <w:color w:val="auto"/>
        </w:rPr>
        <w:t>NORTHERN TECHNOLOGIES INTERNATIONAL CORPORATION AND SUBSIDIARIES NOTES TO CONSOLIDATED FINANCIAL STATEMENTS (UNAUDITED)</w:t>
      </w:r>
    </w:p>
    <w:p>
      <w:pPr>
        <w:spacing w:after="0" w:line="149" w:lineRule="exact"/>
        <w:rPr>
          <w:sz w:val="20"/>
          <w:szCs w:val="20"/>
          <w:color w:val="auto"/>
        </w:rPr>
      </w:pPr>
    </w:p>
    <w:p>
      <w:pPr>
        <w:ind w:left="620" w:hanging="615"/>
        <w:spacing w:after="0"/>
        <w:tabs>
          <w:tab w:leader="none" w:pos="6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4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2011 and the results of their operations for the three and six months ended February 28, 2011 and February 28, 2010 and their cash flows for the six months ended February 28, 2011 and February 28, 2010, in conformity with accounting principles generally accepted in the United States of America (“U.S. GAAP”).</w:t>
      </w:r>
    </w:p>
    <w:p>
      <w:pPr>
        <w:spacing w:after="0" w:line="21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 The Company has reclassified various line items in the consolidated statements of operations to better provide the results of its joint ventures, as well as its North American operations. These reclassifications changed the Company’s operating income, but did not impact its net income or net income per common share.</w:t>
      </w:r>
    </w:p>
    <w:p>
      <w:pPr>
        <w:spacing w:after="0" w:line="218"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2010. These consolidated financial statements also should be read in conjunction with the “Management’s Discussion and Analysis of Financial Condition and Results of Operations” section appearing in this report.</w:t>
      </w:r>
    </w:p>
    <w:p>
      <w:pPr>
        <w:spacing w:after="0" w:line="18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Operating results for the three and six months ended February 28, 2011 are not necessarily indicative of the results that may be expected for the full fiscal year ending August 31, 2011.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events occurring after the date of the consolidated financial statements requiring recording or disclosure in the financial statements.</w:t>
      </w:r>
    </w:p>
    <w:p>
      <w:pPr>
        <w:spacing w:after="0" w:line="258" w:lineRule="exact"/>
        <w:rPr>
          <w:sz w:val="20"/>
          <w:szCs w:val="20"/>
          <w:color w:val="auto"/>
        </w:rPr>
      </w:pPr>
    </w:p>
    <w:p>
      <w:pPr>
        <w:ind w:left="620" w:hanging="615"/>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ZERUST BRAZIL</w:t>
      </w:r>
    </w:p>
    <w:p>
      <w:pPr>
        <w:spacing w:after="0" w:line="24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Beginning in the fourth quarter of fiscal 2010, the Company consolidated the results of Zerust Prevenção de Corrosão S.A., the Company’s subsidiary in Brazil (“Zerust Brazil”). The Company holds 85% of the equity and 85% of the voting rights of Zerust Brazil. Prior to the fourth quarter of fiscal 2010 and as of February 28, 2010, the Company accounted for its Zerust Brazil investment under the equity method. The Company owned only 50%, which it considered to be less than a majority, of the equity and voting rights of Zerust Brazil prior to September 2006. The Company acquired an additional 35% ownership interest in Zerust Brazil in September 2006 and held 85% of the equity and voting rights thereafter. Prior to the fourth quarter of fiscal 2010, the Company held the additional 35% ownership interest in Zerust Brazil with the intent of finding an acquiring party, believing its majority control of Zerust Brazil would be temporary and determined not to consolidate Zerust Brazil because the impact on the Company’s consolidated financial statements was immaterial. During the fourth quarter of fiscal 2010, the Company stopped pursuing a buyer of the 35% ownership interest and decided to consolidate the financial results of Zerust Brazil as of and for the fiscal year ended August 31, 2010. The Company believes that the impact of not consolidating Zerust Brazil on the Company’s consolidated financial statements for periods prior to the fourth quarter of fiscal 2010 was immaterial to the Company’s consolidated financial statements.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6" w:name="page7"/>
    <w:bookmarkEnd w:id="6"/>
    <w:p>
      <w:pPr>
        <w:ind w:right="260"/>
        <w:spacing w:after="0" w:line="253" w:lineRule="auto"/>
        <w:rPr>
          <w:sz w:val="20"/>
          <w:szCs w:val="20"/>
          <w:color w:val="auto"/>
        </w:rPr>
      </w:pPr>
      <w:r>
        <w:rPr>
          <w:rFonts w:ascii="Arial" w:cs="Arial" w:eastAsia="Arial" w:hAnsi="Arial"/>
          <w:sz w:val="18"/>
          <w:szCs w:val="18"/>
          <w:color w:val="auto"/>
        </w:rPr>
        <w:t>The following is a summary of certain line items of the Company’s consolidated statements of operations for the three months ended February 28, 2010 as reported and on a pro forma basis, assuming the consolidation of Zerust Brazil on the Company’s consolidated financial statements as of the beginning of such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Zerust</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88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2,876,478</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459,886</w:t>
            </w:r>
          </w:p>
        </w:tc>
        <w:tc>
          <w:tcPr>
            <w:tcW w:w="4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(16,049)</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3,320,315</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1,840,647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333,278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2,157,876</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1,035,831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126,608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1,162,439</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1,841,025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1,887,382</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2,610,504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2,787,570</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266,352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262,251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244,461</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338,461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346,641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r>
    </w:tbl>
    <w:p>
      <w:pPr>
        <w:spacing w:after="0" w:line="225" w:lineRule="exact"/>
        <w:rPr>
          <w:sz w:val="20"/>
          <w:szCs w:val="20"/>
          <w:color w:val="auto"/>
        </w:rPr>
      </w:pPr>
    </w:p>
    <w:p>
      <w:pPr>
        <w:ind w:right="80"/>
        <w:spacing w:after="0" w:line="363" w:lineRule="auto"/>
        <w:rPr>
          <w:sz w:val="20"/>
          <w:szCs w:val="20"/>
          <w:color w:val="auto"/>
        </w:rPr>
      </w:pPr>
      <w:r>
        <w:rPr>
          <w:rFonts w:ascii="Arial" w:cs="Arial" w:eastAsia="Arial" w:hAnsi="Arial"/>
          <w:sz w:val="15"/>
          <w:szCs w:val="15"/>
          <w:color w:val="auto"/>
        </w:rPr>
        <w:t>The following is a summary of certain line items of the Company’s consolidated statements of operations for the six months ended February 28, 2010 as reported and on a pro forma basis, assuming the consolidation of Zerust Brazil on the Company’s consolidated financial statements as of the beginning of such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Zerust</w:t>
            </w:r>
          </w:p>
        </w:tc>
        <w:tc>
          <w:tcPr>
            <w:tcW w:w="1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6"/>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Brazil</w:t>
            </w:r>
          </w:p>
        </w:tc>
        <w:tc>
          <w:tcPr>
            <w:tcW w:w="16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8"/>
                <w:szCs w:val="18"/>
                <w:b w:val="1"/>
                <w:bCs w:val="1"/>
                <w:color w:val="auto"/>
                <w:w w:val="91"/>
              </w:rPr>
              <w:t>Pro Forma</w:t>
            </w:r>
          </w:p>
        </w:tc>
      </w:tr>
      <w:tr>
        <w:trPr>
          <w:trHeight w:val="204"/>
        </w:trPr>
        <w:tc>
          <w:tcPr>
            <w:tcW w:w="68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5,587,880</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961,332</w:t>
            </w:r>
          </w:p>
        </w:tc>
        <w:tc>
          <w:tcPr>
            <w:tcW w:w="34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(31,872)</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6,517,340</w:t>
            </w:r>
          </w:p>
        </w:tc>
      </w:tr>
      <w:tr>
        <w:trPr>
          <w:trHeight w:val="211"/>
        </w:trPr>
        <w:tc>
          <w:tcPr>
            <w:tcW w:w="68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3,598,143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526,989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4,093,260</w:t>
            </w:r>
          </w:p>
        </w:tc>
      </w:tr>
      <w:tr>
        <w:trPr>
          <w:trHeight w:val="211"/>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1,989,737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434,343</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2,424,080</w:t>
            </w:r>
          </w:p>
        </w:tc>
      </w:tr>
      <w:tr>
        <w:trPr>
          <w:trHeight w:val="211"/>
        </w:trPr>
        <w:tc>
          <w:tcPr>
            <w:tcW w:w="688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3,698,854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3,741,951</w:t>
            </w:r>
          </w:p>
        </w:tc>
      </w:tr>
      <w:tr>
        <w:trPr>
          <w:trHeight w:val="211"/>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4,983,868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486,052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5,469,920</w:t>
            </w:r>
          </w:p>
        </w:tc>
      </w:tr>
      <w:tr>
        <w:trPr>
          <w:trHeight w:val="211"/>
        </w:trPr>
        <w:tc>
          <w:tcPr>
            <w:tcW w:w="6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704,723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696,111</w:t>
            </w:r>
          </w:p>
        </w:tc>
      </w:tr>
      <w:tr>
        <w:trPr>
          <w:trHeight w:val="211"/>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673,346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665,741</w:t>
            </w:r>
          </w:p>
        </w:tc>
      </w:tr>
      <w:tr>
        <w:trPr>
          <w:trHeight w:val="211"/>
        </w:trPr>
        <w:tc>
          <w:tcPr>
            <w:tcW w:w="6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782,346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774,741</w:t>
            </w:r>
          </w:p>
        </w:tc>
      </w:tr>
      <w:tr>
        <w:trPr>
          <w:trHeight w:val="211"/>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r>
      <w:tr>
        <w:trPr>
          <w:trHeight w:val="211"/>
        </w:trPr>
        <w:tc>
          <w:tcPr>
            <w:tcW w:w="688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782,346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782,346</w:t>
            </w:r>
          </w:p>
        </w:tc>
      </w:tr>
      <w:tr>
        <w:trPr>
          <w:trHeight w:val="211"/>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r>
        <w:trPr>
          <w:trHeight w:val="448"/>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650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8"/>
        </w:trPr>
        <w:tc>
          <w:tcPr>
            <w:tcW w:w="68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1"/>
        </w:trPr>
        <w:tc>
          <w:tcPr>
            <w:tcW w:w="3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89"/>
              </w:rPr>
              <w:t>February 28,</w:t>
            </w:r>
          </w:p>
        </w:tc>
        <w:tc>
          <w:tcPr>
            <w:tcW w:w="100" w:type="dxa"/>
            <w:vAlign w:val="bottom"/>
          </w:tcPr>
          <w:p>
            <w:pPr>
              <w:spacing w:after="0"/>
              <w:rPr>
                <w:sz w:val="24"/>
                <w:szCs w:val="24"/>
                <w:color w:val="auto"/>
              </w:rPr>
            </w:pPr>
          </w:p>
        </w:tc>
        <w:tc>
          <w:tcPr>
            <w:tcW w:w="100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6"/>
              </w:rPr>
              <w:t>August 31,</w:t>
            </w:r>
          </w:p>
        </w:tc>
      </w:tr>
      <w:tr>
        <w:trPr>
          <w:trHeight w:val="229"/>
        </w:trPr>
        <w:tc>
          <w:tcPr>
            <w:tcW w:w="3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9"/>
              </w:rPr>
              <w:t>2010</w:t>
            </w:r>
          </w:p>
        </w:tc>
      </w:tr>
      <w:tr>
        <w:trPr>
          <w:trHeight w:val="204"/>
        </w:trPr>
        <w:tc>
          <w:tcPr>
            <w:tcW w:w="68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Production materials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97"/>
              </w:rPr>
              <w:t>1,201,247</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1,184,988</w:t>
            </w:r>
          </w:p>
        </w:tc>
      </w:tr>
      <w:tr>
        <w:trPr>
          <w:trHeight w:val="211"/>
        </w:trPr>
        <w:tc>
          <w:tcPr>
            <w:tcW w:w="68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2,946,243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2"/>
              </w:rPr>
              <w:t>2,449,181</w:t>
            </w:r>
          </w:p>
        </w:tc>
      </w:tr>
      <w:tr>
        <w:trPr>
          <w:trHeight w:val="224"/>
        </w:trPr>
        <w:tc>
          <w:tcPr>
            <w:tcW w:w="380" w:type="dxa"/>
            <w:vAlign w:val="bottom"/>
            <w:shd w:val="clear" w:color="auto" w:fill="CCEEFF"/>
          </w:tcPr>
          <w:p>
            <w:pPr>
              <w:spacing w:after="0"/>
              <w:rPr>
                <w:sz w:val="19"/>
                <w:szCs w:val="19"/>
                <w:color w:val="auto"/>
              </w:rPr>
            </w:pPr>
          </w:p>
        </w:tc>
        <w:tc>
          <w:tcPr>
            <w:tcW w:w="6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52"/>
              <w:spacing w:after="0" w:line="204" w:lineRule="exact"/>
              <w:rPr>
                <w:sz w:val="20"/>
                <w:szCs w:val="20"/>
                <w:color w:val="auto"/>
              </w:rPr>
            </w:pPr>
            <w:r>
              <w:rPr>
                <w:rFonts w:ascii="Arial" w:cs="Arial" w:eastAsia="Arial" w:hAnsi="Arial"/>
                <w:sz w:val="18"/>
                <w:szCs w:val="18"/>
                <w:color w:val="auto"/>
                <w:w w:val="97"/>
              </w:rPr>
              <w:t>4,147,490</w:t>
            </w:r>
          </w:p>
        </w:tc>
        <w:tc>
          <w:tcPr>
            <w:tcW w:w="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3,639,169</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19" w:lineRule="exact"/>
        <w:rPr>
          <w:sz w:val="20"/>
          <w:szCs w:val="20"/>
          <w:color w:val="auto"/>
        </w:rPr>
      </w:pPr>
    </w:p>
    <w:p>
      <w:pPr>
        <w:ind w:left="620" w:hanging="615"/>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1"/>
        </w:trPr>
        <w:tc>
          <w:tcPr>
            <w:tcW w:w="5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8"/>
                <w:szCs w:val="18"/>
                <w:color w:val="auto"/>
              </w:rPr>
            </w:pPr>
          </w:p>
        </w:tc>
        <w:tc>
          <w:tcPr>
            <w:tcW w:w="102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86"/>
              </w:rPr>
              <w:t>August 31,</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2010</w:t>
            </w:r>
          </w:p>
        </w:tc>
        <w:tc>
          <w:tcPr>
            <w:tcW w:w="0" w:type="dxa"/>
            <w:vAlign w:val="bottom"/>
          </w:tcPr>
          <w:p>
            <w:pPr>
              <w:spacing w:after="0"/>
              <w:rPr>
                <w:sz w:val="1"/>
                <w:szCs w:val="1"/>
                <w:color w:val="auto"/>
              </w:rPr>
            </w:pPr>
          </w:p>
        </w:tc>
      </w:tr>
      <w:tr>
        <w:trPr>
          <w:trHeight w:val="204"/>
        </w:trPr>
        <w:tc>
          <w:tcPr>
            <w:tcW w:w="5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Land</w:t>
            </w:r>
          </w:p>
        </w:tc>
        <w:tc>
          <w:tcPr>
            <w:tcW w:w="87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310,365</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1"/>
        </w:trPr>
        <w:tc>
          <w:tcPr>
            <w:tcW w:w="920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3,110,866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3,099,186</w:t>
            </w:r>
          </w:p>
        </w:tc>
        <w:tc>
          <w:tcPr>
            <w:tcW w:w="0" w:type="dxa"/>
            <w:vAlign w:val="bottom"/>
          </w:tcPr>
          <w:p>
            <w:pPr>
              <w:spacing w:after="0"/>
              <w:rPr>
                <w:sz w:val="1"/>
                <w:szCs w:val="1"/>
                <w:color w:val="auto"/>
              </w:rPr>
            </w:pPr>
          </w:p>
        </w:tc>
      </w:tr>
      <w:tr>
        <w:trPr>
          <w:trHeight w:val="211"/>
        </w:trPr>
        <w:tc>
          <w:tcPr>
            <w:tcW w:w="92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1,768,250</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1,717,625</w:t>
            </w: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9"/>
              </w:rPr>
              <w:t>5,189,481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5,127,176</w:t>
            </w:r>
          </w:p>
        </w:tc>
        <w:tc>
          <w:tcPr>
            <w:tcW w:w="0" w:type="dxa"/>
            <w:vAlign w:val="bottom"/>
          </w:tcPr>
          <w:p>
            <w:pPr>
              <w:spacing w:after="0"/>
              <w:rPr>
                <w:sz w:val="1"/>
                <w:szCs w:val="1"/>
                <w:color w:val="auto"/>
              </w:rPr>
            </w:pPr>
          </w:p>
        </w:tc>
      </w:tr>
      <w:tr>
        <w:trPr>
          <w:trHeight w:val="211"/>
        </w:trPr>
        <w:tc>
          <w:tcPr>
            <w:tcW w:w="92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(1,831,099)</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(1,674,646)</w:t>
            </w: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3,358,382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3,452,530</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87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PATENTS AND TRADEMARKS,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00" w:type="dxa"/>
            <w:vAlign w:val="bottom"/>
            <w:vMerge w:val="continue"/>
          </w:tcPr>
          <w:p>
            <w:pPr>
              <w:spacing w:after="0"/>
              <w:rPr>
                <w:sz w:val="24"/>
                <w:szCs w:val="24"/>
                <w:color w:val="auto"/>
              </w:rPr>
            </w:pPr>
          </w:p>
        </w:tc>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92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0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24"/>
                <w:szCs w:val="24"/>
                <w:color w:val="auto"/>
              </w:rPr>
            </w:pPr>
          </w:p>
        </w:tc>
        <w:tc>
          <w:tcPr>
            <w:tcW w:w="102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6"/>
              </w:rPr>
              <w:t>August 31,</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9"/>
              </w:rPr>
              <w:t>2010</w:t>
            </w:r>
          </w:p>
        </w:tc>
        <w:tc>
          <w:tcPr>
            <w:tcW w:w="0" w:type="dxa"/>
            <w:vAlign w:val="bottom"/>
          </w:tcPr>
          <w:p>
            <w:pPr>
              <w:spacing w:after="0"/>
              <w:rPr>
                <w:sz w:val="1"/>
                <w:szCs w:val="1"/>
                <w:color w:val="auto"/>
              </w:rPr>
            </w:pPr>
          </w:p>
        </w:tc>
      </w:tr>
      <w:tr>
        <w:trPr>
          <w:trHeight w:val="204"/>
        </w:trPr>
        <w:tc>
          <w:tcPr>
            <w:tcW w:w="9200" w:type="dxa"/>
            <w:vAlign w:val="bottom"/>
            <w:tcBorders>
              <w:right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Patents and trademarks</w:t>
            </w:r>
          </w:p>
        </w:tc>
        <w:tc>
          <w:tcPr>
            <w:tcW w:w="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rPr>
              <w:t>955,742</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1,610,674</w:t>
            </w:r>
          </w:p>
        </w:tc>
        <w:tc>
          <w:tcPr>
            <w:tcW w:w="0" w:type="dxa"/>
            <w:vAlign w:val="bottom"/>
          </w:tcPr>
          <w:p>
            <w:pPr>
              <w:spacing w:after="0"/>
              <w:rPr>
                <w:sz w:val="1"/>
                <w:szCs w:val="1"/>
                <w:color w:val="auto"/>
              </w:rPr>
            </w:pPr>
          </w:p>
        </w:tc>
      </w:tr>
      <w:tr>
        <w:trPr>
          <w:trHeight w:val="211"/>
        </w:trPr>
        <w:tc>
          <w:tcPr>
            <w:tcW w:w="92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(697,956)</w:t>
            </w:r>
          </w:p>
        </w:tc>
        <w:tc>
          <w:tcPr>
            <w:tcW w:w="0" w:type="dxa"/>
            <w:vAlign w:val="bottom"/>
          </w:tcPr>
          <w:p>
            <w:pPr>
              <w:spacing w:after="0"/>
              <w:rPr>
                <w:sz w:val="1"/>
                <w:szCs w:val="1"/>
                <w:color w:val="auto"/>
              </w:rPr>
            </w:pPr>
          </w:p>
        </w:tc>
      </w:tr>
      <w:tr>
        <w:trPr>
          <w:trHeight w:val="237"/>
        </w:trPr>
        <w:tc>
          <w:tcPr>
            <w:tcW w:w="500" w:type="dxa"/>
            <w:vAlign w:val="bottom"/>
            <w:shd w:val="clear" w:color="auto" w:fill="CCEEFF"/>
          </w:tcPr>
          <w:p>
            <w:pPr>
              <w:spacing w:after="0"/>
              <w:rPr>
                <w:sz w:val="20"/>
                <w:szCs w:val="20"/>
                <w:color w:val="auto"/>
              </w:rPr>
            </w:pPr>
          </w:p>
        </w:tc>
        <w:tc>
          <w:tcPr>
            <w:tcW w:w="87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877,018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912,718</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87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210" w:lineRule="exact"/>
        <w:rPr>
          <w:sz w:val="20"/>
          <w:szCs w:val="20"/>
          <w:color w:val="auto"/>
        </w:rPr>
      </w:pPr>
    </w:p>
    <w:p>
      <w:pPr>
        <w:ind w:left="620" w:hanging="615"/>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approximate U.S. GAAP in all material respects. All material profits recorded on sales from the Company to its joint ventures have been eliminated for financial reporting purposes.</w:t>
      </w:r>
    </w:p>
    <w:p>
      <w:pPr>
        <w:spacing w:after="0" w:line="219"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Financial information from the audited and unaudited financial statements of the Company’s joint venture in Germany, Excor Korrosionsschutz – Technologien und Produkte GmbH (“Germany”), the Company’s joint venture holding company in the Association of Southeast Asian Nations, or ASEAN, region, NTI ASEAN, LLC (“ASEAN”), and all of the Company’s other joint ventures, are summarized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February 28, 2011</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4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Borders>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2"/>
              <w:spacing w:after="0" w:line="205" w:lineRule="exact"/>
              <w:rPr>
                <w:sz w:val="20"/>
                <w:szCs w:val="20"/>
                <w:color w:val="auto"/>
              </w:rPr>
            </w:pPr>
            <w:r>
              <w:rPr>
                <w:rFonts w:ascii="Arial" w:cs="Arial" w:eastAsia="Arial" w:hAnsi="Arial"/>
                <w:sz w:val="18"/>
                <w:szCs w:val="18"/>
                <w:b w:val="1"/>
                <w:bCs w:val="1"/>
                <w:color w:val="auto"/>
                <w:w w:val="89"/>
              </w:rPr>
              <w:t>Germany</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49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310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$ 59,203,519</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18,452,213</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6"/>
              </w:rPr>
              <w:t>14,305,378</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26,445,928</w:t>
            </w:r>
          </w:p>
        </w:tc>
      </w:tr>
      <w:tr>
        <w:trPr>
          <w:trHeight w:val="211"/>
        </w:trPr>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3100" w:type="dxa"/>
            <w:vAlign w:val="bottom"/>
            <w:gridSpan w:val="2"/>
          </w:tcPr>
          <w:p>
            <w:pPr>
              <w:jc w:val="right"/>
              <w:ind w:right="32"/>
              <w:spacing w:after="0"/>
              <w:rPr>
                <w:sz w:val="20"/>
                <w:szCs w:val="20"/>
                <w:color w:val="auto"/>
              </w:rPr>
            </w:pPr>
            <w:r>
              <w:rPr>
                <w:rFonts w:ascii="Arial" w:cs="Arial" w:eastAsia="Arial" w:hAnsi="Arial"/>
                <w:sz w:val="18"/>
                <w:szCs w:val="18"/>
                <w:color w:val="auto"/>
              </w:rPr>
              <w:t>65,646,040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21,153,609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86"/>
              </w:rPr>
              <w:t>14,596,637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29,895,794</w:t>
            </w: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21,849,487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3,473,614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5,477,020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12,898,853</w:t>
            </w:r>
          </w:p>
        </w:tc>
      </w:tr>
      <w:tr>
        <w:trPr>
          <w:trHeight w:val="211"/>
        </w:trPr>
        <w:tc>
          <w:tcPr>
            <w:tcW w:w="4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100" w:type="dxa"/>
            <w:vAlign w:val="bottom"/>
            <w:gridSpan w:val="2"/>
          </w:tcPr>
          <w:p>
            <w:pPr>
              <w:jc w:val="right"/>
              <w:ind w:right="32"/>
              <w:spacing w:after="0"/>
              <w:rPr>
                <w:sz w:val="20"/>
                <w:szCs w:val="20"/>
                <w:color w:val="auto"/>
              </w:rPr>
            </w:pPr>
            <w:r>
              <w:rPr>
                <w:rFonts w:ascii="Arial" w:cs="Arial" w:eastAsia="Arial" w:hAnsi="Arial"/>
                <w:sz w:val="18"/>
                <w:szCs w:val="18"/>
                <w:color w:val="auto"/>
              </w:rPr>
              <w:t>4,106,460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901,663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3,204,797</w:t>
            </w: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1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39,690,093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17,679,995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8,217,954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13,792,144</w:t>
            </w:r>
          </w:p>
        </w:tc>
      </w:tr>
      <w:tr>
        <w:trPr>
          <w:trHeight w:val="199"/>
        </w:trPr>
        <w:tc>
          <w:tcPr>
            <w:tcW w:w="4920" w:type="dxa"/>
            <w:vAlign w:val="bottom"/>
          </w:tcPr>
          <w:p>
            <w:pPr>
              <w:spacing w:after="0" w:line="199" w:lineRule="exact"/>
              <w:rPr>
                <w:sz w:val="20"/>
                <w:szCs w:val="20"/>
                <w:color w:val="auto"/>
              </w:rPr>
            </w:pPr>
            <w:r>
              <w:rPr>
                <w:rFonts w:ascii="Arial" w:cs="Arial" w:eastAsia="Arial" w:hAnsi="Arial"/>
                <w:sz w:val="18"/>
                <w:szCs w:val="18"/>
                <w:color w:val="auto"/>
              </w:rPr>
              <w:t>Northern Technologies International Corporation’s share of</w:t>
            </w: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4920" w:type="dxa"/>
            <w:vAlign w:val="bottom"/>
          </w:tcPr>
          <w:p>
            <w:pPr>
              <w:ind w:left="140"/>
              <w:spacing w:after="0"/>
              <w:rPr>
                <w:sz w:val="20"/>
                <w:szCs w:val="20"/>
                <w:color w:val="auto"/>
              </w:rPr>
            </w:pPr>
            <w:r>
              <w:rPr>
                <w:rFonts w:ascii="Arial" w:cs="Arial" w:eastAsia="Arial" w:hAnsi="Arial"/>
                <w:sz w:val="18"/>
                <w:szCs w:val="18"/>
                <w:color w:val="auto"/>
              </w:rPr>
              <w:t>joint ventures’ equity</w:t>
            </w:r>
          </w:p>
        </w:tc>
        <w:tc>
          <w:tcPr>
            <w:tcW w:w="3100" w:type="dxa"/>
            <w:vAlign w:val="bottom"/>
            <w:gridSpan w:val="2"/>
          </w:tcPr>
          <w:p>
            <w:pPr>
              <w:jc w:val="right"/>
              <w:ind w:right="32"/>
              <w:spacing w:after="0"/>
              <w:rPr>
                <w:sz w:val="20"/>
                <w:szCs w:val="20"/>
                <w:color w:val="auto"/>
              </w:rPr>
            </w:pPr>
            <w:r>
              <w:rPr>
                <w:rFonts w:ascii="Arial" w:cs="Arial" w:eastAsia="Arial" w:hAnsi="Arial"/>
                <w:sz w:val="18"/>
                <w:szCs w:val="18"/>
                <w:color w:val="auto"/>
              </w:rPr>
              <w:t>$ 17,875,120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8,840,000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2,591,983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6,443,137</w:t>
            </w:r>
          </w:p>
        </w:tc>
      </w:tr>
      <w:tr>
        <w:trPr>
          <w:trHeight w:val="831"/>
        </w:trPr>
        <w:tc>
          <w:tcPr>
            <w:tcW w:w="4920" w:type="dxa"/>
            <w:vAlign w:val="bottom"/>
          </w:tcPr>
          <w:p>
            <w:pPr>
              <w:spacing w:after="0"/>
              <w:rPr>
                <w:sz w:val="24"/>
                <w:szCs w:val="24"/>
                <w:color w:val="auto"/>
              </w:rPr>
            </w:pPr>
          </w:p>
        </w:tc>
        <w:tc>
          <w:tcPr>
            <w:tcW w:w="2060" w:type="dxa"/>
            <w:vAlign w:val="bottom"/>
          </w:tcPr>
          <w:p>
            <w:pPr>
              <w:jc w:val="right"/>
              <w:ind w:right="1132"/>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4920" w:type="dxa"/>
            <w:vAlign w:val="bottom"/>
            <w:tcBorders>
              <w:bottom w:val="single" w:sz="8" w:color="808080"/>
            </w:tcBorders>
          </w:tcPr>
          <w:p>
            <w:pPr>
              <w:spacing w:after="0"/>
              <w:rPr>
                <w:sz w:val="12"/>
                <w:szCs w:val="12"/>
                <w:color w:val="auto"/>
              </w:rPr>
            </w:pPr>
          </w:p>
        </w:tc>
        <w:tc>
          <w:tcPr>
            <w:tcW w:w="206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August 31, 2010</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5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Borders>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2"/>
              <w:spacing w:after="0" w:line="205" w:lineRule="exact"/>
              <w:rPr>
                <w:sz w:val="20"/>
                <w:szCs w:val="20"/>
                <w:color w:val="auto"/>
              </w:rPr>
            </w:pPr>
            <w:r>
              <w:rPr>
                <w:rFonts w:ascii="Arial" w:cs="Arial" w:eastAsia="Arial" w:hAnsi="Arial"/>
                <w:sz w:val="18"/>
                <w:szCs w:val="18"/>
                <w:b w:val="1"/>
                <w:bCs w:val="1"/>
                <w:color w:val="auto"/>
                <w:w w:val="89"/>
              </w:rPr>
              <w:t>Germany</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55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244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$ 50,031,107</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16,567,240</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6"/>
              </w:rPr>
              <w:t>12,637,967</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20,825,900</w:t>
            </w:r>
          </w:p>
        </w:tc>
      </w:tr>
      <w:tr>
        <w:trPr>
          <w:trHeight w:val="211"/>
        </w:trPr>
        <w:tc>
          <w:tcPr>
            <w:tcW w:w="5580" w:type="dxa"/>
            <w:vAlign w:val="bottom"/>
          </w:tcPr>
          <w:p>
            <w:pPr>
              <w:spacing w:after="0"/>
              <w:rPr>
                <w:sz w:val="20"/>
                <w:szCs w:val="20"/>
                <w:color w:val="auto"/>
              </w:rPr>
            </w:pPr>
            <w:r>
              <w:rPr>
                <w:rFonts w:ascii="Arial" w:cs="Arial" w:eastAsia="Arial" w:hAnsi="Arial"/>
                <w:sz w:val="18"/>
                <w:szCs w:val="18"/>
                <w:color w:val="auto"/>
              </w:rPr>
              <w:t>Total assets</w:t>
            </w:r>
          </w:p>
        </w:tc>
        <w:tc>
          <w:tcPr>
            <w:tcW w:w="2440" w:type="dxa"/>
            <w:vAlign w:val="bottom"/>
            <w:gridSpan w:val="2"/>
          </w:tcPr>
          <w:p>
            <w:pPr>
              <w:jc w:val="right"/>
              <w:ind w:right="32"/>
              <w:spacing w:after="0"/>
              <w:rPr>
                <w:sz w:val="20"/>
                <w:szCs w:val="20"/>
                <w:color w:val="auto"/>
              </w:rPr>
            </w:pPr>
            <w:r>
              <w:rPr>
                <w:rFonts w:ascii="Arial" w:cs="Arial" w:eastAsia="Arial" w:hAnsi="Arial"/>
                <w:sz w:val="18"/>
                <w:szCs w:val="18"/>
                <w:color w:val="auto"/>
              </w:rPr>
              <w:t>55,918,090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18,967,090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86"/>
              </w:rPr>
              <w:t>12,901,522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24,049,478</w:t>
            </w: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16,478,695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3,089,590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4,721,652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8,667,454</w:t>
            </w:r>
          </w:p>
        </w:tc>
      </w:tr>
      <w:tr>
        <w:trPr>
          <w:trHeight w:val="211"/>
        </w:trPr>
        <w:tc>
          <w:tcPr>
            <w:tcW w:w="55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440" w:type="dxa"/>
            <w:vAlign w:val="bottom"/>
            <w:gridSpan w:val="2"/>
          </w:tcPr>
          <w:p>
            <w:pPr>
              <w:jc w:val="right"/>
              <w:ind w:right="32"/>
              <w:spacing w:after="0"/>
              <w:rPr>
                <w:sz w:val="20"/>
                <w:szCs w:val="20"/>
                <w:color w:val="auto"/>
              </w:rPr>
            </w:pPr>
            <w:r>
              <w:rPr>
                <w:rFonts w:ascii="Arial" w:cs="Arial" w:eastAsia="Arial" w:hAnsi="Arial"/>
                <w:sz w:val="18"/>
                <w:szCs w:val="18"/>
                <w:color w:val="auto"/>
              </w:rPr>
              <w:t>4,454,280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868,902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3,585,378</w:t>
            </w: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34,985,115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15,877,500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7,310,968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11,796,646</w:t>
            </w:r>
          </w:p>
        </w:tc>
      </w:tr>
      <w:tr>
        <w:trPr>
          <w:trHeight w:val="199"/>
        </w:trPr>
        <w:tc>
          <w:tcPr>
            <w:tcW w:w="5580" w:type="dxa"/>
            <w:vAlign w:val="bottom"/>
          </w:tcPr>
          <w:p>
            <w:pPr>
              <w:spacing w:after="0" w:line="199" w:lineRule="exact"/>
              <w:rPr>
                <w:sz w:val="20"/>
                <w:szCs w:val="20"/>
                <w:color w:val="auto"/>
              </w:rPr>
            </w:pPr>
            <w:r>
              <w:rPr>
                <w:rFonts w:ascii="Arial" w:cs="Arial" w:eastAsia="Arial" w:hAnsi="Arial"/>
                <w:sz w:val="18"/>
                <w:szCs w:val="18"/>
                <w:color w:val="auto"/>
              </w:rPr>
              <w:t>Northern Technologies International Corporation’s share of</w:t>
            </w: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5580" w:type="dxa"/>
            <w:vAlign w:val="bottom"/>
          </w:tcPr>
          <w:p>
            <w:pPr>
              <w:ind w:left="140"/>
              <w:spacing w:after="0"/>
              <w:rPr>
                <w:sz w:val="20"/>
                <w:szCs w:val="20"/>
                <w:color w:val="auto"/>
              </w:rPr>
            </w:pPr>
            <w:r>
              <w:rPr>
                <w:rFonts w:ascii="Arial" w:cs="Arial" w:eastAsia="Arial" w:hAnsi="Arial"/>
                <w:sz w:val="18"/>
                <w:szCs w:val="18"/>
                <w:color w:val="auto"/>
              </w:rPr>
              <w:t>joint ventures’ equity</w:t>
            </w:r>
          </w:p>
        </w:tc>
        <w:tc>
          <w:tcPr>
            <w:tcW w:w="2440" w:type="dxa"/>
            <w:vAlign w:val="bottom"/>
            <w:gridSpan w:val="2"/>
          </w:tcPr>
          <w:p>
            <w:pPr>
              <w:jc w:val="right"/>
              <w:ind w:right="32"/>
              <w:spacing w:after="0"/>
              <w:rPr>
                <w:sz w:val="20"/>
                <w:szCs w:val="20"/>
                <w:color w:val="auto"/>
              </w:rPr>
            </w:pPr>
            <w:r>
              <w:rPr>
                <w:rFonts w:ascii="Arial" w:cs="Arial" w:eastAsia="Arial" w:hAnsi="Arial"/>
                <w:sz w:val="18"/>
                <w:szCs w:val="18"/>
                <w:color w:val="auto"/>
              </w:rPr>
              <w:t>$ 16,055,943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7,938,751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2,467,412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5,649,780</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0"/>
          </w:tcPr>
          <w:p>
            <w:pPr>
              <w:jc w:val="right"/>
              <w:ind w:right="792"/>
              <w:spacing w:after="0"/>
              <w:rPr>
                <w:sz w:val="20"/>
                <w:szCs w:val="20"/>
                <w:color w:val="auto"/>
              </w:rPr>
            </w:pPr>
            <w:r>
              <w:rPr>
                <w:rFonts w:ascii="Arial" w:cs="Arial" w:eastAsia="Arial" w:hAnsi="Arial"/>
                <w:sz w:val="18"/>
                <w:szCs w:val="18"/>
                <w:b w:val="1"/>
                <w:bCs w:val="1"/>
                <w:color w:val="auto"/>
              </w:rPr>
              <w:t>Six Months Ended February 28, 2011</w:t>
            </w:r>
          </w:p>
        </w:tc>
      </w:tr>
      <w:tr>
        <w:trPr>
          <w:trHeight w:val="204"/>
        </w:trPr>
        <w:tc>
          <w:tcPr>
            <w:tcW w:w="5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2"/>
              <w:spacing w:after="0" w:line="205" w:lineRule="exact"/>
              <w:rPr>
                <w:sz w:val="20"/>
                <w:szCs w:val="20"/>
                <w:color w:val="auto"/>
              </w:rPr>
            </w:pPr>
            <w:r>
              <w:rPr>
                <w:rFonts w:ascii="Arial" w:cs="Arial" w:eastAsia="Arial" w:hAnsi="Arial"/>
                <w:sz w:val="18"/>
                <w:szCs w:val="18"/>
                <w:b w:val="1"/>
                <w:bCs w:val="1"/>
                <w:color w:val="auto"/>
                <w:w w:val="89"/>
              </w:rPr>
              <w:t>Germany</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w w:val="98"/>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55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15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53,405,322</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16,737,132</w:t>
            </w:r>
          </w:p>
        </w:tc>
        <w:tc>
          <w:tcPr>
            <w:tcW w:w="24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8,690,315</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27,977,875</w:t>
            </w:r>
          </w:p>
        </w:tc>
      </w:tr>
      <w:tr>
        <w:trPr>
          <w:trHeight w:val="211"/>
        </w:trPr>
        <w:tc>
          <w:tcPr>
            <w:tcW w:w="5580" w:type="dxa"/>
            <w:vAlign w:val="bottom"/>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24,910,772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8,506,310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4,055,738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12,348,724</w:t>
            </w: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5,277,712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3,116,690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660,414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1,500,608</w:t>
            </w:r>
          </w:p>
        </w:tc>
      </w:tr>
      <w:tr>
        <w:trPr>
          <w:trHeight w:val="199"/>
        </w:trPr>
        <w:tc>
          <w:tcPr>
            <w:tcW w:w="5580" w:type="dxa"/>
            <w:vAlign w:val="bottom"/>
          </w:tcPr>
          <w:p>
            <w:pPr>
              <w:spacing w:after="0" w:line="199" w:lineRule="exact"/>
              <w:rPr>
                <w:sz w:val="20"/>
                <w:szCs w:val="20"/>
                <w:color w:val="auto"/>
              </w:rPr>
            </w:pPr>
            <w:r>
              <w:rPr>
                <w:rFonts w:ascii="Arial" w:cs="Arial" w:eastAsia="Arial" w:hAnsi="Arial"/>
                <w:sz w:val="18"/>
                <w:szCs w:val="18"/>
                <w:color w:val="auto"/>
              </w:rPr>
              <w:t>Northern Technologies International Corporation’s share of</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5580" w:type="dxa"/>
            <w:vAlign w:val="bottom"/>
          </w:tcPr>
          <w:p>
            <w:pPr>
              <w:ind w:left="140"/>
              <w:spacing w:after="0"/>
              <w:rPr>
                <w:sz w:val="20"/>
                <w:szCs w:val="20"/>
                <w:color w:val="auto"/>
              </w:rPr>
            </w:pPr>
            <w:r>
              <w:rPr>
                <w:rFonts w:ascii="Arial" w:cs="Arial" w:eastAsia="Arial" w:hAnsi="Arial"/>
                <w:sz w:val="18"/>
                <w:szCs w:val="18"/>
                <w:color w:val="auto"/>
              </w:rPr>
              <w:t>equity in income of joint ventures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2,824,790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1,547,773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558,260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718,757</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10"/>
          </w:tcPr>
          <w:p>
            <w:pPr>
              <w:jc w:val="right"/>
              <w:ind w:right="792"/>
              <w:spacing w:after="0"/>
              <w:rPr>
                <w:sz w:val="20"/>
                <w:szCs w:val="20"/>
                <w:color w:val="auto"/>
              </w:rPr>
            </w:pPr>
            <w:r>
              <w:rPr>
                <w:rFonts w:ascii="Arial" w:cs="Arial" w:eastAsia="Arial" w:hAnsi="Arial"/>
                <w:sz w:val="18"/>
                <w:szCs w:val="18"/>
                <w:b w:val="1"/>
                <w:bCs w:val="1"/>
                <w:color w:val="auto"/>
              </w:rPr>
              <w:t>Six Months Ended February 28, 2010</w:t>
            </w:r>
          </w:p>
        </w:tc>
      </w:tr>
      <w:tr>
        <w:trPr>
          <w:trHeight w:val="204"/>
        </w:trPr>
        <w:tc>
          <w:tcPr>
            <w:tcW w:w="5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2"/>
              <w:spacing w:after="0" w:line="205" w:lineRule="exact"/>
              <w:rPr>
                <w:sz w:val="20"/>
                <w:szCs w:val="20"/>
                <w:color w:val="auto"/>
              </w:rPr>
            </w:pPr>
            <w:r>
              <w:rPr>
                <w:rFonts w:ascii="Arial" w:cs="Arial" w:eastAsia="Arial" w:hAnsi="Arial"/>
                <w:sz w:val="18"/>
                <w:szCs w:val="18"/>
                <w:b w:val="1"/>
                <w:bCs w:val="1"/>
                <w:color w:val="auto"/>
                <w:w w:val="89"/>
              </w:rPr>
              <w:t>Germany</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w w:val="98"/>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55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15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39,854,071</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11,516,993</w:t>
            </w:r>
          </w:p>
        </w:tc>
        <w:tc>
          <w:tcPr>
            <w:tcW w:w="24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4"/>
              </w:rPr>
              <w:t>6,475,601</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21,861,477</w:t>
            </w:r>
          </w:p>
        </w:tc>
      </w:tr>
      <w:tr>
        <w:trPr>
          <w:trHeight w:val="211"/>
        </w:trPr>
        <w:tc>
          <w:tcPr>
            <w:tcW w:w="5580" w:type="dxa"/>
            <w:vAlign w:val="bottom"/>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19,676,756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6,360,230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3,461,176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9,855,350</w:t>
            </w: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2,924,795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1,492,961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824,736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637,098</w:t>
            </w:r>
          </w:p>
        </w:tc>
      </w:tr>
      <w:tr>
        <w:trPr>
          <w:trHeight w:val="199"/>
        </w:trPr>
        <w:tc>
          <w:tcPr>
            <w:tcW w:w="5580" w:type="dxa"/>
            <w:vAlign w:val="bottom"/>
          </w:tcPr>
          <w:p>
            <w:pPr>
              <w:spacing w:after="0" w:line="199" w:lineRule="exact"/>
              <w:rPr>
                <w:sz w:val="20"/>
                <w:szCs w:val="20"/>
                <w:color w:val="auto"/>
              </w:rPr>
            </w:pPr>
            <w:r>
              <w:rPr>
                <w:rFonts w:ascii="Arial" w:cs="Arial" w:eastAsia="Arial" w:hAnsi="Arial"/>
                <w:sz w:val="18"/>
                <w:szCs w:val="18"/>
                <w:color w:val="auto"/>
              </w:rPr>
              <w:t>Northern Technologies International Corporation’s share of</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5580" w:type="dxa"/>
            <w:vAlign w:val="bottom"/>
          </w:tcPr>
          <w:p>
            <w:pPr>
              <w:ind w:left="140"/>
              <w:spacing w:after="0"/>
              <w:rPr>
                <w:sz w:val="20"/>
                <w:szCs w:val="20"/>
                <w:color w:val="auto"/>
              </w:rPr>
            </w:pPr>
            <w:r>
              <w:rPr>
                <w:rFonts w:ascii="Arial" w:cs="Arial" w:eastAsia="Arial" w:hAnsi="Arial"/>
                <w:sz w:val="18"/>
                <w:szCs w:val="18"/>
                <w:color w:val="auto"/>
              </w:rPr>
              <w:t>equity in income of joint ventures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1,397,586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731,452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419,324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246,810</w:t>
            </w:r>
          </w:p>
        </w:tc>
      </w:tr>
    </w:tbl>
    <w:p>
      <w:pPr>
        <w:spacing w:after="0" w:line="226"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The Company records expenses that are directly attributable to the joint ventures on the consolidated statements of operations on the line “Expenses incurred in support of joint ventures”. The expenses include items such as employee compensation and benefit expenses, travel expense and consulting expense.</w:t>
      </w:r>
    </w:p>
    <w:p>
      <w:pPr>
        <w:spacing w:after="0" w:line="16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December 2010, the Company invested $38,217 and in January 2010, the Company invested $30,101, in a new joint venture in Russia to specifically engage in the oil and gas industry. The Company has a 50% ownership interest in the new Russian joint venture.</w:t>
      </w:r>
    </w:p>
    <w:p>
      <w:pPr>
        <w:spacing w:after="0" w:line="201" w:lineRule="exact"/>
        <w:rPr>
          <w:sz w:val="20"/>
          <w:szCs w:val="20"/>
          <w:color w:val="auto"/>
        </w:rPr>
      </w:pPr>
    </w:p>
    <w:p>
      <w:pPr>
        <w:ind w:left="620" w:hanging="615"/>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 AND LINE OF CREDIT</w:t>
      </w:r>
    </w:p>
    <w:p>
      <w:pPr>
        <w:spacing w:after="0" w:line="24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the Company and is guaranteed by the Company.</w:t>
      </w:r>
    </w:p>
    <w:p>
      <w:pPr>
        <w:spacing w:after="0" w:line="192"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As of February 28, 2011, the Company had a revolving line of credit with PNC Bank of $3,000,000 with no amounts outstanding as of such date. As of August 31, 2010, the Company had a demand line of credit of $2,300,000 with PNC Bank with no amounts outstanding as of such date. Any advances made under the revolving line of credit are due and payable on January 10, 2012. At the option of the Company, outstanding advances under the line of credit bear interest at either (a) an annual rate based on LIBOR plus 2.15% for the applicable LIBOR interest period selected by the Company or (b) at the rate publicly announced by PNC Bank from time to time as its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9" w:name="page10"/>
    <w:bookmarkEnd w:id="9"/>
    <w:p>
      <w:pPr>
        <w:spacing w:after="0"/>
        <w:rPr>
          <w:sz w:val="20"/>
          <w:szCs w:val="20"/>
          <w:color w:val="auto"/>
        </w:rPr>
      </w:pPr>
      <w:r>
        <w:rPr>
          <w:rFonts w:ascii="Arial" w:cs="Arial" w:eastAsia="Arial" w:hAnsi="Arial"/>
          <w:sz w:val="15"/>
          <w:szCs w:val="15"/>
          <w:color w:val="auto"/>
        </w:rPr>
        <w:t>prime rate. Interest is payable in arrears (a) for the portion of advances bearing interest under the prime rate on the last day of each month during the term thereof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(b) for the portion of advances bearing interest under the LIBOR option on the last day of the respective LIBOR interest period selected for such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advance. Any unpaid interest is payable on the maturity date. Outstanding amounts under the prior demand line of credit bore interest at an annual rate based 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LIBOR plus 2.25%. As of February 28, 2011, the interest rate was 2.35% and the weighted average rate was 2.39% for the six months ended February 28,</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2011. As of February 28, 2010, the interest rate was 3.08% and the weighted average rate was 3.36% for the six months ended February 28, 2010.</w:t>
      </w:r>
    </w:p>
    <w:p>
      <w:pPr>
        <w:spacing w:after="0" w:line="253"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color w:val="auto"/>
        </w:rPr>
        <w:t>Both the term loan and the line of credit are governed under two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w:t>
      </w:r>
    </w:p>
    <w:p>
      <w:pPr>
        <w:spacing w:after="0" w:line="167"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six months ended February 28, 2011, the Company did not purchase or retire any shares of its common stock. The following stock options to purchase shares of common stock were exercised during the six months ended February 28, 2011:</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211"/>
        </w:trPr>
        <w:tc>
          <w:tcPr>
            <w:tcW w:w="112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w w:val="86"/>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40,000</w:t>
            </w:r>
          </w:p>
        </w:tc>
        <w:tc>
          <w:tcPr>
            <w:tcW w:w="34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2,000</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666</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2,000</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4,000</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1,334</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4,000</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5,333</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to purchase an aggregate of 30,000 shares of its common stock to various employees and directors during the six months ended February 28, 2011.</w:t>
      </w:r>
    </w:p>
    <w:p>
      <w:pPr>
        <w:spacing w:after="0" w:line="161"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During the six months ended February 28, 2011, the Company granted stock bonuses under the Northern Technologies International Corporation Amended and Restated 2007 Stock Incentive Plan for an aggregate of 22,686 shares of its common stock to various employees. The fair value of the shares of the Company’s common stock as of the date of grant of the stock bonuses was $319,649, based on the closing sale price of a share of the Company’s common stock on the date of grant. The fair value of common stock granted during the six months ended February 28, 2011 was based on fiscal 2010 performance and was included in accrued liabilities at August 31, 2010.</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six months ended February 28, 2010, the Company did not purchase or retire any shares of its common stock. The following stock options to purchase shares of common stock were exercised during the six months ended February 28,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23"/>
        </w:trPr>
        <w:tc>
          <w:tcPr>
            <w:tcW w:w="28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Exercised</w:t>
            </w:r>
          </w:p>
        </w:tc>
        <w:tc>
          <w:tcPr>
            <w:tcW w:w="3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6"/>
              </w:rPr>
              <w:t>Exercise Price</w:t>
            </w:r>
          </w:p>
        </w:tc>
        <w:tc>
          <w:tcPr>
            <w:tcW w:w="2840" w:type="dxa"/>
            <w:vAlign w:val="bottom"/>
          </w:tcPr>
          <w:p>
            <w:pPr>
              <w:spacing w:after="0"/>
              <w:rPr>
                <w:sz w:val="19"/>
                <w:szCs w:val="19"/>
                <w:color w:val="auto"/>
              </w:rPr>
            </w:pPr>
          </w:p>
        </w:tc>
      </w:tr>
      <w:tr>
        <w:trPr>
          <w:trHeight w:val="204"/>
        </w:trPr>
        <w:tc>
          <w:tcPr>
            <w:tcW w:w="2860" w:type="dxa"/>
            <w:vAlign w:val="bottom"/>
          </w:tcPr>
          <w:p>
            <w:pPr>
              <w:spacing w:after="0"/>
              <w:rPr>
                <w:sz w:val="17"/>
                <w:szCs w:val="17"/>
                <w:color w:val="auto"/>
              </w:rPr>
            </w:pPr>
          </w:p>
        </w:tc>
        <w:tc>
          <w:tcPr>
            <w:tcW w:w="112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color w:val="auto"/>
                <w:w w:val="88"/>
              </w:rPr>
              <w:t>1,500</w:t>
            </w:r>
          </w:p>
        </w:tc>
        <w:tc>
          <w:tcPr>
            <w:tcW w:w="34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92"/>
              <w:spacing w:after="0" w:line="205" w:lineRule="exact"/>
              <w:rPr>
                <w:sz w:val="20"/>
                <w:szCs w:val="20"/>
                <w:color w:val="auto"/>
              </w:rPr>
            </w:pPr>
            <w:r>
              <w:rPr>
                <w:rFonts w:ascii="Arial" w:cs="Arial" w:eastAsia="Arial" w:hAnsi="Arial"/>
                <w:sz w:val="18"/>
                <w:szCs w:val="18"/>
                <w:color w:val="auto"/>
              </w:rPr>
              <w:t>6.15</w:t>
            </w:r>
          </w:p>
        </w:tc>
        <w:tc>
          <w:tcPr>
            <w:tcW w:w="2840" w:type="dxa"/>
            <w:vAlign w:val="bottom"/>
          </w:tcPr>
          <w:p>
            <w:pPr>
              <w:spacing w:after="0"/>
              <w:rPr>
                <w:sz w:val="17"/>
                <w:szCs w:val="17"/>
                <w:color w:val="auto"/>
              </w:rPr>
            </w:pPr>
          </w:p>
        </w:tc>
      </w:tr>
      <w:tr>
        <w:trPr>
          <w:trHeight w:val="593"/>
        </w:trPr>
        <w:tc>
          <w:tcPr>
            <w:tcW w:w="2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20" w:type="dxa"/>
            <w:vAlign w:val="bottom"/>
          </w:tcPr>
          <w:p>
            <w:pPr>
              <w:jc w:val="right"/>
              <w:ind w:right="145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42"/>
        </w:trPr>
        <w:tc>
          <w:tcPr>
            <w:tcW w:w="28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3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8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0" w:name="page11"/>
    <w:bookmarkEnd w:id="10"/>
    <w:p>
      <w:pPr>
        <w:ind w:right="180"/>
        <w:spacing w:after="0" w:line="262" w:lineRule="auto"/>
        <w:rPr>
          <w:sz w:val="20"/>
          <w:szCs w:val="20"/>
          <w:color w:val="auto"/>
        </w:rPr>
      </w:pPr>
      <w:r>
        <w:rPr>
          <w:rFonts w:ascii="Arial" w:cs="Arial" w:eastAsia="Arial" w:hAnsi="Arial"/>
          <w:sz w:val="18"/>
          <w:szCs w:val="18"/>
          <w:color w:val="auto"/>
        </w:rPr>
        <w:t>The Company granted stock options under the Northern Technologies International Corporation 2007 Stock Incentive Plan to purchase an aggregate of 122,000 shares of its common stock to various employees and directors during the six months ended February 28, 2010.</w:t>
      </w:r>
    </w:p>
    <w:p>
      <w:pPr>
        <w:spacing w:after="0" w:line="2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September 2009,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the Company’s offering expenses.</w:t>
      </w:r>
    </w:p>
    <w:p>
      <w:pPr>
        <w:spacing w:after="0" w:line="210" w:lineRule="exact"/>
        <w:rPr>
          <w:sz w:val="20"/>
          <w:szCs w:val="20"/>
          <w:color w:val="auto"/>
        </w:rPr>
      </w:pPr>
    </w:p>
    <w:p>
      <w:pPr>
        <w:ind w:left="620" w:hanging="615"/>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comprehensive (loss) income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w w:val="99"/>
              </w:rPr>
              <w:t>Six Months Ended</w:t>
            </w:r>
          </w:p>
        </w:tc>
      </w:tr>
      <w:tr>
        <w:trPr>
          <w:trHeight w:val="186"/>
        </w:trPr>
        <w:tc>
          <w:tcPr>
            <w:tcW w:w="4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080" w:type="dxa"/>
            <w:vAlign w:val="bottom"/>
            <w:gridSpan w:val="2"/>
          </w:tcPr>
          <w:p>
            <w:pPr>
              <w:jc w:val="right"/>
              <w:ind w:right="12"/>
              <w:spacing w:after="0" w:line="187" w:lineRule="exact"/>
              <w:rPr>
                <w:sz w:val="20"/>
                <w:szCs w:val="20"/>
                <w:color w:val="auto"/>
              </w:rPr>
            </w:pPr>
            <w:r>
              <w:rPr>
                <w:rFonts w:ascii="Arial" w:cs="Arial" w:eastAsia="Arial" w:hAnsi="Arial"/>
                <w:sz w:val="18"/>
                <w:szCs w:val="18"/>
                <w:b w:val="1"/>
                <w:bCs w:val="1"/>
                <w:color w:val="auto"/>
                <w:w w:val="89"/>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r>
      <w:tr>
        <w:trPr>
          <w:trHeight w:val="229"/>
        </w:trPr>
        <w:tc>
          <w:tcPr>
            <w:tcW w:w="4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r>
      <w:tr>
        <w:trPr>
          <w:trHeight w:val="204"/>
        </w:trPr>
        <w:tc>
          <w:tcPr>
            <w:tcW w:w="61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ind w:left="6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1,001,219</w:t>
            </w:r>
          </w:p>
        </w:tc>
        <w:tc>
          <w:tcPr>
            <w:tcW w:w="30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346,641</w:t>
            </w:r>
          </w:p>
        </w:tc>
        <w:tc>
          <w:tcPr>
            <w:tcW w:w="30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1,896,093</w:t>
            </w:r>
          </w:p>
        </w:tc>
        <w:tc>
          <w:tcPr>
            <w:tcW w:w="30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782,346</w:t>
            </w:r>
          </w:p>
        </w:tc>
      </w:tr>
      <w:tr>
        <w:trPr>
          <w:trHeight w:val="211"/>
        </w:trPr>
        <w:tc>
          <w:tcPr>
            <w:tcW w:w="6160" w:type="dxa"/>
            <w:vAlign w:val="bottom"/>
            <w:gridSpan w:val="2"/>
          </w:tcPr>
          <w:p>
            <w:pPr>
              <w:spacing w:after="0"/>
              <w:rPr>
                <w:sz w:val="20"/>
                <w:szCs w:val="20"/>
                <w:color w:val="auto"/>
              </w:rPr>
            </w:pPr>
            <w:r>
              <w:rPr>
                <w:rFonts w:ascii="Arial" w:cs="Arial" w:eastAsia="Arial" w:hAnsi="Arial"/>
                <w:sz w:val="18"/>
                <w:szCs w:val="18"/>
                <w:color w:val="auto"/>
                <w:w w:val="99"/>
              </w:rPr>
              <w:t>Other comprehensive income (loss) – foreign currency translation adjustment</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753,338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(678,744)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1,158,202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(103,936)</w:t>
            </w:r>
          </w:p>
        </w:tc>
      </w:tr>
      <w:tr>
        <w:trPr>
          <w:trHeight w:val="257"/>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1,754,557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(332,103)</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3,054,295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678,410</w:t>
            </w:r>
          </w:p>
        </w:tc>
      </w:tr>
      <w:tr>
        <w:trPr>
          <w:trHeight w:val="427"/>
        </w:trPr>
        <w:tc>
          <w:tcPr>
            <w:tcW w:w="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10.</w:t>
            </w:r>
          </w:p>
        </w:tc>
        <w:tc>
          <w:tcPr>
            <w:tcW w:w="5700" w:type="dxa"/>
            <w:vAlign w:val="bottom"/>
            <w:tcBorders>
              <w:top w:val="single" w:sz="8" w:color="CCEEFF"/>
            </w:tcBorders>
          </w:tcPr>
          <w:p>
            <w:pPr>
              <w:ind w:left="240"/>
              <w:spacing w:after="0"/>
              <w:rPr>
                <w:sz w:val="20"/>
                <w:szCs w:val="20"/>
                <w:color w:val="auto"/>
              </w:rPr>
            </w:pPr>
            <w:r>
              <w:rPr>
                <w:rFonts w:ascii="Arial" w:cs="Arial" w:eastAsia="Arial" w:hAnsi="Arial"/>
                <w:sz w:val="18"/>
                <w:szCs w:val="18"/>
                <w:b w:val="1"/>
                <w:bCs w:val="1"/>
                <w:color w:val="auto"/>
              </w:rPr>
              <w:t>NET INCOME PER COMMON SHARE</w:t>
            </w:r>
          </w:p>
        </w:tc>
        <w:tc>
          <w:tcPr>
            <w:tcW w:w="6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pacing w:after="0" w:line="2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207"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No options to purchase shares of common stock were excluded from the computation of common share equivalents for both the three and six months ended February 28, 2011. Options to purchase 64,140 shares of common stock were excluded from the computation of common share equivalents for both the three and six months ended February 28, 2010, as stock option exercise prices were greater than the market price of a share of common stock.</w:t>
      </w:r>
    </w:p>
    <w:p>
      <w:pPr>
        <w:spacing w:after="0" w:line="174" w:lineRule="exact"/>
        <w:rPr>
          <w:sz w:val="20"/>
          <w:szCs w:val="20"/>
          <w:color w:val="auto"/>
        </w:rPr>
      </w:pPr>
    </w:p>
    <w:p>
      <w:pPr>
        <w:ind w:left="700" w:hanging="695"/>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several stock-based compensation plans under which stock options and other stock-based awards have been granted, including the Northern Technologies International Corporation Amended and Restated 2007 Stock Incentive Plan (the “2007 Plan”), the Northern Technologies International Corporation 2000 Stock Incentive Plan (the “2000 Plan”) and the Northern Technologies International Corporation Employee Stock Purchase Plan (the “ESPP”). The Compensation Committee of the Board of Directors and the Board of Directors administers all of these plans.</w:t>
      </w:r>
    </w:p>
    <w:p>
      <w:pPr>
        <w:spacing w:after="0" w:line="18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2007 Plan replaced the 2000 Plan, which was terminated with respect to future grants, but continues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plus the number of shares subject to awards outstanding under the prior 2000 Plan as of January 20, 2011 but only to the extent that such outstanding awards are forfeited, expire or otherwise terminate without the issuance of such shares, are available for issuance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1" w:name="page12"/>
    <w:bookmarkEnd w:id="11"/>
    <w:p>
      <w:pPr>
        <w:ind w:right="20"/>
        <w:spacing w:after="0" w:line="249"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8"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The Company granted options to purchase 30,000 and 128,333 shares of its common stock during the six months ended February 28, 2011 and 2010, respectively. The fair value of option grants is determined at date of grant, using the Black-Scholes option pricing model with the assumptions listed below. Based on these valuations, the Company recognized compensation expense of $109,880 and $94,210 during the six months ended February 28, 2011 and 2010, respectively, related to the options that vested during such time period. The stock-based expense recorded reduced after-tax net income per share by $0.02 for each of the six months ended February 28, 2011 and 2010. As of February 28, 2011, the total compensation cost for non-vested options not yet recognized in the Company’s consolidated statements of operations was $237,875 net of estimated forfeitures. Additional stock-based compensation expense of $80,457 is expected through the remainder of fiscal year 2011, and expense of $129,342 and $28,076 is expected to be recognized during fiscal 2012 and fiscal 2013, respectively. Future option grants will impact the compensation expense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February 28,</w:t>
            </w:r>
          </w:p>
        </w:tc>
      </w:tr>
      <w:tr>
        <w:trPr>
          <w:trHeight w:val="204"/>
        </w:trPr>
        <w:tc>
          <w:tcPr>
            <w:tcW w:w="5820" w:type="dxa"/>
            <w:vAlign w:val="bottom"/>
          </w:tcPr>
          <w:p>
            <w:pPr>
              <w:spacing w:after="0"/>
              <w:rPr>
                <w:sz w:val="17"/>
                <w:szCs w:val="17"/>
                <w:color w:val="auto"/>
              </w:rPr>
            </w:pPr>
          </w:p>
        </w:tc>
        <w:tc>
          <w:tcPr>
            <w:tcW w:w="1920" w:type="dxa"/>
            <w:vAlign w:val="bottom"/>
            <w:tcBorders>
              <w:bottom w:val="single" w:sz="8" w:color="auto"/>
            </w:tcBorders>
          </w:tcPr>
          <w:p>
            <w:pPr>
              <w:jc w:val="center"/>
              <w:ind w:left="572"/>
              <w:spacing w:after="0" w:line="205" w:lineRule="exact"/>
              <w:rPr>
                <w:sz w:val="20"/>
                <w:szCs w:val="20"/>
                <w:color w:val="auto"/>
              </w:rPr>
            </w:pPr>
            <w:r>
              <w:rPr>
                <w:rFonts w:ascii="Arial" w:cs="Arial" w:eastAsia="Arial" w:hAnsi="Arial"/>
                <w:sz w:val="18"/>
                <w:szCs w:val="18"/>
                <w:b w:val="1"/>
                <w:bCs w:val="1"/>
                <w:color w:val="auto"/>
                <w:w w:val="84"/>
              </w:rPr>
              <w:t>2011</w:t>
            </w:r>
          </w:p>
        </w:tc>
        <w:tc>
          <w:tcPr>
            <w:tcW w:w="6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0" w:type="dxa"/>
            <w:vAlign w:val="bottom"/>
            <w:tcBorders>
              <w:bottom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2010</w:t>
            </w:r>
          </w:p>
        </w:tc>
      </w:tr>
      <w:tr>
        <w:trPr>
          <w:trHeight w:val="204"/>
        </w:trPr>
        <w:tc>
          <w:tcPr>
            <w:tcW w:w="58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Dividend yield</w:t>
            </w:r>
          </w:p>
        </w:tc>
        <w:tc>
          <w:tcPr>
            <w:tcW w:w="1920" w:type="dxa"/>
            <w:vAlign w:val="bottom"/>
            <w:shd w:val="clear" w:color="auto" w:fill="CCEEFF"/>
          </w:tcPr>
          <w:p>
            <w:pPr>
              <w:jc w:val="center"/>
              <w:ind w:left="592"/>
              <w:spacing w:after="0" w:line="204" w:lineRule="exact"/>
              <w:rPr>
                <w:sz w:val="20"/>
                <w:szCs w:val="20"/>
                <w:color w:val="auto"/>
              </w:rPr>
            </w:pPr>
            <w:r>
              <w:rPr>
                <w:rFonts w:ascii="Arial" w:cs="Arial" w:eastAsia="Arial" w:hAnsi="Arial"/>
                <w:sz w:val="18"/>
                <w:szCs w:val="18"/>
                <w:color w:val="auto"/>
                <w:w w:val="86"/>
              </w:rPr>
              <w:t>0.00%</w:t>
            </w:r>
          </w:p>
        </w:tc>
        <w:tc>
          <w:tcPr>
            <w:tcW w:w="3680" w:type="dxa"/>
            <w:vAlign w:val="bottom"/>
            <w:gridSpan w:val="3"/>
            <w:shd w:val="clear" w:color="auto" w:fill="CCEEFF"/>
          </w:tcPr>
          <w:p>
            <w:pPr>
              <w:jc w:val="center"/>
              <w:ind w:left="992"/>
              <w:spacing w:after="0" w:line="204" w:lineRule="exact"/>
              <w:rPr>
                <w:sz w:val="20"/>
                <w:szCs w:val="20"/>
                <w:color w:val="auto"/>
              </w:rPr>
            </w:pPr>
            <w:r>
              <w:rPr>
                <w:rFonts w:ascii="Arial" w:cs="Arial" w:eastAsia="Arial" w:hAnsi="Arial"/>
                <w:sz w:val="18"/>
                <w:szCs w:val="18"/>
                <w:color w:val="auto"/>
                <w:w w:val="86"/>
              </w:rPr>
              <w:t>0.00%</w:t>
            </w:r>
          </w:p>
        </w:tc>
      </w:tr>
      <w:tr>
        <w:trPr>
          <w:trHeight w:val="211"/>
        </w:trPr>
        <w:tc>
          <w:tcPr>
            <w:tcW w:w="5820" w:type="dxa"/>
            <w:vAlign w:val="bottom"/>
          </w:tcPr>
          <w:p>
            <w:pPr>
              <w:spacing w:after="0"/>
              <w:rPr>
                <w:sz w:val="20"/>
                <w:szCs w:val="20"/>
                <w:color w:val="auto"/>
              </w:rPr>
            </w:pPr>
            <w:r>
              <w:rPr>
                <w:rFonts w:ascii="Arial" w:cs="Arial" w:eastAsia="Arial" w:hAnsi="Arial"/>
                <w:sz w:val="18"/>
                <w:szCs w:val="18"/>
                <w:color w:val="auto"/>
              </w:rPr>
              <w:t>Expected volatility</w:t>
            </w:r>
          </w:p>
        </w:tc>
        <w:tc>
          <w:tcPr>
            <w:tcW w:w="1920" w:type="dxa"/>
            <w:vAlign w:val="bottom"/>
          </w:tcPr>
          <w:p>
            <w:pPr>
              <w:jc w:val="center"/>
              <w:ind w:left="592"/>
              <w:spacing w:after="0"/>
              <w:rPr>
                <w:sz w:val="20"/>
                <w:szCs w:val="20"/>
                <w:color w:val="auto"/>
              </w:rPr>
            </w:pPr>
            <w:r>
              <w:rPr>
                <w:rFonts w:ascii="Arial" w:cs="Arial" w:eastAsia="Arial" w:hAnsi="Arial"/>
                <w:sz w:val="18"/>
                <w:szCs w:val="18"/>
                <w:color w:val="auto"/>
                <w:w w:val="86"/>
              </w:rPr>
              <w:t>49.2%</w:t>
            </w:r>
          </w:p>
        </w:tc>
        <w:tc>
          <w:tcPr>
            <w:tcW w:w="3680" w:type="dxa"/>
            <w:vAlign w:val="bottom"/>
            <w:gridSpan w:val="3"/>
          </w:tcPr>
          <w:p>
            <w:pPr>
              <w:jc w:val="center"/>
              <w:ind w:left="992"/>
              <w:spacing w:after="0"/>
              <w:rPr>
                <w:sz w:val="20"/>
                <w:szCs w:val="20"/>
                <w:color w:val="auto"/>
              </w:rPr>
            </w:pPr>
            <w:r>
              <w:rPr>
                <w:rFonts w:ascii="Arial" w:cs="Arial" w:eastAsia="Arial" w:hAnsi="Arial"/>
                <w:sz w:val="18"/>
                <w:szCs w:val="18"/>
                <w:color w:val="auto"/>
                <w:w w:val="86"/>
              </w:rPr>
              <w:t>48.3%</w:t>
            </w:r>
          </w:p>
        </w:tc>
      </w:tr>
      <w:tr>
        <w:trPr>
          <w:trHeight w:val="211"/>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9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 years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5 years</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920" w:type="dxa"/>
            <w:vAlign w:val="bottom"/>
          </w:tcPr>
          <w:p>
            <w:pPr>
              <w:jc w:val="center"/>
              <w:ind w:left="592"/>
              <w:spacing w:after="0"/>
              <w:rPr>
                <w:sz w:val="20"/>
                <w:szCs w:val="20"/>
                <w:color w:val="auto"/>
              </w:rPr>
            </w:pPr>
            <w:r>
              <w:rPr>
                <w:rFonts w:ascii="Arial" w:cs="Arial" w:eastAsia="Arial" w:hAnsi="Arial"/>
                <w:sz w:val="18"/>
                <w:szCs w:val="18"/>
                <w:color w:val="auto"/>
                <w:w w:val="86"/>
              </w:rPr>
              <w:t>1.31%</w:t>
            </w:r>
          </w:p>
        </w:tc>
        <w:tc>
          <w:tcPr>
            <w:tcW w:w="3680" w:type="dxa"/>
            <w:vAlign w:val="bottom"/>
            <w:gridSpan w:val="3"/>
          </w:tcPr>
          <w:p>
            <w:pPr>
              <w:jc w:val="center"/>
              <w:ind w:left="992"/>
              <w:spacing w:after="0"/>
              <w:rPr>
                <w:sz w:val="20"/>
                <w:szCs w:val="20"/>
                <w:color w:val="auto"/>
              </w:rPr>
            </w:pPr>
            <w:r>
              <w:rPr>
                <w:rFonts w:ascii="Arial" w:cs="Arial" w:eastAsia="Arial" w:hAnsi="Arial"/>
                <w:sz w:val="18"/>
                <w:szCs w:val="18"/>
                <w:color w:val="auto"/>
                <w:w w:val="86"/>
              </w:rPr>
              <w:t>2.34%</w:t>
            </w:r>
          </w:p>
        </w:tc>
      </w:tr>
    </w:tbl>
    <w:p>
      <w:pPr>
        <w:spacing w:after="0" w:line="213" w:lineRule="exact"/>
        <w:rPr>
          <w:sz w:val="20"/>
          <w:szCs w:val="20"/>
          <w:color w:val="auto"/>
        </w:rPr>
      </w:pPr>
    </w:p>
    <w:p>
      <w:pPr>
        <w:ind w:right="260"/>
        <w:spacing w:after="0" w:line="325" w:lineRule="auto"/>
        <w:rPr>
          <w:sz w:val="20"/>
          <w:szCs w:val="20"/>
          <w:color w:val="auto"/>
        </w:rPr>
      </w:pPr>
      <w:r>
        <w:rPr>
          <w:rFonts w:ascii="Arial" w:cs="Arial" w:eastAsia="Arial" w:hAnsi="Arial"/>
          <w:sz w:val="16"/>
          <w:szCs w:val="16"/>
          <w:color w:val="auto"/>
        </w:rPr>
        <w:t>The weighted average per share fair value of options granted during the six months ended February 28, 2011 and 2010 was $3.60 and $2.99, respectively. The weighted average remaining contractual life of the options outstanding as of February 28, 2011 and 2010 was 3.20 years and 3.01 years, respectively.</w:t>
      </w:r>
    </w:p>
    <w:p>
      <w:pPr>
        <w:spacing w:after="0" w:line="155" w:lineRule="exact"/>
        <w:rPr>
          <w:sz w:val="20"/>
          <w:szCs w:val="20"/>
          <w:color w:val="auto"/>
        </w:rPr>
      </w:pPr>
    </w:p>
    <w:p>
      <w:pPr>
        <w:ind w:left="700" w:hanging="695"/>
        <w:spacing w:after="0"/>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Net sales by geographic location as a percentage of total consolidated net sales for the three and six months ended February 28, 2011 and February 28, 2010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tcPr>
          <w:p>
            <w:pPr>
              <w:spacing w:after="0"/>
              <w:rPr>
                <w:sz w:val="19"/>
                <w:szCs w:val="19"/>
                <w:color w:val="auto"/>
              </w:rPr>
            </w:pPr>
          </w:p>
        </w:tc>
        <w:tc>
          <w:tcPr>
            <w:tcW w:w="34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342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rPr>
              <w:t>Six Months Ended</w:t>
            </w:r>
          </w:p>
        </w:tc>
      </w:tr>
      <w:tr>
        <w:trPr>
          <w:trHeight w:val="186"/>
        </w:trPr>
        <w:tc>
          <w:tcPr>
            <w:tcW w:w="4460" w:type="dxa"/>
            <w:vAlign w:val="bottom"/>
          </w:tcPr>
          <w:p>
            <w:pPr>
              <w:spacing w:after="0"/>
              <w:rPr>
                <w:sz w:val="16"/>
                <w:szCs w:val="16"/>
                <w:color w:val="auto"/>
              </w:rPr>
            </w:pPr>
          </w:p>
        </w:tc>
        <w:tc>
          <w:tcPr>
            <w:tcW w:w="1640" w:type="dxa"/>
            <w:vAlign w:val="bottom"/>
          </w:tcPr>
          <w:p>
            <w:pPr>
              <w:ind w:left="340"/>
              <w:spacing w:after="0" w:line="187"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660" w:type="dxa"/>
            <w:vAlign w:val="bottom"/>
          </w:tcPr>
          <w:p>
            <w:pPr>
              <w:ind w:left="340"/>
              <w:spacing w:after="0" w:line="187"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640" w:type="dxa"/>
            <w:vAlign w:val="bottom"/>
          </w:tcPr>
          <w:p>
            <w:pPr>
              <w:ind w:left="340"/>
              <w:spacing w:after="0" w:line="187" w:lineRule="exact"/>
              <w:rPr>
                <w:sz w:val="20"/>
                <w:szCs w:val="20"/>
                <w:color w:val="auto"/>
              </w:rPr>
            </w:pPr>
            <w:r>
              <w:rPr>
                <w:rFonts w:ascii="Arial" w:cs="Arial" w:eastAsia="Arial" w:hAnsi="Arial"/>
                <w:sz w:val="18"/>
                <w:szCs w:val="18"/>
                <w:b w:val="1"/>
                <w:bCs w:val="1"/>
                <w:color w:val="auto"/>
              </w:rPr>
              <w:t>February 28,</w:t>
            </w:r>
          </w:p>
        </w:tc>
        <w:tc>
          <w:tcPr>
            <w:tcW w:w="120" w:type="dxa"/>
            <w:vAlign w:val="bottom"/>
          </w:tcPr>
          <w:p>
            <w:pPr>
              <w:spacing w:after="0"/>
              <w:rPr>
                <w:sz w:val="16"/>
                <w:szCs w:val="16"/>
                <w:color w:val="auto"/>
              </w:rPr>
            </w:pPr>
          </w:p>
        </w:tc>
        <w:tc>
          <w:tcPr>
            <w:tcW w:w="1660" w:type="dxa"/>
            <w:vAlign w:val="bottom"/>
          </w:tcPr>
          <w:p>
            <w:pPr>
              <w:ind w:left="340"/>
              <w:spacing w:after="0" w:line="187" w:lineRule="exact"/>
              <w:rPr>
                <w:sz w:val="20"/>
                <w:szCs w:val="20"/>
                <w:color w:val="auto"/>
              </w:rPr>
            </w:pPr>
            <w:r>
              <w:rPr>
                <w:rFonts w:ascii="Arial" w:cs="Arial" w:eastAsia="Arial" w:hAnsi="Arial"/>
                <w:sz w:val="18"/>
                <w:szCs w:val="18"/>
                <w:b w:val="1"/>
                <w:bCs w:val="1"/>
                <w:color w:val="auto"/>
              </w:rPr>
              <w:t>February 28,</w:t>
            </w:r>
          </w:p>
        </w:tc>
      </w:tr>
      <w:tr>
        <w:trPr>
          <w:trHeight w:val="229"/>
        </w:trPr>
        <w:tc>
          <w:tcPr>
            <w:tcW w:w="446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2010</w:t>
            </w:r>
          </w:p>
        </w:tc>
      </w:tr>
      <w:tr>
        <w:trPr>
          <w:trHeight w:val="204"/>
        </w:trPr>
        <w:tc>
          <w:tcPr>
            <w:tcW w:w="44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Inside the U.S.A. to unaffiliated customers</w:t>
            </w:r>
          </w:p>
        </w:tc>
        <w:tc>
          <w:tcPr>
            <w:tcW w:w="164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color w:val="auto"/>
                <w:w w:val="90"/>
              </w:rPr>
              <w:t>56.2%</w:t>
            </w:r>
          </w:p>
        </w:tc>
        <w:tc>
          <w:tcPr>
            <w:tcW w:w="1780" w:type="dxa"/>
            <w:vAlign w:val="bottom"/>
            <w:gridSpan w:val="2"/>
            <w:shd w:val="clear" w:color="auto" w:fill="CCEEFF"/>
          </w:tcPr>
          <w:p>
            <w:pPr>
              <w:jc w:val="center"/>
              <w:ind w:left="32"/>
              <w:spacing w:after="0" w:line="205" w:lineRule="exact"/>
              <w:rPr>
                <w:sz w:val="20"/>
                <w:szCs w:val="20"/>
                <w:color w:val="auto"/>
              </w:rPr>
            </w:pPr>
            <w:r>
              <w:rPr>
                <w:rFonts w:ascii="Arial" w:cs="Arial" w:eastAsia="Arial" w:hAnsi="Arial"/>
                <w:sz w:val="18"/>
                <w:szCs w:val="18"/>
                <w:color w:val="auto"/>
                <w:w w:val="90"/>
              </w:rPr>
              <w:t>79.6%</w:t>
            </w:r>
          </w:p>
        </w:tc>
        <w:tc>
          <w:tcPr>
            <w:tcW w:w="1760" w:type="dxa"/>
            <w:vAlign w:val="bottom"/>
            <w:gridSpan w:val="2"/>
            <w:shd w:val="clear" w:color="auto" w:fill="CCEEFF"/>
          </w:tcPr>
          <w:p>
            <w:pPr>
              <w:jc w:val="center"/>
              <w:ind w:left="32"/>
              <w:spacing w:after="0" w:line="205" w:lineRule="exact"/>
              <w:rPr>
                <w:sz w:val="20"/>
                <w:szCs w:val="20"/>
                <w:color w:val="auto"/>
              </w:rPr>
            </w:pPr>
            <w:r>
              <w:rPr>
                <w:rFonts w:ascii="Arial" w:cs="Arial" w:eastAsia="Arial" w:hAnsi="Arial"/>
                <w:sz w:val="18"/>
                <w:szCs w:val="18"/>
                <w:color w:val="auto"/>
                <w:w w:val="86"/>
              </w:rPr>
              <w:t>61.3%</w:t>
            </w:r>
          </w:p>
        </w:tc>
        <w:tc>
          <w:tcPr>
            <w:tcW w:w="1780" w:type="dxa"/>
            <w:vAlign w:val="bottom"/>
            <w:gridSpan w:val="2"/>
            <w:shd w:val="clear" w:color="auto" w:fill="CCEEFF"/>
          </w:tcPr>
          <w:p>
            <w:pPr>
              <w:jc w:val="center"/>
              <w:ind w:left="32"/>
              <w:spacing w:after="0" w:line="205" w:lineRule="exact"/>
              <w:rPr>
                <w:sz w:val="20"/>
                <w:szCs w:val="20"/>
                <w:color w:val="auto"/>
              </w:rPr>
            </w:pPr>
            <w:r>
              <w:rPr>
                <w:rFonts w:ascii="Arial" w:cs="Arial" w:eastAsia="Arial" w:hAnsi="Arial"/>
                <w:sz w:val="18"/>
                <w:szCs w:val="18"/>
                <w:color w:val="auto"/>
                <w:w w:val="90"/>
              </w:rPr>
              <w:t>77.4%</w:t>
            </w:r>
          </w:p>
        </w:tc>
      </w:tr>
      <w:tr>
        <w:trPr>
          <w:trHeight w:val="211"/>
        </w:trPr>
        <w:tc>
          <w:tcPr>
            <w:tcW w:w="4460" w:type="dxa"/>
            <w:vAlign w:val="bottom"/>
          </w:tcPr>
          <w:p>
            <w:pPr>
              <w:spacing w:after="0"/>
              <w:rPr>
                <w:sz w:val="20"/>
                <w:szCs w:val="20"/>
                <w:color w:val="auto"/>
              </w:rPr>
            </w:pPr>
            <w:r>
              <w:rPr>
                <w:rFonts w:ascii="Arial" w:cs="Arial" w:eastAsia="Arial" w:hAnsi="Arial"/>
                <w:sz w:val="18"/>
                <w:szCs w:val="18"/>
                <w:color w:val="auto"/>
              </w:rPr>
              <w:t>International sales to:</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9"/>
        </w:trPr>
        <w:tc>
          <w:tcPr>
            <w:tcW w:w="4460" w:type="dxa"/>
            <w:vAlign w:val="bottom"/>
            <w:shd w:val="clear" w:color="auto" w:fill="CCEEFF"/>
          </w:tcPr>
          <w:p>
            <w:pPr>
              <w:ind w:left="320"/>
              <w:spacing w:after="0" w:line="199" w:lineRule="exact"/>
              <w:rPr>
                <w:sz w:val="20"/>
                <w:szCs w:val="20"/>
                <w:color w:val="auto"/>
              </w:rPr>
            </w:pPr>
            <w:r>
              <w:rPr>
                <w:rFonts w:ascii="Arial" w:cs="Arial" w:eastAsia="Arial" w:hAnsi="Arial"/>
                <w:sz w:val="18"/>
                <w:szCs w:val="18"/>
                <w:color w:val="auto"/>
              </w:rPr>
              <w:t>Corporate joint ventures in which the Company is a</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3"/>
        </w:trPr>
        <w:tc>
          <w:tcPr>
            <w:tcW w:w="4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shareholder directly and indirectly</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15.4%</w:t>
            </w:r>
          </w:p>
        </w:tc>
        <w:tc>
          <w:tcPr>
            <w:tcW w:w="17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18.0%</w:t>
            </w:r>
          </w:p>
        </w:tc>
        <w:tc>
          <w:tcPr>
            <w:tcW w:w="17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15.9%</w:t>
            </w:r>
          </w:p>
        </w:tc>
        <w:tc>
          <w:tcPr>
            <w:tcW w:w="17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18.7%</w:t>
            </w:r>
          </w:p>
        </w:tc>
      </w:tr>
      <w:tr>
        <w:trPr>
          <w:trHeight w:val="211"/>
        </w:trPr>
        <w:tc>
          <w:tcPr>
            <w:tcW w:w="4460" w:type="dxa"/>
            <w:vAlign w:val="bottom"/>
          </w:tcPr>
          <w:p>
            <w:pPr>
              <w:ind w:left="320"/>
              <w:spacing w:after="0"/>
              <w:rPr>
                <w:sz w:val="20"/>
                <w:szCs w:val="20"/>
                <w:color w:val="auto"/>
              </w:rPr>
            </w:pPr>
            <w:r>
              <w:rPr>
                <w:rFonts w:ascii="Arial" w:cs="Arial" w:eastAsia="Arial" w:hAnsi="Arial"/>
                <w:sz w:val="18"/>
                <w:szCs w:val="18"/>
                <w:color w:val="auto"/>
              </w:rPr>
              <w:t>Unaffiliated customers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28.4%</w:t>
            </w:r>
          </w:p>
        </w:tc>
        <w:tc>
          <w:tcPr>
            <w:tcW w:w="178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2.4%</w:t>
            </w:r>
          </w:p>
        </w:tc>
        <w:tc>
          <w:tcPr>
            <w:tcW w:w="176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6"/>
              </w:rPr>
              <w:t>22.8%</w:t>
            </w:r>
          </w:p>
        </w:tc>
        <w:tc>
          <w:tcPr>
            <w:tcW w:w="178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3.9%</w:t>
            </w:r>
          </w:p>
        </w:tc>
      </w:tr>
      <w:tr>
        <w:trPr>
          <w:trHeight w:val="204"/>
        </w:trPr>
        <w:tc>
          <w:tcPr>
            <w:tcW w:w="446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4" w:lineRule="exact"/>
              <w:rPr>
                <w:sz w:val="20"/>
                <w:szCs w:val="20"/>
                <w:color w:val="auto"/>
              </w:rPr>
            </w:pPr>
            <w:r>
              <w:rPr>
                <w:rFonts w:ascii="Arial" w:cs="Arial" w:eastAsia="Arial" w:hAnsi="Arial"/>
                <w:sz w:val="18"/>
                <w:szCs w:val="18"/>
                <w:color w:val="auto"/>
                <w:w w:val="88"/>
              </w:rPr>
              <w:t>100.0%</w:t>
            </w:r>
          </w:p>
        </w:tc>
        <w:tc>
          <w:tcPr>
            <w:tcW w:w="1780" w:type="dxa"/>
            <w:vAlign w:val="bottom"/>
            <w:gridSpan w:val="2"/>
            <w:shd w:val="clear" w:color="auto" w:fill="CCEEFF"/>
          </w:tcPr>
          <w:p>
            <w:pPr>
              <w:jc w:val="center"/>
              <w:ind w:left="32"/>
              <w:spacing w:after="0" w:line="204" w:lineRule="exact"/>
              <w:rPr>
                <w:sz w:val="20"/>
                <w:szCs w:val="20"/>
                <w:color w:val="auto"/>
              </w:rPr>
            </w:pPr>
            <w:r>
              <w:rPr>
                <w:rFonts w:ascii="Arial" w:cs="Arial" w:eastAsia="Arial" w:hAnsi="Arial"/>
                <w:sz w:val="18"/>
                <w:szCs w:val="18"/>
                <w:color w:val="auto"/>
                <w:w w:val="88"/>
              </w:rPr>
              <w:t>100.0%</w:t>
            </w:r>
          </w:p>
        </w:tc>
        <w:tc>
          <w:tcPr>
            <w:tcW w:w="1760" w:type="dxa"/>
            <w:vAlign w:val="bottom"/>
            <w:gridSpan w:val="2"/>
            <w:shd w:val="clear" w:color="auto" w:fill="CCEEFF"/>
          </w:tcPr>
          <w:p>
            <w:pPr>
              <w:jc w:val="center"/>
              <w:ind w:left="12"/>
              <w:spacing w:after="0" w:line="204" w:lineRule="exact"/>
              <w:rPr>
                <w:sz w:val="20"/>
                <w:szCs w:val="20"/>
                <w:color w:val="auto"/>
              </w:rPr>
            </w:pPr>
            <w:r>
              <w:rPr>
                <w:rFonts w:ascii="Arial" w:cs="Arial" w:eastAsia="Arial" w:hAnsi="Arial"/>
                <w:sz w:val="18"/>
                <w:szCs w:val="18"/>
                <w:color w:val="auto"/>
                <w:w w:val="88"/>
              </w:rPr>
              <w:t>100.0%</w:t>
            </w:r>
          </w:p>
        </w:tc>
        <w:tc>
          <w:tcPr>
            <w:tcW w:w="1780" w:type="dxa"/>
            <w:vAlign w:val="bottom"/>
            <w:gridSpan w:val="2"/>
            <w:shd w:val="clear" w:color="auto" w:fill="CCEEFF"/>
          </w:tcPr>
          <w:p>
            <w:pPr>
              <w:jc w:val="center"/>
              <w:ind w:left="32"/>
              <w:spacing w:after="0" w:line="204" w:lineRule="exact"/>
              <w:rPr>
                <w:sz w:val="20"/>
                <w:szCs w:val="20"/>
                <w:color w:val="auto"/>
              </w:rPr>
            </w:pPr>
            <w:r>
              <w:rPr>
                <w:rFonts w:ascii="Arial" w:cs="Arial" w:eastAsia="Arial" w:hAnsi="Arial"/>
                <w:sz w:val="18"/>
                <w:szCs w:val="18"/>
                <w:color w:val="auto"/>
                <w:w w:val="88"/>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2" w:name="page13"/>
    <w:bookmarkEnd w:id="12"/>
    <w:p>
      <w:pPr>
        <w:ind w:right="320"/>
        <w:spacing w:after="0" w:line="262"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six months ended February 28, 2011 and 2010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7"/>
          </w:tcPr>
          <w:p>
            <w:pPr>
              <w:jc w:val="center"/>
              <w:ind w:right="1052"/>
              <w:spacing w:after="0"/>
              <w:rPr>
                <w:sz w:val="20"/>
                <w:szCs w:val="20"/>
                <w:color w:val="auto"/>
              </w:rPr>
            </w:pPr>
            <w:r>
              <w:rPr>
                <w:rFonts w:ascii="Arial" w:cs="Arial" w:eastAsia="Arial" w:hAnsi="Arial"/>
                <w:sz w:val="18"/>
                <w:szCs w:val="18"/>
                <w:b w:val="1"/>
                <w:bCs w:val="1"/>
                <w:color w:val="auto"/>
                <w:w w:val="90"/>
              </w:rPr>
              <w:t>Three Months Ended February 28,</w:t>
            </w:r>
          </w:p>
        </w:tc>
      </w:tr>
      <w:tr>
        <w:trPr>
          <w:trHeight w:val="186"/>
        </w:trPr>
        <w:tc>
          <w:tcPr>
            <w:tcW w:w="3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52"/>
              <w:spacing w:after="0" w:line="186" w:lineRule="exact"/>
              <w:rPr>
                <w:sz w:val="20"/>
                <w:szCs w:val="20"/>
                <w:color w:val="auto"/>
              </w:rPr>
            </w:pPr>
            <w:r>
              <w:rPr>
                <w:rFonts w:ascii="Arial" w:cs="Arial" w:eastAsia="Arial" w:hAnsi="Arial"/>
                <w:sz w:val="18"/>
                <w:szCs w:val="18"/>
                <w:b w:val="1"/>
                <w:bCs w:val="1"/>
                <w:color w:val="auto"/>
                <w:w w:val="89"/>
              </w:rPr>
              <w:t>% of Total Fees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r>
      <w:tr>
        <w:trPr>
          <w:trHeight w:val="229"/>
        </w:trPr>
        <w:tc>
          <w:tcPr>
            <w:tcW w:w="3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r>
      <w:tr>
        <w:trPr>
          <w:trHeight w:val="204"/>
        </w:trPr>
        <w:tc>
          <w:tcPr>
            <w:tcW w:w="38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Japan</w:t>
            </w:r>
          </w:p>
        </w:tc>
        <w:tc>
          <w:tcPr>
            <w:tcW w:w="27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233,170</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16.6%</w:t>
            </w:r>
          </w:p>
        </w:tc>
        <w:tc>
          <w:tcPr>
            <w:tcW w:w="2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219,412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19.1%</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Germany</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264,476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251,598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161,158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118,116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France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159,107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122,201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122,565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89,261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Sweden</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91,531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76,702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43,227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234,970</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213,991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04"/>
        </w:trPr>
        <w:tc>
          <w:tcPr>
            <w:tcW w:w="38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1,402,149</w:t>
            </w:r>
          </w:p>
        </w:tc>
        <w:tc>
          <w:tcPr>
            <w:tcW w:w="14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1,149,337</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r>
        <w:trPr>
          <w:trHeight w:val="448"/>
        </w:trPr>
        <w:tc>
          <w:tcPr>
            <w:tcW w:w="38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Six Months Ended February 28,</w:t>
            </w:r>
          </w:p>
        </w:tc>
        <w:tc>
          <w:tcPr>
            <w:tcW w:w="1320" w:type="dxa"/>
            <w:vAlign w:val="bottom"/>
            <w:tcBorders>
              <w:bottom w:val="single" w:sz="8" w:color="auto"/>
            </w:tcBorders>
          </w:tcPr>
          <w:p>
            <w:pPr>
              <w:spacing w:after="0"/>
              <w:rPr>
                <w:sz w:val="24"/>
                <w:szCs w:val="24"/>
                <w:color w:val="auto"/>
              </w:rPr>
            </w:pPr>
          </w:p>
        </w:tc>
      </w:tr>
      <w:tr>
        <w:trPr>
          <w:trHeight w:val="186"/>
        </w:trPr>
        <w:tc>
          <w:tcPr>
            <w:tcW w:w="3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52"/>
              <w:spacing w:after="0" w:line="186" w:lineRule="exact"/>
              <w:rPr>
                <w:sz w:val="20"/>
                <w:szCs w:val="20"/>
                <w:color w:val="auto"/>
              </w:rPr>
            </w:pPr>
            <w:r>
              <w:rPr>
                <w:rFonts w:ascii="Arial" w:cs="Arial" w:eastAsia="Arial" w:hAnsi="Arial"/>
                <w:sz w:val="18"/>
                <w:szCs w:val="18"/>
                <w:b w:val="1"/>
                <w:bCs w:val="1"/>
                <w:color w:val="auto"/>
                <w:w w:val="89"/>
              </w:rPr>
              <w:t>% of Total Fees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r>
      <w:tr>
        <w:trPr>
          <w:trHeight w:val="229"/>
        </w:trPr>
        <w:tc>
          <w:tcPr>
            <w:tcW w:w="3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r>
      <w:tr>
        <w:trPr>
          <w:trHeight w:val="204"/>
        </w:trPr>
        <w:tc>
          <w:tcPr>
            <w:tcW w:w="38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Japan</w:t>
            </w:r>
          </w:p>
        </w:tc>
        <w:tc>
          <w:tcPr>
            <w:tcW w:w="27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509,170</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17.8%</w:t>
            </w:r>
          </w:p>
        </w:tc>
        <w:tc>
          <w:tcPr>
            <w:tcW w:w="2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442,412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19.2%</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Germany</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521,753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521,098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361,869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300,808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France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323,590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236,393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266,776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202,158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Sweden</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294,111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186,073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159,344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138,356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417,316</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273,969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04"/>
        </w:trPr>
        <w:tc>
          <w:tcPr>
            <w:tcW w:w="38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2,853,929</w:t>
            </w:r>
          </w:p>
        </w:tc>
        <w:tc>
          <w:tcPr>
            <w:tcW w:w="14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2,301,268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six months ended February 28, 2011 and 2010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w w:val="99"/>
              </w:rPr>
              <w:t>Six Months Ended</w:t>
            </w:r>
          </w:p>
        </w:tc>
      </w:tr>
      <w:tr>
        <w:trPr>
          <w:trHeight w:val="186"/>
        </w:trPr>
        <w:tc>
          <w:tcPr>
            <w:tcW w:w="4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r>
      <w:tr>
        <w:trPr>
          <w:trHeight w:val="229"/>
        </w:trPr>
        <w:tc>
          <w:tcPr>
            <w:tcW w:w="40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r>
      <w:tr>
        <w:trPr>
          <w:trHeight w:val="204"/>
        </w:trPr>
        <w:tc>
          <w:tcPr>
            <w:tcW w:w="40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ZERUST® sales</w:t>
            </w:r>
          </w:p>
        </w:tc>
        <w:tc>
          <w:tcPr>
            <w:tcW w:w="2940" w:type="dxa"/>
            <w:vAlign w:val="bottom"/>
            <w:gridSpan w:val="2"/>
            <w:shd w:val="clear" w:color="auto" w:fill="CCEEFF"/>
          </w:tcPr>
          <w:p>
            <w:pPr>
              <w:ind w:left="276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4,576,313</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2,785,452</w:t>
            </w:r>
          </w:p>
        </w:tc>
        <w:tc>
          <w:tcPr>
            <w:tcW w:w="30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8,451,741</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5,413,009</w:t>
            </w:r>
          </w:p>
        </w:tc>
      </w:tr>
      <w:tr>
        <w:trPr>
          <w:trHeight w:val="211"/>
        </w:trPr>
        <w:tc>
          <w:tcPr>
            <w:tcW w:w="4020" w:type="dxa"/>
            <w:vAlign w:val="bottom"/>
          </w:tcPr>
          <w:p>
            <w:pPr>
              <w:spacing w:after="0"/>
              <w:rPr>
                <w:sz w:val="20"/>
                <w:szCs w:val="20"/>
                <w:color w:val="auto"/>
              </w:rPr>
            </w:pPr>
            <w:r>
              <w:rPr>
                <w:rFonts w:ascii="Arial" w:cs="Arial" w:eastAsia="Arial" w:hAnsi="Arial"/>
                <w:sz w:val="18"/>
                <w:szCs w:val="18"/>
                <w:color w:val="auto"/>
              </w:rPr>
              <w:t>Natur-Tec™ sales</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201,805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424,818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174,871</w:t>
            </w: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94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4,778,118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2,876,478</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8,876,559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5,587,880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sales for the three and six months ended February 28, 2011 and 2010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86"/>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9"/>
              </w:rPr>
              <w:t>% of</w:t>
            </w:r>
          </w:p>
        </w:tc>
      </w:tr>
      <w:tr>
        <w:trPr>
          <w:trHeight w:val="211"/>
        </w:trPr>
        <w:tc>
          <w:tcPr>
            <w:tcW w:w="27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0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Product</w:t>
            </w:r>
          </w:p>
        </w:tc>
      </w:tr>
      <w:tr>
        <w:trPr>
          <w:trHeight w:val="229"/>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5"/>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Sales*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5"/>
              </w:rPr>
              <w:t>Sales*</w:t>
            </w:r>
          </w:p>
        </w:tc>
      </w:tr>
      <w:tr>
        <w:trPr>
          <w:trHeight w:val="204"/>
        </w:trPr>
        <w:tc>
          <w:tcPr>
            <w:tcW w:w="2720" w:type="dxa"/>
            <w:vAlign w:val="bottom"/>
          </w:tcPr>
          <w:p>
            <w:pPr>
              <w:spacing w:after="0" w:line="204" w:lineRule="exact"/>
              <w:rPr>
                <w:sz w:val="20"/>
                <w:szCs w:val="20"/>
                <w:color w:val="auto"/>
              </w:rPr>
            </w:pPr>
            <w:r>
              <w:rPr>
                <w:rFonts w:ascii="Arial" w:cs="Arial" w:eastAsia="Arial" w:hAnsi="Arial"/>
                <w:sz w:val="18"/>
                <w:szCs w:val="18"/>
                <w:color w:val="auto"/>
              </w:rPr>
              <w:t>Direct cost of sales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ZERUST® cost of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2,339,683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1,484,292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4,529,828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2,902,261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11"/>
        </w:trPr>
        <w:tc>
          <w:tcPr>
            <w:tcW w:w="2720" w:type="dxa"/>
            <w:vAlign w:val="bottom"/>
          </w:tcPr>
          <w:p>
            <w:pPr>
              <w:spacing w:after="0"/>
              <w:rPr>
                <w:sz w:val="20"/>
                <w:szCs w:val="20"/>
                <w:color w:val="auto"/>
              </w:rPr>
            </w:pPr>
            <w:r>
              <w:rPr>
                <w:rFonts w:ascii="Arial" w:cs="Arial" w:eastAsia="Arial" w:hAnsi="Arial"/>
                <w:sz w:val="18"/>
                <w:szCs w:val="18"/>
                <w:color w:val="auto"/>
              </w:rPr>
              <w:t>Natur-Tec™ cost of sales</w:t>
            </w: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176,805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59,929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357,435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118,947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68.0%</w:t>
            </w:r>
          </w:p>
        </w:tc>
      </w:tr>
      <w:tr>
        <w:trPr>
          <w:trHeight w:val="211"/>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sales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489,744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295,966</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809,674</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576,935</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320"/>
              <w:spacing w:after="0"/>
              <w:rPr>
                <w:sz w:val="20"/>
                <w:szCs w:val="20"/>
                <w:color w:val="auto"/>
              </w:rPr>
            </w:pPr>
            <w:r>
              <w:rPr>
                <w:rFonts w:ascii="Arial" w:cs="Arial" w:eastAsia="Arial" w:hAnsi="Arial"/>
                <w:sz w:val="18"/>
                <w:szCs w:val="18"/>
                <w:color w:val="auto"/>
              </w:rPr>
              <w:t>Total net cost of goods sold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3,006,232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1,840,647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5,696,937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3,598,143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81"/>
        </w:trPr>
        <w:tc>
          <w:tcPr>
            <w:tcW w:w="2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42"/>
        </w:trPr>
        <w:tc>
          <w:tcPr>
            <w:tcW w:w="27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 The percent of segment sales is calculated by dividing the direct cost of sales for each individual segment category by the net sales for each segment category.</w:t>
      </w:r>
    </w:p>
    <w:p>
      <w:pPr>
        <w:spacing w:after="0" w:line="26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16" w:lineRule="exact"/>
        <w:rPr>
          <w:sz w:val="20"/>
          <w:szCs w:val="20"/>
          <w:color w:val="auto"/>
        </w:rPr>
      </w:pPr>
    </w:p>
    <w:p>
      <w:pPr>
        <w:ind w:right="20"/>
        <w:spacing w:after="0" w:line="363" w:lineRule="auto"/>
        <w:rPr>
          <w:sz w:val="20"/>
          <w:szCs w:val="20"/>
          <w:color w:val="auto"/>
        </w:rPr>
      </w:pPr>
      <w:r>
        <w:rPr>
          <w:rFonts w:ascii="Arial" w:cs="Arial" w:eastAsia="Arial" w:hAnsi="Arial"/>
          <w:sz w:val="15"/>
          <w:szCs w:val="15"/>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The geographical distribution of long-lived assets is set forth as follows:</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49"/>
        </w:trPr>
        <w:tc>
          <w:tcPr>
            <w:tcW w:w="7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rPr>
              <w:t>February 28,</w:t>
            </w:r>
          </w:p>
        </w:tc>
      </w:tr>
      <w:tr>
        <w:trPr>
          <w:trHeight w:val="204"/>
        </w:trPr>
        <w:tc>
          <w:tcPr>
            <w:tcW w:w="7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line="205"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2"/>
              <w:spacing w:after="0" w:line="205" w:lineRule="exact"/>
              <w:rPr>
                <w:sz w:val="20"/>
                <w:szCs w:val="20"/>
                <w:color w:val="auto"/>
              </w:rPr>
            </w:pPr>
            <w:r>
              <w:rPr>
                <w:rFonts w:ascii="Arial" w:cs="Arial" w:eastAsia="Arial" w:hAnsi="Arial"/>
                <w:sz w:val="18"/>
                <w:szCs w:val="18"/>
                <w:b w:val="1"/>
                <w:bCs w:val="1"/>
                <w:color w:val="auto"/>
              </w:rPr>
              <w:t>2010</w:t>
            </w:r>
          </w:p>
        </w:tc>
      </w:tr>
      <w:tr>
        <w:trPr>
          <w:trHeight w:val="20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United States</w:t>
            </w:r>
          </w:p>
        </w:tc>
        <w:tc>
          <w:tcPr>
            <w:tcW w:w="2240" w:type="dxa"/>
            <w:vAlign w:val="bottom"/>
            <w:gridSpan w:val="2"/>
            <w:shd w:val="clear" w:color="auto" w:fill="CCEEFF"/>
          </w:tcPr>
          <w:p>
            <w:pPr>
              <w:jc w:val="right"/>
              <w:ind w:right="3"/>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2"/>
              </w:rPr>
              <w:t>3,299,406</w:t>
            </w:r>
          </w:p>
        </w:tc>
        <w:tc>
          <w:tcPr>
            <w:tcW w:w="2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3,487,272</w:t>
            </w:r>
          </w:p>
        </w:tc>
      </w:tr>
      <w:tr>
        <w:trPr>
          <w:trHeight w:val="211"/>
        </w:trPr>
        <w:tc>
          <w:tcPr>
            <w:tcW w:w="71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58,976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718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Consolidated</w:t>
            </w:r>
          </w:p>
        </w:tc>
        <w:tc>
          <w:tcPr>
            <w:tcW w:w="2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2"/>
              </w:rPr>
              <w:t>3,358,382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3,487,272</w:t>
            </w:r>
          </w:p>
        </w:tc>
      </w:tr>
    </w:tbl>
    <w:p>
      <w:pPr>
        <w:spacing w:after="0" w:line="225"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201" w:lineRule="exact"/>
        <w:rPr>
          <w:sz w:val="20"/>
          <w:szCs w:val="20"/>
          <w:color w:val="auto"/>
        </w:rPr>
      </w:pPr>
    </w:p>
    <w:p>
      <w:pPr>
        <w:ind w:left="700" w:hanging="695"/>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February 28, 2011 and August 31, 2010, the Company deferred amounts received of $0 and $130,196, respectively, in other accrued liabilities, as the Company had not yet performed under the obligations of the contracts.</w:t>
      </w:r>
    </w:p>
    <w:p>
      <w:pPr>
        <w:spacing w:after="0" w:line="18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expenses all costs related to product research and development as incurred. The Company incurred $2,100,626 and $1,565,698 of expense during the six months ended February 28, 2011 and 2010, respectively, in connection with its research and development activities. These costs related to product research and development are the net amount after being reduced by reimbursements related to the awarding of the multiple research and development contracts of $212,992 and $286,479 for the six months ended February 28, 2011 and 2010, respectively. The net fees are accounted for in the “Research and Development Expenses” section of the consolidated statements of operations.</w:t>
      </w:r>
    </w:p>
    <w:p>
      <w:pPr>
        <w:spacing w:after="0" w:line="186" w:lineRule="exact"/>
        <w:rPr>
          <w:sz w:val="20"/>
          <w:szCs w:val="20"/>
          <w:color w:val="auto"/>
        </w:rPr>
      </w:pPr>
    </w:p>
    <w:p>
      <w:pPr>
        <w:ind w:left="700" w:hanging="695"/>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August 27, 2010, the Company’s Board of Directors, upon recommendation of the Compensation Committee, approved the material terms of an annual bonus plan for the Company’s executive officers and certain employees for the fiscal year ending August 31, 2011,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4" w:name="page15"/>
    <w:bookmarkEnd w:id="14"/>
    <w:p>
      <w:pPr>
        <w:ind w:left="960" w:hanging="137"/>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264" w:lineRule="exact"/>
        <w:rPr>
          <w:rFonts w:ascii="Arial" w:cs="Arial" w:eastAsia="Arial" w:hAnsi="Arial"/>
          <w:sz w:val="16"/>
          <w:szCs w:val="16"/>
          <w:color w:val="auto"/>
        </w:rPr>
      </w:pPr>
    </w:p>
    <w:p>
      <w:pPr>
        <w:ind w:left="960" w:hanging="137"/>
        <w:spacing w:after="0" w:line="262"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207" w:lineRule="exact"/>
        <w:rPr>
          <w:rFonts w:ascii="Arial" w:cs="Arial" w:eastAsia="Arial" w:hAnsi="Arial"/>
          <w:sz w:val="18"/>
          <w:szCs w:val="18"/>
          <w:color w:val="auto"/>
        </w:rPr>
      </w:pPr>
    </w:p>
    <w:p>
      <w:pPr>
        <w:jc w:val="both"/>
        <w:ind w:left="960" w:hanging="137"/>
        <w:spacing w:after="0" w:line="25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21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There was $765,000 for management bonuses accrued for six months ended February 28, 2011 compared to a management bonus accrual of $266,311 for the six months ended February 28, 2010.</w:t>
      </w:r>
    </w:p>
    <w:p>
      <w:pPr>
        <w:spacing w:after="0" w:line="207" w:lineRule="exact"/>
        <w:rPr>
          <w:sz w:val="20"/>
          <w:szCs w:val="20"/>
          <w:color w:val="auto"/>
        </w:rPr>
      </w:pPr>
    </w:p>
    <w:p>
      <w:pPr>
        <w:jc w:val="both"/>
        <w:ind w:right="120"/>
        <w:spacing w:after="0" w:line="300" w:lineRule="auto"/>
        <w:rPr>
          <w:sz w:val="20"/>
          <w:szCs w:val="20"/>
          <w:color w:val="auto"/>
        </w:rPr>
      </w:pPr>
      <w:r>
        <w:rPr>
          <w:rFonts w:ascii="Arial" w:cs="Arial" w:eastAsia="Arial" w:hAnsi="Arial"/>
          <w:sz w:val="16"/>
          <w:szCs w:val="16"/>
          <w:color w:val="auto"/>
        </w:rPr>
        <w:t>The Company operates a rental property located at 23205 Mercantile Road, Beachwood, Ohio for research and development purposes. Total rent expense for the six months ended February 28, 2011 and 2010 was $119,690 and $60,814 respectively. Remaining rentals payable under such leases are as follows: fiscal 2011 - $119,690; fiscal 2012 - $238,500; fiscal 2013 - $238,500; fiscal 2014 - $59,500 and thereafter - $0.</w:t>
      </w:r>
    </w:p>
    <w:p>
      <w:pPr>
        <w:spacing w:after="0" w:line="180"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One customer accounted for 28.9% of the Company’s trade receivables, excluding joint ventures at August 31, 2010. One customer accounted for 10.6% of the Company’s trade receivables, excluding joint ventures at August 31, 2010. Three joint ventures accounted for 69.0% of the Company’s trade joint venture receivables at February 28, 2011. One joint venture accounted for 36.4% of the Company’s trade joint venture receivables at August 31, 2010.</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 w:name="page16"/>
    <w:bookmarkEnd w:id="15"/>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NTIC develops and markets proprietary environmentally beneficial products and technical services in over 55 countries either directly or via a network of joint ventures and independent distributors. NTIC’s primary business is corrosion prevention. From this base, NTIC has expanded into three new business areas that have started recently to generate revenue (1) corrosion prevention technologies specifically designed for the oil and gas industry, which NTIC sells both directly as well as through joint ventures and independent agents; (2) a proprietary portfolio of bio-plastic compounds and finished products marketed under the Natur-Tec® brand, which NTIC sells directly as well as through distributors and independent agents; and (3) technology and equipment that converts waste plastic into diesel, gasoline and heavy fractions, which is exclusively licensed and sold in North America and Asia through NTIC’s joint venture Polymer Energy, LLC.</w:t>
      </w:r>
    </w:p>
    <w:p>
      <w:pPr>
        <w:spacing w:after="0" w:line="192"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NTIC has been selling its proprietary ZERUST® brand rust and corrosion inhibiting products and services to the automotive, electronics, electrical, mechanical, military and retail consumer markets for over 35 years. NTIC also offers worldwide on-site technical consulting for rust and corrosion prevention issues. In North America, NTIC markets its technical services and products principally to industrial users by a direct sales force as well as a network of independent distributors and agents. NTIC’s technical service consultants work directly with the end users of NTIC’s products to analyze their specific needs and develop systems to meet their technical requirements.</w:t>
      </w: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NTIC has developed proprietary corrosion inhibiting technologies for use in the mitigation of corrosion on capital assets used in the petroleum and chemical process industries and is initially targeting the sale of these new ZERUST® products to the oil and gas industry sector. During fiscal 2009, NTIC announced the signing of a multi-year contract between NTIC’s Brazilian subsidiary (Zerust Prevenção de Corrosão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has also started aimed at field trials of certain pipeline protection technologies. All of these projects continued during fiscal 2010 and the first six months of fiscal</w:t>
      </w:r>
    </w:p>
    <w:p>
      <w:pPr>
        <w:ind w:right="60"/>
        <w:spacing w:after="0" w:line="283" w:lineRule="auto"/>
        <w:rPr>
          <w:sz w:val="20"/>
          <w:szCs w:val="20"/>
          <w:color w:val="auto"/>
        </w:rPr>
      </w:pPr>
      <w:r>
        <w:rPr>
          <w:rFonts w:ascii="Arial" w:cs="Arial" w:eastAsia="Arial" w:hAnsi="Arial"/>
          <w:sz w:val="16"/>
          <w:szCs w:val="16"/>
          <w:color w:val="auto"/>
        </w:rPr>
        <w:t>2011. NTIC also is pursuing opportunities to market its ZERUST® corrosion prevention technology to other potential customers in the oil and gas industry across several countries through NTIC’s joint venture partners and other strategic partners. During fiscal 2010, NTIC entered into agreements with Iromad VZ, LLC and GF Consulting Services LLC to provide sales and marketing services for NTIC’s oil and gas industry specific corrosion prevention technologies with a particular focus on the markets in the United States, Venezuela, Mexico and Spain. NTIC believes the sale of its ZERUST® products to customers in the oil and gas industry will involve a long sales cycle, likely including a one- to two-year trial period with each customer and a slow integration process thereafter.</w:t>
      </w:r>
    </w:p>
    <w:p>
      <w:pPr>
        <w:spacing w:after="0" w:line="196"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In addition to ZERUST® products and services, NTIC develops and markets a portfolio of bio-based and/or biodegradable (compostable) polymer resin compounds and finished products under the Natur-Tec® brand. The</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66" w:right="279" w:bottom="1440" w:gutter="0" w:footer="0" w:header="0"/>
        </w:sectPr>
      </w:pPr>
    </w:p>
    <w:bookmarkStart w:id="16" w:name="page17"/>
    <w:bookmarkEnd w:id="16"/>
    <w:p>
      <w:pPr>
        <w:ind w:right="140"/>
        <w:spacing w:after="0" w:line="291" w:lineRule="auto"/>
        <w:rPr>
          <w:sz w:val="20"/>
          <w:szCs w:val="20"/>
          <w:color w:val="auto"/>
        </w:rPr>
      </w:pPr>
      <w:r>
        <w:rPr>
          <w:rFonts w:ascii="Arial" w:cs="Arial" w:eastAsia="Arial" w:hAnsi="Arial"/>
          <w:sz w:val="16"/>
          <w:szCs w:val="16"/>
          <w:color w:val="auto"/>
        </w:rPr>
        <w:t>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 During fiscal 2010 and the first six months of fiscal 2011, NTIC focused on adding additional distributors and generating initial sales with these distributors.</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NTIC’s Polymer Energy LLC joint venture develops and promotes a system that uses catalytic pyrolysis to convert waste plastic (primarily polyolefins) into hydrocarbons (primarily a mix of diesels, gasoline and heavy fractions) resulting in an economically viable and environmentally responsible alternative to current methods of recycling and disposal of waste plastic. Each unit can process up to ten tons of waste plastic per day, and the modular design allows for easily scalable capacity. The crude output is high-grade and can be further processed in a refinery or used as an input for co-generation of electricity. During fiscal 2010 and the first six months of fiscal 2011, NTIC’s Polymer Energy LLC joint venture focused on making design improvements to the Polymer Energy™ equipment and generating initial interest from potential customers in India, Thailand and Indonesia.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47"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NTIC participates in 26 active joint venture arrangements in North America, South America, Europe, Asia and the Middle East. Each of these joint ventures generally manufactures and markets finished products in the geographic territory to which it is assigned. While currently most of NTIC’s joint ventures exclusively sell rust and corrosion inhibiting packaging and products to industrial customers, NTIC also has joint ventures that manufacture, market and sell corrosion prevention solutions for the oil and gas industry and Polymer Energy™ equipment that converts waste plastic into diesel, gasoline and heavy fractions. NTIC historically has funded its joint venture investments with cash generated from operations.</w:t>
      </w:r>
    </w:p>
    <w:p>
      <w:pPr>
        <w:spacing w:after="0" w:line="19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its German joint venture, NTIC recognizes an agreed upon quarterly fee for such services. With respect to its ASEAN joint venture holding company, NTIC does not receive a fee for such services, but rather receives a bi-annual dividend based on available cash. NTIC recognizes equity income from its joint ventures based on the overall profitability of the entity. The profits of NTIC’s joint ventures are shared by the respective joint venture owners in accordance with their respective ownership percentages. NTIC typically owns only 50% or less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NTIC does not consolidate the results of its joint ventures, other than commencing in the fourth quarter of 2010, Zerust Prevenção de Corrosão S.A., NTIC’s subsidiary in Brazil (“Zerust Brazil”). NTIC holds 85% of the equity and 85% of the voting rights of Zerust Brazil. Prior to fiscal 2010 NTIC accounted for its Zerust Brazil investment under the equity method. NTIC owned only 50%, which it considered to be less than a majority, of the equity and voting rights of Zerust Brazil prior to September 2006. NTIC acquired an additional 35% ownership interest in Zerust Brazil in September 2006 and held 85% of the equity and voting rights thereafter. Prior to the fourth quarter of fiscal 2010, NTIC held the additional 35% ownership interest in Zerust Brazil with the intent of finding an acquiring party, believing its majority control of Zerust Brazil would be temporary and determined not to consolidate Zerust Brazil because the impact on NTIC’s consolidated financial statements was immaterial. During the fourth quarter of fiscal 2010, NTIC stopped pursuing a buyer of the 35% ownership interest and decided to consolidate the financial results of Zerust Brazil as of and for the fiscal year ended August 31, 2010. NTIC believes that the impact of not consolidating Zerust Brazil on NTIC’s consolidated financial statements for periods prior to the fourth quarter of fiscal 2010 was immaterial to NTIC’s consolidated financial statements.</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72" w:right="279" w:bottom="1440" w:gutter="0" w:footer="0" w:header="0"/>
        </w:sectPr>
      </w:pPr>
    </w:p>
    <w:bookmarkStart w:id="17" w:name="page18"/>
    <w:bookmarkEnd w:id="17"/>
    <w:p>
      <w:pPr>
        <w:ind w:right="260"/>
        <w:spacing w:after="0" w:line="253" w:lineRule="auto"/>
        <w:rPr>
          <w:sz w:val="20"/>
          <w:szCs w:val="20"/>
          <w:color w:val="auto"/>
        </w:rPr>
      </w:pPr>
      <w:r>
        <w:rPr>
          <w:rFonts w:ascii="Arial" w:cs="Arial" w:eastAsia="Arial" w:hAnsi="Arial"/>
          <w:sz w:val="18"/>
          <w:szCs w:val="18"/>
          <w:color w:val="auto"/>
        </w:rPr>
        <w:t>The following is a summary of certain line items of the Company’s consolidated statements of operations for the three months ended February 28, 2010 as reported and on a pro forma basis, assuming the consolidation of Zerust Brazil on the Company’s consolidated financial statements as of the beginning of such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Zerust</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88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2,876,478</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459,886</w:t>
            </w:r>
          </w:p>
        </w:tc>
        <w:tc>
          <w:tcPr>
            <w:tcW w:w="4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(16,049)</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3,320,315</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1,840,647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333,278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2,157,876</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1,035,831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126,608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1,162,439</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1,841,025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1,887,382</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2,610,504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2,787,570</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266,352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262,251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244,461</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338,461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46,357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346,641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r>
    </w:tbl>
    <w:p>
      <w:pPr>
        <w:spacing w:after="0" w:line="225" w:lineRule="exact"/>
        <w:rPr>
          <w:sz w:val="20"/>
          <w:szCs w:val="20"/>
          <w:color w:val="auto"/>
        </w:rPr>
      </w:pPr>
    </w:p>
    <w:p>
      <w:pPr>
        <w:ind w:right="80"/>
        <w:spacing w:after="0" w:line="363" w:lineRule="auto"/>
        <w:rPr>
          <w:sz w:val="20"/>
          <w:szCs w:val="20"/>
          <w:color w:val="auto"/>
        </w:rPr>
      </w:pPr>
      <w:r>
        <w:rPr>
          <w:rFonts w:ascii="Arial" w:cs="Arial" w:eastAsia="Arial" w:hAnsi="Arial"/>
          <w:sz w:val="15"/>
          <w:szCs w:val="15"/>
          <w:color w:val="auto"/>
        </w:rPr>
        <w:t>The following is a summary of certain line items of the Company’s consolidated statements of operations for the six months ended February 28, 2010 as reported and on a pro forma basis, assuming the consolidation of Zerust Brazil on the Company’s consolidated financial statements as of the beginning of such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Zerust</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88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5,587,880</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961,332</w:t>
            </w:r>
          </w:p>
        </w:tc>
        <w:tc>
          <w:tcPr>
            <w:tcW w:w="4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(31,872)</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6,517,340</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3,598,143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526,989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4,093,260</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1,989,737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434,343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2,424,080</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3,698,854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3,741,951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4,983,868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486,052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5,469,920</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704,723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696,111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673,346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665,741</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782,346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774,741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782,346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43,097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782,346</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r>
    </w:tbl>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NTIC has not consolidated the Polymer Energy LLC joint venture in NTIC’s consolidated financial statements for the six months ended February 28, 2011 or 2010 or any prior period since Polymer Energy LLC has had limited activity since its inception in 2003 and NTIC believes that the impact of not consolidating this entity on NTIC’s consolidated financial statement has been immaterial. Prior to fiscal 2010, Polymer Energy LLC did not have any financial activity including assets, liabilities, capital contributions, revenues or expenses. During fiscal 2010, the only financial activity of Polymer Energy LLC was the receipt of license fees which were distributed to its owners in proportion to their respective ownership percentages. Since NTIC owns a 62.5% ownership interest in Polymer Energy LLC, NTIC received and recorded a portion of these fees for services provided to joint ventures in its fiscal 2010 consolidated financial statements. No license fees were received by Polymer Energy LLC and no other financial activity took place during the six months ended February 28,</w:t>
      </w:r>
    </w:p>
    <w:p>
      <w:pPr>
        <w:spacing w:after="0" w:line="2" w:lineRule="exact"/>
        <w:rPr>
          <w:sz w:val="20"/>
          <w:szCs w:val="20"/>
          <w:color w:val="auto"/>
        </w:rPr>
      </w:pPr>
    </w:p>
    <w:p>
      <w:pPr>
        <w:ind w:right="920"/>
        <w:spacing w:after="0" w:line="249" w:lineRule="auto"/>
        <w:rPr>
          <w:sz w:val="20"/>
          <w:szCs w:val="20"/>
          <w:color w:val="auto"/>
        </w:rPr>
      </w:pPr>
      <w:r>
        <w:rPr>
          <w:rFonts w:ascii="Arial" w:cs="Arial" w:eastAsia="Arial" w:hAnsi="Arial"/>
          <w:sz w:val="18"/>
          <w:szCs w:val="18"/>
          <w:color w:val="auto"/>
        </w:rPr>
        <w:t>2011. Accordingly, during the six months ended February 28, 2011, NTIC received and recorded no fees for services provided to joint ventures in its consolidated financial statements attributable to its ownership interest in Polymer Energy LLC.</w:t>
      </w:r>
    </w:p>
    <w:p>
      <w:pPr>
        <w:spacing w:after="0" w:line="2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NTIC considers its German joint venture and ASEAN joint venture holding company to be individually significant to NTIC’s consolidated assets and income; and therefore, provides certain additional information regarding these joint ventures in the notes to NTIC’s consolidated financial statements and in this section of this report.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Overview</w:t>
      </w:r>
    </w:p>
    <w:p>
      <w:pPr>
        <w:spacing w:after="0" w:line="247" w:lineRule="exact"/>
        <w:rPr>
          <w:sz w:val="20"/>
          <w:szCs w:val="20"/>
          <w:color w:val="auto"/>
        </w:rPr>
      </w:pPr>
    </w:p>
    <w:p>
      <w:pPr>
        <w:ind w:right="640"/>
        <w:spacing w:after="0" w:line="363" w:lineRule="auto"/>
        <w:rPr>
          <w:sz w:val="20"/>
          <w:szCs w:val="20"/>
          <w:color w:val="auto"/>
        </w:rPr>
      </w:pPr>
      <w:r>
        <w:rPr>
          <w:rFonts w:ascii="Arial" w:cs="Arial" w:eastAsia="Arial" w:hAnsi="Arial"/>
          <w:sz w:val="15"/>
          <w:szCs w:val="15"/>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NTIC’s consolidated net sales increased 66.1% and 58.9% during the three and six months ended February 28, 2011, respectively, compared to the three and six</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months ended February 28, 2010. These increases were primarily a result of increased sales of ZERUST® rust and corrosion inhibiting packaging products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services and sales to NTIC’s joint ventures and the consolidation of Zerust Brazil on NTIC’s consolidated financial statements. During the three and six months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ended February 28, 2011, 95.8% and 95.2% of NTIC’s consolidated net sales, respectively, were derived from sales of ZERUST® products and services, which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increased 64.3% and 56.1% to $4,576,313 and 8,451,741 during the three and six months ended February 28, 2011, respectively, compared to $2,785,454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$5,413,009 during the three and six months ended February 28, 2010, respectively, due to increased demand primarily as a result of the economic recovery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domestic manufacturing sector, the addition of new customers and the consolidation of Zerust Brazil, partially offset by decreased pricing due to increased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competition. During the three and six months ended February 28, 2011, 4.2% and 4.8%, respectively, of NTIC’s consolidated net sales were derived from sales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Natur-Tec® products compared to 3.2% and 3.1% during the three and six months ended February 28, 2010, respectively. Net sales of Natur-Tec® products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increased 166.0% and 142.9% during the three and six months ended February 28, 2011, respectively, compared to the three and six months ended February 28,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 These increases were primarily due to the addition of new Natur-Tec® distributors on the west coast of the United States.</w:t>
      </w:r>
    </w:p>
    <w:p>
      <w:pPr>
        <w:spacing w:after="0" w:line="23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Cost of goods sold as a percentage of net sales decreased slightly to 62.9% and 64.2% for the three and six months ended February 28, 2011, respectively, compared to 64.0% and 64.4% for the three and six months ended February 28, 2010, respectively, primarily as a result of increased net sales, partially offset by slightly reduced margins resulting from a slight increase in raw material prices.</w:t>
      </w:r>
    </w:p>
    <w:p>
      <w:pPr>
        <w:spacing w:after="0" w:line="21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NTIC’s equity in income of joint ventures increased 63.3% and 102.1% during the three and six months ended February 28, 2011, respectively. Equity in income of joint ventures was $1,129,659 and $2,824,790 during the three and six months ended February 28, 2011, respectively, compared to $691,687 and $1,397,586 during the three and six months ended February 28, 2010, respectively. NTIC recognized a 22.0% and 24.0% increase in fees for services provided to joint ventures during the three and six months ended February 28, 2011, respectively, compared to the three and six months ended February 28, 2010. Both of these increases were primarily a result of a 34.0% increase in total net sales of NTIC’s joint ventures during the six months ended February 28, 2011 compared to the six months ended February 28, 2010. This increase in total net sales of NTIC’s joint ventures was primarily a result of the economic recovery, to some extent, of the international manufacturing sector that the NTIC joint venture network serves.</w:t>
      </w:r>
    </w:p>
    <w:p>
      <w:pPr>
        <w:spacing w:after="0" w:line="19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NTIC’s total operating expenses increased 33.9% during the six months ended February 28, 2011 compared to the six months ended February 28, 2010 primarily as a result of the consolidation of the selling and general and administrative expenses of Zerust Brazil on NTIC’s consolidated financial statements of $450,828, the return of wages for all employees to pre-recession levels and fiscal 2011 raises, the hiring of 15 employees since November 30, 2009 and the increase in accrual of the management bonus of $499,000.</w:t>
      </w:r>
    </w:p>
    <w:p>
      <w:pPr>
        <w:spacing w:after="0" w:line="21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NTIC expenses all costs related to product research and development as incurred. NTIC incurred $2,100,626 and $1,565,698 of expense during the six months ended February 28, 2011 and 2010, respectively, in connection with its research and development activities. These costs related to product research and development are the net of reimbursement of multiple research and development contracts of $212,992 and $286,479 for the six months ended February 28, 2011 and 2010, respectively. NTIC anticipates that it will spend between $3,500,000 and $4,000,000 in total during fiscal 2011 on research and development activities related to its core and new technologies. These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amounts represent net amounts after being reduced by reimbursements related to the awarding of multiple research and development contracts.</w:t>
      </w:r>
    </w:p>
    <w:p>
      <w:pPr>
        <w:spacing w:after="0" w:line="26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Net income attributable to NTIC increased 173.8%, to $949,039, or $0.22 per diluted common share, for the three months ended February 28, 2011 compared to $346,641, or $0.08 per diluted common share, for the three months ended February 28, 2010. Net income attributable to NTIC increased 136.3%, to $1,848,820, or $0.42 per diluted common share, for the six months ended February 28, 2011 compared to $782,346, or $0.19 per diluted common share, for the six months ended February 28, 2010. These increases were primarily the result of increased income from NTIC’s corporate joint ventures and holding companies and gross profit, partially offset by an increase in operating expenses. We anticipate that our quarterly net income will remain subject to significant volatility primarily due to the financial performance of our joint ventures and sales of our ZERUST® products and services into the oil and gas industry and Natur-Tec® bioplastics products, which sales fluctuate more on a quarterly basis than our traditional ZERUST® business.</w:t>
      </w:r>
    </w:p>
    <w:p>
      <w:pPr>
        <w:spacing w:after="0" w:line="19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NTIC’s working capital was $9,267,637 at February 28, 2011, including $1,864,215 in cash and cash equivalents compared to $5,918,923 at August 31, 2010, including $1,776,162 in cash and cash equivalents. On January 10, 2011, NTIC refinanced its $1,275,000 original principal amount term loan and increased its line of credit with PNC Bank, National Association (“PNC Bank”) to $3,000,000.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NTIC does not consolidate the results of its joint ventures. NTIC considers its German joint venture and ASEAN joint venture holding company to be individually significant to NTIC’s consolidated assets and income; and therefore, provides certain additional information regarding these joint ventures in the notes to NTIC’s consolidated financial statements and in this section of this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February 28, 2011 and February 28, 2010.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Pr>
          <w:p>
            <w:pPr>
              <w:spacing w:after="0"/>
              <w:rPr>
                <w:sz w:val="18"/>
                <w:szCs w:val="18"/>
                <w:color w:val="auto"/>
              </w:rPr>
            </w:pPr>
          </w:p>
        </w:tc>
        <w:tc>
          <w:tcPr>
            <w:tcW w:w="1820" w:type="dxa"/>
            <w:vAlign w:val="bottom"/>
            <w:gridSpan w:val="3"/>
          </w:tcPr>
          <w:p>
            <w:pPr>
              <w:jc w:val="center"/>
              <w:ind w:left="472"/>
              <w:spacing w:after="0"/>
              <w:rPr>
                <w:sz w:val="20"/>
                <w:szCs w:val="20"/>
                <w:color w:val="auto"/>
              </w:rPr>
            </w:pPr>
            <w:r>
              <w:rPr>
                <w:rFonts w:ascii="Arial" w:cs="Arial" w:eastAsia="Arial" w:hAnsi="Arial"/>
                <w:sz w:val="18"/>
                <w:szCs w:val="18"/>
                <w:b w:val="1"/>
                <w:bCs w:val="1"/>
                <w:color w:val="auto"/>
                <w:w w:val="89"/>
              </w:rPr>
              <w:t>Three Months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3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212"/>
              <w:spacing w:after="0"/>
              <w:rPr>
                <w:sz w:val="20"/>
                <w:szCs w:val="20"/>
                <w:color w:val="auto"/>
              </w:rPr>
            </w:pPr>
            <w:r>
              <w:rPr>
                <w:rFonts w:ascii="Arial" w:cs="Arial" w:eastAsia="Arial" w:hAnsi="Arial"/>
                <w:sz w:val="18"/>
                <w:szCs w:val="18"/>
                <w:b w:val="1"/>
                <w:bCs w:val="1"/>
                <w:color w:val="auto"/>
                <w:w w:val="87"/>
              </w:rPr>
              <w:t>Ended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3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91"/>
              </w:rPr>
              <w:t>February 28,</w:t>
            </w:r>
          </w:p>
        </w:tc>
        <w:tc>
          <w:tcPr>
            <w:tcW w:w="100" w:type="dxa"/>
            <w:vAlign w:val="bottom"/>
          </w:tcPr>
          <w:p>
            <w:pPr>
              <w:spacing w:after="0"/>
              <w:rPr>
                <w:sz w:val="18"/>
                <w:szCs w:val="18"/>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16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91"/>
              </w:rPr>
              <w:t>February 28,</w:t>
            </w:r>
          </w:p>
        </w:tc>
        <w:tc>
          <w:tcPr>
            <w:tcW w:w="1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w:t>
            </w:r>
          </w:p>
        </w:tc>
      </w:tr>
      <w:tr>
        <w:trPr>
          <w:trHeight w:val="229"/>
        </w:trPr>
        <w:tc>
          <w:tcPr>
            <w:tcW w:w="3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Net Sales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Change</w:t>
            </w:r>
          </w:p>
        </w:tc>
      </w:tr>
      <w:tr>
        <w:trPr>
          <w:trHeight w:val="204"/>
        </w:trPr>
        <w:tc>
          <w:tcPr>
            <w:tcW w:w="37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8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4,093,107</w:t>
            </w:r>
          </w:p>
        </w:tc>
        <w:tc>
          <w:tcPr>
            <w:tcW w:w="1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85.7%</w:t>
            </w:r>
          </w:p>
        </w:tc>
        <w:tc>
          <w:tcPr>
            <w:tcW w:w="30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2,548,009</w:t>
            </w:r>
          </w:p>
        </w:tc>
        <w:tc>
          <w:tcPr>
            <w:tcW w:w="11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88.6%</w:t>
            </w:r>
          </w:p>
        </w:tc>
        <w:tc>
          <w:tcPr>
            <w:tcW w:w="2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1,545,098</w:t>
            </w:r>
          </w:p>
        </w:tc>
        <w:tc>
          <w:tcPr>
            <w:tcW w:w="12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60.6%</w:t>
            </w: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685,011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328,469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356,542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108.5%</w:t>
            </w: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3,006,232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1,840,647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1,165,585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1,129,659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691,687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437,972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63.3%</w:t>
            </w: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1,402,149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1,149,338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252,811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Selling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921,554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587,753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333,801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56.8%</w:t>
            </w: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1,069,636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839,235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230,401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199"/>
        </w:trPr>
        <w:tc>
          <w:tcPr>
            <w:tcW w:w="3720" w:type="dxa"/>
            <w:vAlign w:val="bottom"/>
          </w:tcPr>
          <w:p>
            <w:pPr>
              <w:spacing w:after="0" w:line="199" w:lineRule="exact"/>
              <w:rPr>
                <w:sz w:val="20"/>
                <w:szCs w:val="20"/>
                <w:color w:val="auto"/>
              </w:rPr>
            </w:pPr>
            <w:r>
              <w:rPr>
                <w:rFonts w:ascii="Arial" w:cs="Arial" w:eastAsia="Arial" w:hAnsi="Arial"/>
                <w:sz w:val="18"/>
                <w:szCs w:val="18"/>
                <w:color w:val="auto"/>
              </w:rPr>
              <w:t>Expenses incurred in support of joint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ventures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249,275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229,474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19,801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2"/>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907,170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954,042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six months ended February 28, 2011 and February 28, 2010.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Six Months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Six Months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3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Ended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Ended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3800" w:type="dxa"/>
            <w:vAlign w:val="bottom"/>
          </w:tcPr>
          <w:p>
            <w:pPr>
              <w:spacing w:after="0"/>
              <w:rPr>
                <w:sz w:val="18"/>
                <w:szCs w:val="18"/>
                <w:color w:val="auto"/>
              </w:rPr>
            </w:pPr>
          </w:p>
        </w:tc>
        <w:tc>
          <w:tcPr>
            <w:tcW w:w="1780" w:type="dxa"/>
            <w:vAlign w:val="bottom"/>
            <w:gridSpan w:val="2"/>
          </w:tcPr>
          <w:p>
            <w:pPr>
              <w:jc w:val="center"/>
              <w:ind w:left="632"/>
              <w:spacing w:after="0"/>
              <w:rPr>
                <w:sz w:val="20"/>
                <w:szCs w:val="20"/>
                <w:color w:val="auto"/>
              </w:rPr>
            </w:pPr>
            <w:r>
              <w:rPr>
                <w:rFonts w:ascii="Arial" w:cs="Arial" w:eastAsia="Arial" w:hAnsi="Arial"/>
                <w:sz w:val="18"/>
                <w:szCs w:val="18"/>
                <w:b w:val="1"/>
                <w:bCs w:val="1"/>
                <w:color w:val="auto"/>
                <w:w w:val="91"/>
              </w:rPr>
              <w:t>February 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February 28,</w:t>
            </w:r>
          </w:p>
        </w:tc>
        <w:tc>
          <w:tcPr>
            <w:tcW w:w="1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rPr>
              <w:t>% of</w:t>
            </w:r>
          </w:p>
        </w:tc>
        <w:tc>
          <w:tcPr>
            <w:tcW w:w="110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w:t>
            </w:r>
          </w:p>
        </w:tc>
      </w:tr>
      <w:tr>
        <w:trPr>
          <w:trHeight w:val="229"/>
        </w:trPr>
        <w:tc>
          <w:tcPr>
            <w:tcW w:w="3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3"/>
              </w:rPr>
              <w:t>Net Sales</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Change</w:t>
            </w:r>
          </w:p>
        </w:tc>
      </w:tr>
      <w:tr>
        <w:trPr>
          <w:trHeight w:val="204"/>
        </w:trPr>
        <w:tc>
          <w:tcPr>
            <w:tcW w:w="38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17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  7,539,410</w:t>
            </w:r>
          </w:p>
        </w:tc>
        <w:tc>
          <w:tcPr>
            <w:tcW w:w="1220" w:type="dxa"/>
            <w:vAlign w:val="bottom"/>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rPr>
              <w:t>84.9%</w:t>
            </w:r>
          </w:p>
        </w:tc>
        <w:tc>
          <w:tcPr>
            <w:tcW w:w="1200" w:type="dxa"/>
            <w:vAlign w:val="bottom"/>
            <w:gridSpan w:val="2"/>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  4,730,253</w:t>
            </w:r>
          </w:p>
        </w:tc>
        <w:tc>
          <w:tcPr>
            <w:tcW w:w="11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84.7%</w:t>
            </w:r>
          </w:p>
        </w:tc>
        <w:tc>
          <w:tcPr>
            <w:tcW w:w="110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$ 2,809,157</w:t>
            </w:r>
          </w:p>
        </w:tc>
        <w:tc>
          <w:tcPr>
            <w:tcW w:w="11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59.4%</w:t>
            </w: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1,337,149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857,627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479,522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55.9%</w:t>
            </w: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5,696,937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3,598,143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2,098,794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11"/>
        </w:trPr>
        <w:tc>
          <w:tcPr>
            <w:tcW w:w="380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2,824,790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31.82%</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1,397,586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25.01%</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1,427,204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102.1%</w:t>
            </w:r>
          </w:p>
        </w:tc>
      </w:tr>
      <w:tr>
        <w:trPr>
          <w:trHeight w:val="211"/>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2,853,929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2,301,268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552,661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593"/>
        </w:trPr>
        <w:tc>
          <w:tcPr>
            <w:tcW w:w="3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gridSpan w:val="3"/>
          </w:tcPr>
          <w:p>
            <w:pPr>
              <w:jc w:val="right"/>
              <w:ind w:right="912"/>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42"/>
        </w:trPr>
        <w:tc>
          <w:tcPr>
            <w:tcW w:w="38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1"/>
        </w:trPr>
        <w:tc>
          <w:tcPr>
            <w:tcW w:w="3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Six Months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Six Months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3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Ended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1"/>
        </w:trPr>
        <w:tc>
          <w:tcPr>
            <w:tcW w:w="3580" w:type="dxa"/>
            <w:vAlign w:val="bottom"/>
          </w:tcPr>
          <w:p>
            <w:pPr>
              <w:spacing w:after="0"/>
              <w:rPr>
                <w:sz w:val="18"/>
                <w:szCs w:val="18"/>
                <w:color w:val="auto"/>
              </w:rPr>
            </w:pPr>
          </w:p>
        </w:tc>
        <w:tc>
          <w:tcPr>
            <w:tcW w:w="2060" w:type="dxa"/>
            <w:vAlign w:val="bottom"/>
            <w:gridSpan w:val="2"/>
          </w:tcPr>
          <w:p>
            <w:pPr>
              <w:jc w:val="center"/>
              <w:ind w:left="792"/>
              <w:spacing w:after="0"/>
              <w:rPr>
                <w:sz w:val="20"/>
                <w:szCs w:val="20"/>
                <w:color w:val="auto"/>
              </w:rPr>
            </w:pPr>
            <w:r>
              <w:rPr>
                <w:rFonts w:ascii="Arial" w:cs="Arial" w:eastAsia="Arial" w:hAnsi="Arial"/>
                <w:sz w:val="18"/>
                <w:szCs w:val="18"/>
                <w:b w:val="1"/>
                <w:bCs w:val="1"/>
                <w:color w:val="auto"/>
                <w:w w:val="91"/>
              </w:rPr>
              <w:t>February 28,</w:t>
            </w:r>
          </w:p>
        </w:tc>
        <w:tc>
          <w:tcPr>
            <w:tcW w:w="120" w:type="dxa"/>
            <w:vAlign w:val="bottom"/>
          </w:tcPr>
          <w:p>
            <w:pPr>
              <w:spacing w:after="0"/>
              <w:rPr>
                <w:sz w:val="18"/>
                <w:szCs w:val="18"/>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8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February 28,</w:t>
            </w:r>
          </w:p>
        </w:tc>
        <w:tc>
          <w:tcPr>
            <w:tcW w:w="1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w:t>
            </w:r>
          </w:p>
        </w:tc>
      </w:tr>
      <w:tr>
        <w:trPr>
          <w:trHeight w:val="229"/>
        </w:trPr>
        <w:tc>
          <w:tcPr>
            <w:tcW w:w="3580" w:type="dxa"/>
            <w:vAlign w:val="bottom"/>
          </w:tcPr>
          <w:p>
            <w:pPr>
              <w:spacing w:after="0"/>
              <w:rPr>
                <w:sz w:val="19"/>
                <w:szCs w:val="19"/>
                <w:color w:val="auto"/>
              </w:rPr>
            </w:pPr>
          </w:p>
        </w:tc>
        <w:tc>
          <w:tcPr>
            <w:tcW w:w="2060" w:type="dxa"/>
            <w:vAlign w:val="bottom"/>
            <w:gridSpan w:val="2"/>
          </w:tcPr>
          <w:p>
            <w:pPr>
              <w:jc w:val="center"/>
              <w:ind w:left="792"/>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9"/>
                <w:szCs w:val="19"/>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w w:val="93"/>
              </w:rPr>
              <w:t>Net Sales</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w w:val="96"/>
              </w:rPr>
              <w:t>Net Sales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Change</w:t>
            </w:r>
          </w:p>
        </w:tc>
      </w:tr>
      <w:tr>
        <w:trPr>
          <w:trHeight w:val="205"/>
        </w:trPr>
        <w:tc>
          <w:tcPr>
            <w:tcW w:w="3580" w:type="dxa"/>
            <w:vAlign w:val="bottom"/>
          </w:tcPr>
          <w:p>
            <w:pPr>
              <w:spacing w:after="0" w:line="204" w:lineRule="exact"/>
              <w:rPr>
                <w:sz w:val="20"/>
                <w:szCs w:val="20"/>
                <w:color w:val="auto"/>
              </w:rPr>
            </w:pPr>
            <w:r>
              <w:rPr>
                <w:rFonts w:ascii="Arial" w:cs="Arial" w:eastAsia="Arial" w:hAnsi="Arial"/>
                <w:sz w:val="18"/>
                <w:szCs w:val="18"/>
                <w:color w:val="auto"/>
              </w:rPr>
              <w:t>Selling expenses</w:t>
            </w:r>
          </w:p>
        </w:tc>
        <w:tc>
          <w:tcPr>
            <w:tcW w:w="980" w:type="dxa"/>
            <w:vAlign w:val="bottom"/>
          </w:tcPr>
          <w:p>
            <w:pPr>
              <w:spacing w:after="0"/>
              <w:rPr>
                <w:sz w:val="17"/>
                <w:szCs w:val="17"/>
                <w:color w:val="auto"/>
              </w:rPr>
            </w:pPr>
          </w:p>
        </w:tc>
        <w:tc>
          <w:tcPr>
            <w:tcW w:w="1080" w:type="dxa"/>
            <w:vAlign w:val="bottom"/>
            <w:tcBorders>
              <w:top w:val="single" w:sz="8" w:color="auto"/>
            </w:tcBorders>
          </w:tcPr>
          <w:p>
            <w:pPr>
              <w:jc w:val="right"/>
              <w:ind w:right="12"/>
              <w:spacing w:after="0" w:line="205" w:lineRule="exact"/>
              <w:rPr>
                <w:sz w:val="20"/>
                <w:szCs w:val="20"/>
                <w:color w:val="auto"/>
              </w:rPr>
            </w:pPr>
            <w:r>
              <w:rPr>
                <w:rFonts w:ascii="Arial" w:cs="Arial" w:eastAsia="Arial" w:hAnsi="Arial"/>
                <w:sz w:val="18"/>
                <w:szCs w:val="18"/>
                <w:color w:val="auto"/>
              </w:rPr>
              <w:t>1,920,607</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21.64%</w:t>
            </w:r>
          </w:p>
        </w:tc>
        <w:tc>
          <w:tcPr>
            <w:tcW w:w="120" w:type="dxa"/>
            <w:vAlign w:val="bottom"/>
          </w:tcPr>
          <w:p>
            <w:pPr>
              <w:spacing w:after="0"/>
              <w:rPr>
                <w:sz w:val="17"/>
                <w:szCs w:val="17"/>
                <w:color w:val="auto"/>
              </w:rPr>
            </w:pPr>
          </w:p>
        </w:tc>
        <w:tc>
          <w:tcPr>
            <w:tcW w:w="1080" w:type="dxa"/>
            <w:vAlign w:val="bottom"/>
            <w:tcBorders>
              <w:top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1,184,522</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21.20%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2"/>
              <w:spacing w:after="0" w:line="205" w:lineRule="exact"/>
              <w:rPr>
                <w:sz w:val="20"/>
                <w:szCs w:val="20"/>
                <w:color w:val="auto"/>
              </w:rPr>
            </w:pPr>
            <w:r>
              <w:rPr>
                <w:rFonts w:ascii="Arial" w:cs="Arial" w:eastAsia="Arial" w:hAnsi="Arial"/>
                <w:sz w:val="18"/>
                <w:szCs w:val="18"/>
                <w:color w:val="auto"/>
              </w:rPr>
              <w:t>736,085</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62.1%</w:t>
            </w:r>
          </w:p>
        </w:tc>
      </w:tr>
      <w:tr>
        <w:trPr>
          <w:trHeight w:val="211"/>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2,173,803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1,759,264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414,539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199"/>
        </w:trPr>
        <w:tc>
          <w:tcPr>
            <w:tcW w:w="3580" w:type="dxa"/>
            <w:vAlign w:val="bottom"/>
          </w:tcPr>
          <w:p>
            <w:pPr>
              <w:spacing w:after="0" w:line="199" w:lineRule="exact"/>
              <w:rPr>
                <w:sz w:val="20"/>
                <w:szCs w:val="20"/>
                <w:color w:val="auto"/>
              </w:rPr>
            </w:pPr>
            <w:r>
              <w:rPr>
                <w:rFonts w:ascii="Arial" w:cs="Arial" w:eastAsia="Arial" w:hAnsi="Arial"/>
                <w:sz w:val="18"/>
                <w:szCs w:val="18"/>
                <w:color w:val="auto"/>
              </w:rPr>
              <w:t>Expenses incurred in support of joint</w:t>
            </w: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ventures</w:t>
            </w:r>
          </w:p>
        </w:tc>
        <w:tc>
          <w:tcPr>
            <w:tcW w:w="2060" w:type="dxa"/>
            <w:vAlign w:val="bottom"/>
            <w:gridSpan w:val="2"/>
          </w:tcPr>
          <w:p>
            <w:pPr>
              <w:jc w:val="right"/>
              <w:ind w:right="12"/>
              <w:spacing w:after="0"/>
              <w:rPr>
                <w:sz w:val="20"/>
                <w:szCs w:val="20"/>
                <w:color w:val="auto"/>
              </w:rPr>
            </w:pPr>
            <w:r>
              <w:rPr>
                <w:rFonts w:ascii="Arial" w:cs="Arial" w:eastAsia="Arial" w:hAnsi="Arial"/>
                <w:sz w:val="18"/>
                <w:szCs w:val="18"/>
                <w:color w:val="auto"/>
              </w:rPr>
              <w:t>477,966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1200" w:type="dxa"/>
            <w:vAlign w:val="bottom"/>
            <w:gridSpan w:val="2"/>
          </w:tcPr>
          <w:p>
            <w:pPr>
              <w:jc w:val="right"/>
              <w:ind w:right="32"/>
              <w:spacing w:after="0"/>
              <w:rPr>
                <w:sz w:val="20"/>
                <w:szCs w:val="20"/>
                <w:color w:val="auto"/>
              </w:rPr>
            </w:pPr>
            <w:r>
              <w:rPr>
                <w:rFonts w:ascii="Arial" w:cs="Arial" w:eastAsia="Arial" w:hAnsi="Arial"/>
                <w:sz w:val="18"/>
                <w:szCs w:val="18"/>
                <w:color w:val="auto"/>
              </w:rPr>
              <w:t>474,384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0.80%</w:t>
            </w:r>
          </w:p>
        </w:tc>
      </w:tr>
      <w:tr>
        <w:trPr>
          <w:trHeight w:val="212"/>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2,100,626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1,565,698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534,928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r>
    </w:tbl>
    <w:p>
      <w:pPr>
        <w:spacing w:after="0" w:line="19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66.1% and 58.9% to $4,778,118 and $8,876,559, respectively during the three and six months ended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28, 2011 compared to the three and six months ended February 28, 2010. NTIC’s consolidated net sales to unaffiliated customers excluding NTIC’s joint ventures increased 60.6% and 59.4% to $4,093,107 and $7,539,410, respectively, during the three and six months ended February 28, 2011 compared to the same respective prior year periods. These increases were primarily a result of increased sales of ZERUST® rust and corrosion inhibiting packaging products and services and sales to NTIC’s joint ventures and the consolidation of Zerust Brazil on NTIC’s consolidated financial statements as discussed in more detail below. Net sales to joint ventures increased 108.5% and 55.9% to $685,011 and $1,337,149 during the three and six months ended February 28, 2011, respectively, compared to the same respective prior year periods. These increases were due to increases in demand primarily as a result of the economic recovery of the international manufacturing sector, partially offset by decreased pricing due to increased competition.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NTIC’s net sales by product category for the three and six months ended February 28, 2011 and 2010 by segment: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w w:val="99"/>
              </w:rPr>
              <w:t>Six Months Ended</w:t>
            </w:r>
          </w:p>
        </w:tc>
      </w:tr>
      <w:tr>
        <w:trPr>
          <w:trHeight w:val="186"/>
        </w:trPr>
        <w:tc>
          <w:tcPr>
            <w:tcW w:w="4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20" w:type="dxa"/>
            <w:vAlign w:val="bottom"/>
          </w:tcPr>
          <w:p>
            <w:pPr>
              <w:spacing w:after="0"/>
              <w:rPr>
                <w:sz w:val="16"/>
                <w:szCs w:val="16"/>
                <w:color w:val="auto"/>
              </w:rPr>
            </w:pPr>
          </w:p>
        </w:tc>
        <w:tc>
          <w:tcPr>
            <w:tcW w:w="1080" w:type="dxa"/>
            <w:vAlign w:val="bottom"/>
            <w:gridSpan w:val="2"/>
          </w:tcPr>
          <w:p>
            <w:pPr>
              <w:spacing w:after="0" w:line="187" w:lineRule="exact"/>
              <w:rPr>
                <w:sz w:val="20"/>
                <w:szCs w:val="20"/>
                <w:color w:val="auto"/>
              </w:rPr>
            </w:pPr>
            <w:r>
              <w:rPr>
                <w:rFonts w:ascii="Arial" w:cs="Arial" w:eastAsia="Arial" w:hAnsi="Arial"/>
                <w:sz w:val="18"/>
                <w:szCs w:val="18"/>
                <w:b w:val="1"/>
                <w:bCs w:val="1"/>
                <w:color w:val="auto"/>
                <w:w w:val="98"/>
              </w:rPr>
              <w:t>February 28,</w:t>
            </w:r>
          </w:p>
        </w:tc>
        <w:tc>
          <w:tcPr>
            <w:tcW w:w="118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w w:val="98"/>
              </w:rPr>
              <w:t>February 28,</w:t>
            </w:r>
          </w:p>
        </w:tc>
      </w:tr>
      <w:tr>
        <w:trPr>
          <w:trHeight w:val="229"/>
        </w:trPr>
        <w:tc>
          <w:tcPr>
            <w:tcW w:w="4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r>
      <w:tr>
        <w:trPr>
          <w:trHeight w:val="204"/>
        </w:trPr>
        <w:tc>
          <w:tcPr>
            <w:tcW w:w="45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ZERUST® sales</w:t>
            </w:r>
          </w:p>
        </w:tc>
        <w:tc>
          <w:tcPr>
            <w:tcW w:w="2460" w:type="dxa"/>
            <w:vAlign w:val="bottom"/>
            <w:gridSpan w:val="2"/>
            <w:shd w:val="clear" w:color="auto" w:fill="CCEEFF"/>
          </w:tcPr>
          <w:p>
            <w:pPr>
              <w:ind w:left="228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4,576,313</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2,785,452</w:t>
            </w:r>
          </w:p>
        </w:tc>
        <w:tc>
          <w:tcPr>
            <w:tcW w:w="30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8,451,741</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5,413,009</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Natur-Tec™ sales</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201,805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91,026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424,818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174,871</w:t>
            </w:r>
          </w:p>
        </w:tc>
      </w:tr>
      <w:tr>
        <w:trPr>
          <w:trHeight w:val="204"/>
        </w:trPr>
        <w:tc>
          <w:tcPr>
            <w:tcW w:w="45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North American net sales</w:t>
            </w:r>
          </w:p>
        </w:tc>
        <w:tc>
          <w:tcPr>
            <w:tcW w:w="2460" w:type="dxa"/>
            <w:vAlign w:val="bottom"/>
            <w:gridSpan w:val="2"/>
            <w:shd w:val="clear" w:color="auto" w:fill="CCEEFF"/>
          </w:tcPr>
          <w:p>
            <w:pPr>
              <w:ind w:left="228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4,778,118</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2,876,478</w:t>
            </w:r>
          </w:p>
        </w:tc>
        <w:tc>
          <w:tcPr>
            <w:tcW w:w="30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8,876,559</w:t>
            </w:r>
          </w:p>
        </w:tc>
        <w:tc>
          <w:tcPr>
            <w:tcW w:w="28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5,587,880</w:t>
            </w:r>
          </w:p>
        </w:tc>
      </w:tr>
    </w:tbl>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During the three and six months ended February 28, 2011, 95.8% and 95.2% of NTIC’s consolidated net sales, respectively, were derived from sales of ZERUST® products and services, which increased 64.3% and 56.1% to $4,576,313 and $8,451,741 during the three and six months ended February 28, 2011, respectively, compared to $2,785,452 and $5,413,009 during the three and six months ended February 28, 2010, respectively, due to increased demand primarily as a result of the economic recovery of the domestic manufacturing sector, the addition of new customers and the consolidation of Zerust Brazil, partially offset by decreased pricing due to increased competition. Overall demand for ZERUST® products and services depends heavily on the overall health of the markets in which NTIC sells its products, including in particular the automotive market.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during the three and six months ended February 28, 2011 included $1,034,483 and $1,551,623, respectively, of sales made by Zerust Brazil, and of those sales, $600,200 and $627,022, respectively, in sales were made to the oil and gas industry sector in Brazil. As previously disclosed, during the fourth quarter of fiscal 2010, Zerust Brazil received purchase orders for Flange Savers representing an aggregate of $1.4 million. Of those orders, Zerust Brazil recognized sales of $518,000 during the fourth quarter of fiscal 2010, $26,822 during the first quarter of fiscal 2011 and $600,200 during the second quarter of fiscal 2011. NTIC anticipates sales to Petrobras for the remaining $254,978 of these orders during fiscal 2011 as Petrobras rolls this product out to more of its platforms. NTIC also anticipates that its sales of ZERUST® products and services into the oil and gas industry will remain subject to significant volatility from quarter to quarter as sales are converted and purchase orders are filled.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1" w:name="page22"/>
    <w:bookmarkEnd w:id="21"/>
    <w:p>
      <w:pPr>
        <w:ind w:right="100"/>
        <w:spacing w:after="0" w:line="282" w:lineRule="auto"/>
        <w:rPr>
          <w:sz w:val="20"/>
          <w:szCs w:val="20"/>
          <w:color w:val="auto"/>
        </w:rPr>
      </w:pPr>
      <w:r>
        <w:rPr>
          <w:rFonts w:ascii="Arial" w:cs="Arial" w:eastAsia="Arial" w:hAnsi="Arial"/>
          <w:sz w:val="16"/>
          <w:szCs w:val="16"/>
          <w:color w:val="auto"/>
        </w:rPr>
        <w:t>Net sales of Natur-Tec® products increased 121.7% and 142.9% to $201,805 and $424,818 during the three and six months ended February 28, 2011, respectively, compared to the three and six months ended February 28, 2010. These increases were primarily due to the addition of new Natur-Tec® distributors on the West Coast of the United States. NTIC anticipates additional revenue in future periods from anticipated sales of film-grade resin to customers in both the North American and European markets, primarily to meet anticipated demand for biodegradable plastic bags that comply with various regulations. Additionally, NTIC is continuing to strengthen and expand its west coast distribution network in California, while expanding its industrial distribution reach to geographical “green” hotspots such as Oregon, Washington, Minnesota and New England. Additionally, NTIC is targeting key national and regional retailers utilizing independent sales agents. Demand for the Natur-Tec® products depends primarily on market acceptance of the products and the extent of NTIC’s distribution network, which as of February 28, 2011 consisted of approximately 15 distributors and independent manufacturer’s sales representatives.</w:t>
      </w:r>
    </w:p>
    <w:p>
      <w:pPr>
        <w:spacing w:after="0" w:line="19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63.3% and 59.8% for the three and six months ended February 28, 2011, respectively,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February 28, 2010 primarily as a result of increased net sales as described above. Cost of goods sold as a percentage of net sales decreased slightly to 62.9% and 64.2% for the three and six months ended February 28, 2011, respectively, compared to 64.0% and 64.4% for the three and six months ended February 28, 2010, respectively, primarily as a result of increased net sales, partially offset by slightly reduced margins resulting from a slight increase in raw material prices.</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 had equity in income of joint ventures of $1,129,659 and $2,824,790 during the three and six months ended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28, 2011, respectively, compared to equity in income of joint ventures of $691,687 and $1,397,586 during the three and six months ended February 28, 2010, respectively. The increase in equity in income was due to increased profitability of NTIC’s joint ventures primarily resulting from increased sales. Of the total equity in income of joint ventures, NTIC had equity in income of joint ventures of $1,547,773 attributable to its joint venture in Germany during the six months ended February 28, 2011 compared to $731,452 attributable to its joint venture in Germany during the six months ended February 28, 2010. Of the total equity in income of joint ventures, NTIC had equity in income of joint ventures of $558,260 attributable to its ASEAN joint venture holding company during the six months ended February 28, 2011 compared to $419,324 attributable to its ASEAN joint venture holding company during the six months ended February 28,</w:t>
      </w:r>
    </w:p>
    <w:p>
      <w:pPr>
        <w:spacing w:after="0" w:line="2"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color w:val="auto"/>
        </w:rPr>
        <w:t>2010. NTIC had equity in income of all other joint ventures of $718,757 during the six months ended February 28, 2011 compared to $246,810 during the six months ended February 28, 2011.</w:t>
      </w:r>
    </w:p>
    <w:p>
      <w:pPr>
        <w:spacing w:after="0" w:line="2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$1,402,149 and $2,853,929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February 28, 2011, respectively, compared to $1,149,338 and $2,301,268 during the three and six months ended February 28, 2010, respectively, representing an increase of 22.0% and 24.0%, respectively. These increases in fees for services provided to joint ventures were due primarily to increases in net sales of NTIC’s joint ventures, which increased to $53,405,322 in the six months ended February 28, 2011 compared to $39,854,071 in the six months ended February 28, 2010, representing an increase of 34.0%. Sales of NTIC’s joint ventures, other than Zerust Brazil, are not included in NTIC’s product sales and are not combined with NTIC’s sales in NTIC’s consolidated financial statements or in any description of NTIC’s sales.</w:t>
      </w:r>
    </w:p>
    <w:p>
      <w:pPr>
        <w:spacing w:after="0" w:line="1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 the total fee income for services provided to its joint ventures, fees of $521,753 were attributable to NTIC’s joint venture in Germany during the six months ended February 28, 2011 compared to $521,098 attributable to its joint venture in Germany during the six months ended February 28, 2010. This slight increase was the result of foreign currency exchange rate fluctuations. NTIC does not receive fees attributable to its ASEAN joint venture holding company. NTIC receives dividend payments based on fees paid from the joint ventures that comprise the ASEAN investments.</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NTIC sponsors a worldwide joint venture conference approximately every three to four years in which all of NTIC’s joint ventures and subsidiaries are invited to participate. NTIC defers a portion of its fees for services provided to joint ventures in each accounting period leading up to the next conference, reflecting that NTIC has not</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22" w:name="page23"/>
    <w:bookmarkEnd w:id="22"/>
    <w:p>
      <w:pPr>
        <w:spacing w:after="0" w:line="285" w:lineRule="auto"/>
        <w:rPr>
          <w:sz w:val="20"/>
          <w:szCs w:val="20"/>
          <w:color w:val="auto"/>
        </w:rPr>
      </w:pPr>
      <w:r>
        <w:rPr>
          <w:rFonts w:ascii="Arial" w:cs="Arial" w:eastAsia="Arial" w:hAnsi="Arial"/>
          <w:sz w:val="16"/>
          <w:szCs w:val="16"/>
          <w:color w:val="auto"/>
        </w:rPr>
        <w:t>fully earned the payments received during that period. The next joint venture conference is scheduled to be held in the summer of 2012. There was no additional deferred income recorded within other accrued liabilities during the six months ended February 28, 2011 related to this future conference since $288,000 had been accrued over the past three fiscal years, which represents the amount that NTIC expects to spend every three years to hold the conference. This amount is based on the historical experience of NTIC, current conditions and the intentions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r>
        <w:rPr>
          <w:rFonts w:ascii="Arial" w:cs="Arial" w:eastAsia="Arial" w:hAnsi="Arial"/>
          <w:sz w:val="16"/>
          <w:szCs w:val="16"/>
          <w:b w:val="1"/>
          <w:bCs w:val="1"/>
          <w:color w:val="auto"/>
        </w:rPr>
        <w:t>.</w:t>
      </w:r>
    </w:p>
    <w:p>
      <w:pPr>
        <w:spacing w:after="0" w:line="19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56.8% for the three months ended February 28, 2011 compared to the same period in fiscal 2010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in (i) compensation and employee benefits of $150,000; (ii) lab testing related expenses of $10,000; (iii) commission expenses of $31,000; (iv) travel and related expenses of $43,000; (v) consulting expenses of $28,000 and (vi) selling expenses incurred at Zerust Brazil of $123,000. NTIC’s selling expenses increased 62.1% for the six months ended February 28, 2011 compared to the same period in fiscal 2010 due to increases in (i) compensation and employee benefits of $190,000; (ii) lab testing related expenses of $15,000; (iii) commission expenses of $51,000; (iv) travel and related expenses of $42,000; (v) consulting expenses of $28,000 and (vi) selling expenses incurred at Zerust Brazil of $233,000. Selling expenses as a percentage of net sales decreased to 19.3% during the three months ended February 28, 2011, from 20.4% during the three months ended February 28, 2010, due to smaller proportional increases in selling expenses, compared to the increases in net sales. Selling expenses as a percentage of net sales increased slightly to 21.6% during the six months ended February 28, 2011, from 21.2% during the six months ended February 28, 2010, due to slightly larger proportional increases in selling expenses, compared to the increases in net sales.</w:t>
      </w:r>
    </w:p>
    <w:p>
      <w:pPr>
        <w:spacing w:after="0" w:line="200"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27.5% for the three months ended February 28, 2011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fiscal 2010 due to increases in (i) compensation and related benefits of $150,000 and (ii) general and administrative expenses incurred at Zerust Brazil of $110,000, partially offset by decreases in consulting expenses of $12,000 and auditing and tax expense of $41,000. NTIC’s general and administrative expenses increased 23.6% for the six months ended February 28, 2011compared to the same period in fiscal 2010 due to increases in (i) compensation and related benefits of $160,000 and (ii) general and administrative expenses incurred at Zerust Brazil of $216,000, partially offset by decreases in consulting expenses of $12,000. As a percentage of net sales, general and administrative expenses decreased to 22.4% and 24.5% for the three and six months ended February 28, 2011,respectively, from 29.2% and 31.5% for the three and six months ended February 28, 2010,respectively, primarily as a result of fixed general and administrative expenses spread over increased net sales.</w:t>
      </w:r>
    </w:p>
    <w:p>
      <w:pPr>
        <w:spacing w:after="0" w:line="195"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$249,275 and $477,996 during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February 28, 2011, respectively, compared to $229,474 and $474,384 during the three and six months ended February 28, 2010, representing a increase of 8.6% and 0.8%, respectively.</w:t>
      </w:r>
    </w:p>
    <w:p>
      <w:pPr>
        <w:spacing w:after="0" w:line="216"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NTIC’s research and development expenses decreased 4.9% for the three months ended February 28, 2011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fiscal 2010 due to a decrease in consulting expenses of $131,000; partially offset by increases in (i) salary and benefits of $65,000; and (ii) lab testing related expenses of $112,000. NTIC’s research and development expenses increased 34.2% for the six months ended February 28, 2011 compared to the same period in fiscal 2010 due to increases in (i) salary and benefits of $177,000; and (ii) lab testing related expenses of $194,000; partially offset by a decrease in consulting expenses of of $95,000.</w:t>
      </w:r>
    </w:p>
    <w:p>
      <w:pPr>
        <w:spacing w:after="0" w:line="218"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$676 and $4,609 during the three and six months ended February 28, 2011,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$3,247 and $4,743 during the three and six months ended February 28, 2010, respectively, primarily due to decreased cash balances earning interest and decreased interest rates during the most recent periods.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3" w:name="page24"/>
    <w:bookmarkEnd w:id="23"/>
    <w:p>
      <w:pPr>
        <w:ind w:right="40"/>
        <w:spacing w:after="0" w:line="25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$22,241 and $45,475 during the three and six months ended February 28, 2011,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$23,783 and $49,770 during the three and six months ended February 28, 2010, respectively, primarily due to the refinancing of NTIC’s term loan and its decreased term loan balance during the most recent periods.</w:t>
      </w:r>
    </w:p>
    <w:p>
      <w:pPr>
        <w:spacing w:after="0" w:line="216"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increased to $1,141,219 and $2,158,093 for the three and six months ended February 28,</w:t>
      </w:r>
      <w:r>
        <w:rPr>
          <w:rFonts w:ascii="Arial" w:cs="Arial" w:eastAsia="Arial" w:hAnsi="Arial"/>
          <w:sz w:val="16"/>
          <w:szCs w:val="16"/>
          <w:i w:val="1"/>
          <w:iCs w:val="1"/>
          <w:color w:val="auto"/>
        </w:rPr>
        <w:t xml:space="preserve"> </w:t>
      </w:r>
      <w:r>
        <w:rPr>
          <w:rFonts w:ascii="Arial" w:cs="Arial" w:eastAsia="Arial" w:hAnsi="Arial"/>
          <w:sz w:val="16"/>
          <w:szCs w:val="16"/>
          <w:color w:val="auto"/>
        </w:rPr>
        <w:t>2011, respectively, compared to $252,641 and $673,346 for the three and six months ended February 28, 2010, respectively.</w:t>
      </w:r>
    </w:p>
    <w:p>
      <w:pPr>
        <w:spacing w:after="0" w:line="161" w:lineRule="exact"/>
        <w:rPr>
          <w:sz w:val="20"/>
          <w:szCs w:val="20"/>
          <w:color w:val="auto"/>
        </w:rPr>
      </w:pPr>
    </w:p>
    <w:p>
      <w:pPr>
        <w:spacing w:after="0" w:line="280"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Income tax expense was $140,000 and $262,000 during the three and six months ended February 28, 2011, respectively,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income tax benefit of $(94,000) and $(109,000) during the three and six months ended February 28, 2010, respectively. Income tax expense was calculated based on management’s estimate of NTIC’s annual effective income tax rate. NTIC’s annual effective income tax rate during the six months ended February 28, 2011 and 2010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determined based on all available evidence, including historical data and projections of future results, that it is more likely than not that all of its deferred tax assets, except for its foreign tax credit carryforward and Minnesota state research and 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February 28, 2011, NTIC’s working capital was $9,267,637, including $1,864,215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$5,918,923, including $1,776,162 in cash and cash equivalents, as of August 31, 2010.</w:t>
      </w:r>
    </w:p>
    <w:p>
      <w:pPr>
        <w:spacing w:after="0" w:line="20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connection with the purchase of its corporate headquarters, in September 2006, Northern Technologies Holding Company, LLC (“NTI LLC”) obtained a term loan from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NTIC and is guaranteed by NTIC.</w:t>
      </w:r>
    </w:p>
    <w:p>
      <w:pPr>
        <w:spacing w:after="0" w:line="22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As of February 28, 2011, NTIC had a revolving line of credit with PNC Bank of $3,000,000 with no amounts outstanding as of such date. As of August 31, 2010, NTIC had a demand line of credit of $2,300,000 with PNC Bank with no amounts outstanding as of such date. The increased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Advances made under the line of credit are due and payable on January 10, 2012.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4" w:name="page25"/>
    <w:bookmarkEnd w:id="24"/>
    <w:p>
      <w:pPr>
        <w:ind w:right="40"/>
        <w:spacing w:after="0" w:line="291" w:lineRule="auto"/>
        <w:rPr>
          <w:sz w:val="20"/>
          <w:szCs w:val="20"/>
          <w:color w:val="auto"/>
        </w:rPr>
      </w:pPr>
      <w:r>
        <w:rPr>
          <w:rFonts w:ascii="Arial" w:cs="Arial" w:eastAsia="Arial" w:hAnsi="Arial"/>
          <w:sz w:val="16"/>
          <w:szCs w:val="16"/>
          <w:color w:val="auto"/>
        </w:rPr>
        <w:t>Both 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89"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2011, NTIC expects to continue to invest in research and development and in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NTIC traditionally has used the cash generated from its North American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w:t>
      </w:r>
    </w:p>
    <w:p>
      <w:pPr>
        <w:spacing w:after="0" w:line="1"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color w:val="auto"/>
        </w:rPr>
        <w:t>owners. Therefore, NTIC believes it is not likely that there exists any exposure to debt by NTIC’s joint ventures that could materially impact their respective operations and/or liquidity.</w:t>
      </w:r>
    </w:p>
    <w:p>
      <w:pPr>
        <w:spacing w:after="0" w:line="218"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used in operating activities during the six months ended February 28, 2011 was $2,416,393 which resulted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from NTIC’s equity in income from joint ventures and increases in receivables, inventories and prepaid expenses and a decrease in accounts payables, partially offset by NTIC’s net income and increases in income taxes payable and accrued liabilities. Cash flows used in operations for the six months ended February 28, 2010 was $1,286,287, which resulted principally from equity income of corporate joint ventures, an increase in inventory and trade receivables including corporate joint ventures, offset by net income, depreciation and amortization expense, stock option expense, decrease in technical and other services receivables from corporate joint ventures, and an increase in accounts payable and accrued liabilities.</w:t>
      </w:r>
    </w:p>
    <w:p>
      <w:pPr>
        <w:spacing w:after="0" w:line="192"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is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72" w:right="279" w:bottom="1440" w:gutter="0" w:footer="0" w:header="0"/>
        </w:sectPr>
      </w:pPr>
    </w:p>
    <w:bookmarkStart w:id="25" w:name="page26"/>
    <w:bookmarkEnd w:id="25"/>
    <w:p>
      <w:pPr>
        <w:ind w:right="820"/>
        <w:spacing w:after="0" w:line="262" w:lineRule="auto"/>
        <w:rPr>
          <w:sz w:val="20"/>
          <w:szCs w:val="20"/>
          <w:color w:val="auto"/>
        </w:rPr>
      </w:pPr>
      <w:r>
        <w:rPr>
          <w:rFonts w:ascii="Arial" w:cs="Arial" w:eastAsia="Arial" w:hAnsi="Arial"/>
          <w:sz w:val="18"/>
          <w:szCs w:val="18"/>
          <w:color w:val="auto"/>
        </w:rPr>
        <w:t>make the collection of the balance uncertain in which case the fee income will be recorded on a cash basis until there is consistency in payments. This determination is handled on a case by case basis.</w:t>
      </w:r>
    </w:p>
    <w:p>
      <w:pPr>
        <w:spacing w:after="0" w:line="207"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NTIC experienced an increase in inventory as of February 28, 2011 compared to August 31, 2010 due to the increase in net sales during the most recent period and requests from customers to stock more products to shorten lead times and meet customer demand. Trade receivables excluding joint ventures as of February 28, 2011 increased $901,627 compared to August 31, 2010, primarily related to the increase in sales and the consolidation of Zerust Brazil.</w:t>
      </w:r>
    </w:p>
    <w:p>
      <w:pPr>
        <w:spacing w:after="0" w:line="18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Outstanding trade receivables excluding joint ventures balances as of February 28, 2011 increased 29 days to an average of 69 days from balances outstanding from these customers as of August 31, 2010.</w:t>
      </w:r>
    </w:p>
    <w:p>
      <w:pPr>
        <w:spacing w:after="0" w:line="207"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Outstanding trade receivables from joint ventures as of February 28, 2011 increased $95,677 compared to August 31, 2010, primarily due to the corresponding increase in net sales to joint ventures, which also resulted in an decrease of outstanding balances from trade receivables from joint ventures as of February 28, 2011 of 66 days to an average of 172 days from balances outstanding from these customers as of August 31, 2010. The significant average days outstanding of trade receivables from joint ventures as of February 28, 2011 were primarily due to the current receivable balance at NTIC’s joint venture in India. NTIC has made separate arrangements for payments on product that NTIC’s joint venture in India has purchased from NTIC until the product is sold.</w:t>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Outstanding fees for services provided to joint ventures as of February 28, 2011 increased $380,292 as compared to August 31, 2010, primarily resulting from increased joint venture sales. These higher fees for the six months ended February 28, 2011 resulted in an increase of 12 days of fees receivable outstanding as of February 28, 2011 to an average of 108 days as compared to August 31, 2010.</w:t>
      </w:r>
    </w:p>
    <w:p>
      <w:pPr>
        <w:spacing w:after="0" w:line="2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Net cash provided by investing activities for the six months ended February 28, 2011 was $2,092,028 which was comprised of dividends received from joint ventures and proceeds from sale of property and equipment partially offset by additions to property and equipment, additions to patents and investments in joint ventures. Net cash used in investing activities for the six months ended February 28, 2010 was $1,978 which due primarily to additions to patents, additions to property and equipment, partially offset by dividends received from joint ventures.</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Net cash provided by financing activities for the six months ended February 28, 2011 was $403,009, which resulted from proceeds from option exercises and NTIC’s employee stock purchase plan, partially offset by principal payments on the bank loan for NTIC’s corporate headquarters buildings. Net cash provided by financing activities for the six months ended February 28, 2010 was $2,483,769, which resulted primarily from the issuance of common stock and, to a lesser extent, proceeds from NTIC’s employee stock purchase plan and option exercises, partially offset by repayments to NTIC’s prior demand line of credit and principal payments on the bank loan for its corporate headquarters buildings.</w:t>
      </w:r>
    </w:p>
    <w:p>
      <w:pPr>
        <w:spacing w:after="0" w:line="218" w:lineRule="exact"/>
        <w:rPr>
          <w:sz w:val="20"/>
          <w:szCs w:val="20"/>
          <w:color w:val="auto"/>
        </w:rPr>
      </w:pPr>
    </w:p>
    <w:p>
      <w:pPr>
        <w:spacing w:after="0" w:line="316" w:lineRule="auto"/>
        <w:rPr>
          <w:sz w:val="20"/>
          <w:szCs w:val="20"/>
          <w:color w:val="auto"/>
        </w:rPr>
      </w:pPr>
      <w:r>
        <w:rPr>
          <w:rFonts w:ascii="Arial" w:cs="Arial" w:eastAsia="Arial" w:hAnsi="Arial"/>
          <w:sz w:val="15"/>
          <w:szCs w:val="15"/>
          <w:i w:val="1"/>
          <w:iCs w:val="1"/>
          <w:color w:val="auto"/>
        </w:rPr>
        <w:t>Capital Expenditures and Commitments</w:t>
      </w:r>
      <w:r>
        <w:rPr>
          <w:rFonts w:ascii="Arial" w:cs="Arial" w:eastAsia="Arial" w:hAnsi="Arial"/>
          <w:sz w:val="15"/>
          <w:szCs w:val="15"/>
          <w:color w:val="auto"/>
        </w:rPr>
        <w:t>. NTIC had no material lease or other material capital commitments as of February 28, 2011, except a lease agreement for</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16,994 square feet of office, manufacturing, laboratory and warehouse space in Beachwood, Ohio, requiring monthly payments of $17,500, which are adjusted annually according to the annual consumer price index, through November 2014. In January 2011, NTI Facilities, Inc. sold its membership interest in Omni-Northern Ltd., which owned the building, for $100,000. This resulted in a net gain of $47,575 after the write-off of various leasehold improvements.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 in the near future.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340"/>
        <w:spacing w:after="0" w:line="300"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207"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2011, NTIC had no borrowings under the line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27" w:name="page28"/>
    <w:bookmarkEnd w:id="27"/>
    <w:p>
      <w:pPr>
        <w:ind w:right="20"/>
        <w:spacing w:after="0" w:line="283" w:lineRule="auto"/>
        <w:rPr>
          <w:sz w:val="20"/>
          <w:szCs w:val="20"/>
          <w:color w:val="auto"/>
        </w:rPr>
      </w:pPr>
      <w:r>
        <w:rPr>
          <w:rFonts w:ascii="Arial" w:cs="Arial" w:eastAsia="Arial" w:hAnsi="Arial"/>
          <w:sz w:val="16"/>
          <w:szCs w:val="16"/>
          <w:color w:val="auto"/>
        </w:rPr>
        <w:t>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9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9" w:lineRule="exact"/>
        <w:rPr>
          <w:sz w:val="20"/>
          <w:szCs w:val="20"/>
          <w:color w:val="auto"/>
        </w:rPr>
      </w:pPr>
    </w:p>
    <w:p>
      <w:pPr>
        <w:ind w:left="960" w:hanging="13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207" w:lineRule="exact"/>
        <w:rPr>
          <w:rFonts w:ascii="Arial" w:cs="Arial" w:eastAsia="Arial" w:hAnsi="Arial"/>
          <w:sz w:val="18"/>
          <w:szCs w:val="18"/>
          <w:color w:val="auto"/>
        </w:rPr>
      </w:pPr>
    </w:p>
    <w:p>
      <w:pPr>
        <w:ind w:left="960" w:hanging="137"/>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Risks associated with NTIC’s international operations and exposure to fluctuations in foreign currency exchange rates and import duties and taxes;</w:t>
      </w:r>
    </w:p>
    <w:p>
      <w:pPr>
        <w:spacing w:after="0" w:line="264" w:lineRule="exact"/>
        <w:rPr>
          <w:rFonts w:ascii="Arial" w:cs="Arial" w:eastAsia="Arial" w:hAnsi="Arial"/>
          <w:sz w:val="16"/>
          <w:szCs w:val="16"/>
          <w:color w:val="auto"/>
        </w:rPr>
      </w:pPr>
    </w:p>
    <w:p>
      <w:pPr>
        <w:ind w:left="960" w:hanging="13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investments in its new business and research and development efforts and its need for additional capital to support such new business and research and development efforts;</w:t>
      </w:r>
    </w:p>
    <w:p>
      <w:pPr>
        <w:spacing w:after="0" w:line="207" w:lineRule="exact"/>
        <w:rPr>
          <w:rFonts w:ascii="Arial" w:cs="Arial" w:eastAsia="Arial" w:hAnsi="Arial"/>
          <w:sz w:val="18"/>
          <w:szCs w:val="18"/>
          <w:color w:val="auto"/>
        </w:rPr>
      </w:pPr>
    </w:p>
    <w:p>
      <w:pPr>
        <w:jc w:val="both"/>
        <w:ind w:left="960" w:hanging="137"/>
        <w:spacing w:after="0" w:line="25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 products and the often lengthy and extensive sales process involved in selling such products and services;</w:t>
      </w:r>
    </w:p>
    <w:p>
      <w:pPr>
        <w:spacing w:after="0" w:line="215" w:lineRule="exact"/>
        <w:rPr>
          <w:rFonts w:ascii="Arial" w:cs="Arial" w:eastAsia="Arial" w:hAnsi="Arial"/>
          <w:sz w:val="18"/>
          <w:szCs w:val="18"/>
          <w:color w:val="auto"/>
        </w:rPr>
      </w:pPr>
    </w:p>
    <w:p>
      <w:pPr>
        <w:ind w:left="960" w:hanging="13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 products and services and NTIC’s ability to grow market share and succeed in penetrating other existing and new markets;</w:t>
      </w:r>
    </w:p>
    <w:p>
      <w:pPr>
        <w:spacing w:after="0" w:line="207"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 products and services, and the effect of such competition on NTIC’s and its joint ventures’ pricing, net sales and margins;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8" w:name="page29"/>
    <w:bookmarkEnd w:id="28"/>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207"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effects of currently outstanding or threatened litigation;</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41"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2010 under the heading “Part I. Item 1A. Risk Factors.”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w:t>
      </w:r>
    </w:p>
    <w:p>
      <w:pPr>
        <w:ind w:right="120"/>
        <w:spacing w:after="0" w:line="292" w:lineRule="auto"/>
        <w:rPr>
          <w:sz w:val="20"/>
          <w:szCs w:val="20"/>
          <w:color w:val="auto"/>
        </w:rPr>
      </w:pPr>
      <w:r>
        <w:rPr>
          <w:rFonts w:ascii="Arial" w:cs="Arial" w:eastAsia="Arial" w:hAnsi="Arial"/>
          <w:sz w:val="16"/>
          <w:szCs w:val="16"/>
          <w:color w:val="auto"/>
        </w:rPr>
        <w:t>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9" w:name="page30"/>
    <w:bookmarkEnd w:id="29"/>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28, 2011 that has materially affected, or is reasonably likely to materially affect NTIC’s internal control over financial reporting.</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three months ended February 28, 2011, NTIC did not issue any shares of its common stock or other equity securities of NTIC that were not registered under the Securities Act of 1933, as amended.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February 28, 2011, NTIC did not purchase any shares of its common stock or other equity securities of NTIC.</w:t>
      </w:r>
    </w:p>
    <w:p>
      <w:pPr>
        <w:spacing w:after="0" w:line="24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0" w:name="page31"/>
    <w:bookmarkEnd w:id="30"/>
    <w:p>
      <w:pPr>
        <w:ind w:right="300"/>
        <w:spacing w:after="0" w:line="262" w:lineRule="auto"/>
        <w:rPr>
          <w:sz w:val="20"/>
          <w:szCs w:val="20"/>
          <w:color w:val="auto"/>
        </w:rPr>
      </w:pPr>
      <w:r>
        <w:rPr>
          <w:rFonts w:ascii="Arial" w:cs="Arial" w:eastAsia="Arial" w:hAnsi="Arial"/>
          <w:sz w:val="18"/>
          <w:szCs w:val="18"/>
          <w:color w:val="auto"/>
        </w:rPr>
        <w:t>accordance with applicable rules governing issuer stock repurchases. Since being authorized, NTIC has not repurchased and retired any shares of its common stock.</w:t>
      </w:r>
    </w:p>
    <w:p>
      <w:pPr>
        <w:spacing w:after="0" w:line="2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w w:val="89"/>
              </w:rPr>
              <w:t>Exhibit No.</w:t>
            </w:r>
          </w:p>
        </w:tc>
        <w:tc>
          <w:tcPr>
            <w:tcW w:w="9960" w:type="dxa"/>
            <w:vAlign w:val="bottom"/>
          </w:tcPr>
          <w:p>
            <w:pPr>
              <w:ind w:left="380"/>
              <w:spacing w:after="0"/>
              <w:rPr>
                <w:sz w:val="20"/>
                <w:szCs w:val="20"/>
                <w:color w:val="auto"/>
              </w:rPr>
            </w:pPr>
            <w:r>
              <w:rPr>
                <w:rFonts w:ascii="Arial" w:cs="Arial" w:eastAsia="Arial" w:hAnsi="Arial"/>
                <w:sz w:val="18"/>
                <w:szCs w:val="18"/>
                <w:b w:val="1"/>
                <w:bCs w:val="1"/>
                <w:color w:val="auto"/>
              </w:rPr>
              <w:t>Description</w:t>
            </w:r>
          </w:p>
        </w:tc>
      </w:tr>
      <w:tr>
        <w:trPr>
          <w:trHeight w:val="192"/>
        </w:trPr>
        <w:tc>
          <w:tcPr>
            <w:tcW w:w="20" w:type="dxa"/>
            <w:vAlign w:val="bottom"/>
          </w:tcPr>
          <w:p>
            <w:pPr>
              <w:spacing w:after="0"/>
              <w:rPr>
                <w:sz w:val="16"/>
                <w:szCs w:val="16"/>
                <w:color w:val="auto"/>
              </w:rPr>
            </w:pPr>
          </w:p>
        </w:tc>
        <w:tc>
          <w:tcPr>
            <w:tcW w:w="1440" w:type="dxa"/>
            <w:vAlign w:val="bottom"/>
            <w:tcBorders>
              <w:top w:val="single" w:sz="8" w:color="auto"/>
            </w:tcBorders>
            <w:shd w:val="clear" w:color="auto" w:fill="CCEEFF"/>
          </w:tcPr>
          <w:p>
            <w:pPr>
              <w:jc w:val="right"/>
              <w:ind w:right="292"/>
              <w:spacing w:after="0" w:line="192" w:lineRule="exact"/>
              <w:rPr>
                <w:sz w:val="20"/>
                <w:szCs w:val="20"/>
                <w:color w:val="auto"/>
              </w:rPr>
            </w:pPr>
            <w:r>
              <w:rPr>
                <w:rFonts w:ascii="Arial" w:cs="Arial" w:eastAsia="Arial" w:hAnsi="Arial"/>
                <w:sz w:val="18"/>
                <w:szCs w:val="18"/>
                <w:color w:val="auto"/>
              </w:rPr>
              <w:t>10.1</w:t>
            </w:r>
          </w:p>
        </w:tc>
        <w:tc>
          <w:tcPr>
            <w:tcW w:w="9960" w:type="dxa"/>
            <w:vAlign w:val="bottom"/>
            <w:tcBorders>
              <w:top w:val="single" w:sz="8" w:color="auto"/>
            </w:tcBorders>
            <w:shd w:val="clear" w:color="auto" w:fill="CCEEFF"/>
          </w:tcPr>
          <w:p>
            <w:pPr>
              <w:ind w:left="380"/>
              <w:spacing w:after="0" w:line="192" w:lineRule="exact"/>
              <w:rPr>
                <w:sz w:val="20"/>
                <w:szCs w:val="20"/>
                <w:color w:val="auto"/>
              </w:rPr>
            </w:pPr>
            <w:r>
              <w:rPr>
                <w:rFonts w:ascii="Arial" w:cs="Arial" w:eastAsia="Arial" w:hAnsi="Arial"/>
                <w:sz w:val="18"/>
                <w:szCs w:val="18"/>
                <w:color w:val="auto"/>
                <w:w w:val="91"/>
              </w:rPr>
              <w:t>Amended and Restated Term Note dated as of January 10, 2011 issued by Northern Technologies Holding Company, LLC to PNC</w:t>
            </w:r>
          </w:p>
        </w:tc>
      </w:tr>
      <w:tr>
        <w:trPr>
          <w:trHeight w:val="211"/>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Bank, National Association (incorporated by reference to Exhibit 10.1 to NTIC’s Current Report on Form 8-K as filed with the</w:t>
            </w: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Securities and Exchange Commission on January 12, 2011 (File No. 001-11038))</w:t>
            </w:r>
          </w:p>
        </w:tc>
      </w:tr>
      <w:tr>
        <w:trPr>
          <w:trHeight w:val="199"/>
        </w:trPr>
        <w:tc>
          <w:tcPr>
            <w:tcW w:w="20" w:type="dxa"/>
            <w:vAlign w:val="bottom"/>
          </w:tcPr>
          <w:p>
            <w:pPr>
              <w:spacing w:after="0"/>
              <w:rPr>
                <w:sz w:val="17"/>
                <w:szCs w:val="17"/>
                <w:color w:val="auto"/>
              </w:rPr>
            </w:pPr>
          </w:p>
        </w:tc>
        <w:tc>
          <w:tcPr>
            <w:tcW w:w="1440" w:type="dxa"/>
            <w:vAlign w:val="bottom"/>
          </w:tcPr>
          <w:p>
            <w:pPr>
              <w:jc w:val="right"/>
              <w:ind w:right="292"/>
              <w:spacing w:after="0" w:line="199" w:lineRule="exact"/>
              <w:rPr>
                <w:sz w:val="20"/>
                <w:szCs w:val="20"/>
                <w:color w:val="auto"/>
              </w:rPr>
            </w:pPr>
            <w:r>
              <w:rPr>
                <w:rFonts w:ascii="Arial" w:cs="Arial" w:eastAsia="Arial" w:hAnsi="Arial"/>
                <w:sz w:val="18"/>
                <w:szCs w:val="18"/>
                <w:color w:val="auto"/>
              </w:rPr>
              <w:t>10.2</w:t>
            </w:r>
          </w:p>
        </w:tc>
        <w:tc>
          <w:tcPr>
            <w:tcW w:w="9960" w:type="dxa"/>
            <w:vAlign w:val="bottom"/>
          </w:tcPr>
          <w:p>
            <w:pPr>
              <w:ind w:left="380"/>
              <w:spacing w:after="0" w:line="199" w:lineRule="exact"/>
              <w:rPr>
                <w:sz w:val="20"/>
                <w:szCs w:val="20"/>
                <w:color w:val="auto"/>
              </w:rPr>
            </w:pPr>
            <w:r>
              <w:rPr>
                <w:rFonts w:ascii="Arial" w:cs="Arial" w:eastAsia="Arial" w:hAnsi="Arial"/>
                <w:sz w:val="18"/>
                <w:szCs w:val="18"/>
                <w:color w:val="auto"/>
                <w:w w:val="91"/>
              </w:rPr>
              <w:t>Amended and Restated Committed Line of Credit Note dated as of January 10, 2011 issued by Northern Technologies International</w:t>
            </w:r>
          </w:p>
        </w:tc>
      </w:tr>
      <w:tr>
        <w:trPr>
          <w:trHeight w:val="211"/>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w w:val="91"/>
              </w:rPr>
              <w:t>Corporation to PNC Bank, National Association (incorporated by reference to Exhibit 10.2 to NTIC’s Current Report on Form 8-K as</w:t>
            </w: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filed with the Securities and Exchange Commission on January 12, 2011 (File No. 001-11038))</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jc w:val="right"/>
              <w:ind w:right="292"/>
              <w:spacing w:after="0" w:line="200" w:lineRule="exact"/>
              <w:rPr>
                <w:sz w:val="20"/>
                <w:szCs w:val="20"/>
                <w:color w:val="auto"/>
              </w:rPr>
            </w:pPr>
            <w:r>
              <w:rPr>
                <w:rFonts w:ascii="Arial" w:cs="Arial" w:eastAsia="Arial" w:hAnsi="Arial"/>
                <w:sz w:val="18"/>
                <w:szCs w:val="18"/>
                <w:color w:val="auto"/>
              </w:rPr>
              <w:t>10.3</w:t>
            </w:r>
          </w:p>
        </w:tc>
        <w:tc>
          <w:tcPr>
            <w:tcW w:w="996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0"/>
              </w:rPr>
              <w:t>Security Agreement dated as of January 10, 2011 between Northern Technologies International Corporation and PNC Bank, National</w:t>
            </w:r>
          </w:p>
        </w:tc>
      </w:tr>
      <w:tr>
        <w:trPr>
          <w:trHeight w:val="211"/>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Association (incorporated by reference to Exhibit 10.3 to NTIC’s Current Report on Form 8-K as filed with the Securities and</w:t>
            </w: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Exchange Commission on January 12, 2011 (File No. 001-11038))</w:t>
            </w:r>
          </w:p>
        </w:tc>
      </w:tr>
      <w:tr>
        <w:trPr>
          <w:trHeight w:val="199"/>
        </w:trPr>
        <w:tc>
          <w:tcPr>
            <w:tcW w:w="20" w:type="dxa"/>
            <w:vAlign w:val="bottom"/>
          </w:tcPr>
          <w:p>
            <w:pPr>
              <w:spacing w:after="0"/>
              <w:rPr>
                <w:sz w:val="17"/>
                <w:szCs w:val="17"/>
                <w:color w:val="auto"/>
              </w:rPr>
            </w:pPr>
          </w:p>
        </w:tc>
        <w:tc>
          <w:tcPr>
            <w:tcW w:w="1440" w:type="dxa"/>
            <w:vAlign w:val="bottom"/>
          </w:tcPr>
          <w:p>
            <w:pPr>
              <w:jc w:val="right"/>
              <w:ind w:right="292"/>
              <w:spacing w:after="0" w:line="199" w:lineRule="exact"/>
              <w:rPr>
                <w:sz w:val="20"/>
                <w:szCs w:val="20"/>
                <w:color w:val="auto"/>
              </w:rPr>
            </w:pPr>
            <w:r>
              <w:rPr>
                <w:rFonts w:ascii="Arial" w:cs="Arial" w:eastAsia="Arial" w:hAnsi="Arial"/>
                <w:sz w:val="18"/>
                <w:szCs w:val="18"/>
                <w:color w:val="auto"/>
              </w:rPr>
              <w:t>10.4</w:t>
            </w:r>
          </w:p>
        </w:tc>
        <w:tc>
          <w:tcPr>
            <w:tcW w:w="9960" w:type="dxa"/>
            <w:vAlign w:val="bottom"/>
          </w:tcPr>
          <w:p>
            <w:pPr>
              <w:ind w:left="380"/>
              <w:spacing w:after="0" w:line="199" w:lineRule="exact"/>
              <w:rPr>
                <w:sz w:val="20"/>
                <w:szCs w:val="20"/>
                <w:color w:val="auto"/>
              </w:rPr>
            </w:pPr>
            <w:r>
              <w:rPr>
                <w:rFonts w:ascii="Arial" w:cs="Arial" w:eastAsia="Arial" w:hAnsi="Arial"/>
                <w:sz w:val="18"/>
                <w:szCs w:val="18"/>
                <w:color w:val="auto"/>
                <w:w w:val="88"/>
              </w:rPr>
              <w:t>Amended and Restated Guaranty Agreement dated as of January 10, 2011 by Northern Technologies International Corporation in favor</w:t>
            </w:r>
          </w:p>
        </w:tc>
      </w:tr>
      <w:tr>
        <w:trPr>
          <w:trHeight w:val="211"/>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w w:val="91"/>
              </w:rPr>
              <w:t>of PNC Bank, National Association (incorporated by reference to Exhibit 10.4 to NTIC’s Current Report on Form 8-K as filed with the</w:t>
            </w: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Securities and Exchange Commission on January 12, 2011 (File No. 001-11038))</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jc w:val="right"/>
              <w:ind w:right="292"/>
              <w:spacing w:after="0" w:line="200" w:lineRule="exact"/>
              <w:rPr>
                <w:sz w:val="20"/>
                <w:szCs w:val="20"/>
                <w:color w:val="auto"/>
              </w:rPr>
            </w:pPr>
            <w:r>
              <w:rPr>
                <w:rFonts w:ascii="Arial" w:cs="Arial" w:eastAsia="Arial" w:hAnsi="Arial"/>
                <w:sz w:val="18"/>
                <w:szCs w:val="18"/>
                <w:color w:val="auto"/>
              </w:rPr>
              <w:t>10.5</w:t>
            </w:r>
          </w:p>
        </w:tc>
        <w:tc>
          <w:tcPr>
            <w:tcW w:w="996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3"/>
              </w:rPr>
              <w:t>Loan Agreement dated as of January 10, 2011 between Northern Technologies Holding Company, LLC and PNC Bank, National</w:t>
            </w:r>
          </w:p>
        </w:tc>
      </w:tr>
      <w:tr>
        <w:trPr>
          <w:trHeight w:val="211"/>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Association (incorporated by reference to Exhibit 10.5 to NTIC’s Current Report on Form 8-K as filed with the Securities and</w:t>
            </w: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Exchange Commission on January 12, 2011 (File No. 001-11038))</w:t>
            </w:r>
          </w:p>
        </w:tc>
      </w:tr>
      <w:tr>
        <w:trPr>
          <w:trHeight w:val="199"/>
        </w:trPr>
        <w:tc>
          <w:tcPr>
            <w:tcW w:w="20" w:type="dxa"/>
            <w:vAlign w:val="bottom"/>
          </w:tcPr>
          <w:p>
            <w:pPr>
              <w:spacing w:after="0"/>
              <w:rPr>
                <w:sz w:val="17"/>
                <w:szCs w:val="17"/>
                <w:color w:val="auto"/>
              </w:rPr>
            </w:pPr>
          </w:p>
        </w:tc>
        <w:tc>
          <w:tcPr>
            <w:tcW w:w="1440" w:type="dxa"/>
            <w:vAlign w:val="bottom"/>
          </w:tcPr>
          <w:p>
            <w:pPr>
              <w:jc w:val="right"/>
              <w:ind w:right="292"/>
              <w:spacing w:after="0" w:line="199" w:lineRule="exact"/>
              <w:rPr>
                <w:sz w:val="20"/>
                <w:szCs w:val="20"/>
                <w:color w:val="auto"/>
              </w:rPr>
            </w:pPr>
            <w:r>
              <w:rPr>
                <w:rFonts w:ascii="Arial" w:cs="Arial" w:eastAsia="Arial" w:hAnsi="Arial"/>
                <w:sz w:val="18"/>
                <w:szCs w:val="18"/>
                <w:color w:val="auto"/>
              </w:rPr>
              <w:t>10.6</w:t>
            </w:r>
          </w:p>
        </w:tc>
        <w:tc>
          <w:tcPr>
            <w:tcW w:w="9960" w:type="dxa"/>
            <w:vAlign w:val="bottom"/>
          </w:tcPr>
          <w:p>
            <w:pPr>
              <w:ind w:left="380"/>
              <w:spacing w:after="0" w:line="199" w:lineRule="exact"/>
              <w:rPr>
                <w:sz w:val="20"/>
                <w:szCs w:val="20"/>
                <w:color w:val="auto"/>
              </w:rPr>
            </w:pPr>
            <w:r>
              <w:rPr>
                <w:rFonts w:ascii="Arial" w:cs="Arial" w:eastAsia="Arial" w:hAnsi="Arial"/>
                <w:sz w:val="18"/>
                <w:szCs w:val="18"/>
                <w:color w:val="auto"/>
                <w:w w:val="92"/>
              </w:rPr>
              <w:t>Loan Agreement dated as of January 10, 2011 between Northern Technologies International Corporation and PNC Bank, National</w:t>
            </w:r>
          </w:p>
        </w:tc>
      </w:tr>
      <w:tr>
        <w:trPr>
          <w:trHeight w:val="211"/>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w w:val="97"/>
              </w:rPr>
              <w:t>Association (incorporated by reference to Exhibit 10.6 to NTIC’s Current Report on Form 8-K as filed with the Securities and</w:t>
            </w: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Exchange Commission on January 12, 2011 (File No. 001-11038))</w:t>
            </w:r>
          </w:p>
        </w:tc>
      </w:tr>
      <w:tr>
        <w:trPr>
          <w:trHeight w:val="199"/>
        </w:trPr>
        <w:tc>
          <w:tcPr>
            <w:tcW w:w="20" w:type="dxa"/>
            <w:vAlign w:val="bottom"/>
          </w:tcPr>
          <w:p>
            <w:pPr>
              <w:spacing w:after="0"/>
              <w:rPr>
                <w:sz w:val="17"/>
                <w:szCs w:val="17"/>
                <w:color w:val="auto"/>
              </w:rPr>
            </w:pPr>
          </w:p>
        </w:tc>
        <w:tc>
          <w:tcPr>
            <w:tcW w:w="1440" w:type="dxa"/>
            <w:vAlign w:val="bottom"/>
            <w:shd w:val="clear" w:color="auto" w:fill="CCEEFF"/>
          </w:tcPr>
          <w:p>
            <w:pPr>
              <w:jc w:val="right"/>
              <w:ind w:right="292"/>
              <w:spacing w:after="0" w:line="200" w:lineRule="exact"/>
              <w:rPr>
                <w:sz w:val="20"/>
                <w:szCs w:val="20"/>
                <w:color w:val="auto"/>
              </w:rPr>
            </w:pPr>
            <w:r>
              <w:rPr>
                <w:rFonts w:ascii="Arial" w:cs="Arial" w:eastAsia="Arial" w:hAnsi="Arial"/>
                <w:sz w:val="18"/>
                <w:szCs w:val="18"/>
                <w:color w:val="auto"/>
              </w:rPr>
              <w:t>10.7</w:t>
            </w:r>
          </w:p>
        </w:tc>
        <w:tc>
          <w:tcPr>
            <w:tcW w:w="996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w w:val="92"/>
              </w:rPr>
              <w:t>Northern Technologies International Corporation Amended and Restated 2007 Stock Incentive Plan (incorporated by reference to</w:t>
            </w:r>
          </w:p>
        </w:tc>
      </w:tr>
      <w:tr>
        <w:trPr>
          <w:trHeight w:val="211"/>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Exhibit 10.1 to NTIC’s Current Report on Form 8-K as filed with the Securities and Exchange Commission on January 24, 2011 (File</w:t>
            </w: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001-11038))</w:t>
            </w:r>
          </w:p>
        </w:tc>
      </w:tr>
      <w:tr>
        <w:trPr>
          <w:trHeight w:val="59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960" w:type="dxa"/>
            <w:vAlign w:val="bottom"/>
          </w:tcPr>
          <w:p>
            <w:pPr>
              <w:ind w:left="4160"/>
              <w:spacing w:after="0"/>
              <w:rPr>
                <w:sz w:val="20"/>
                <w:szCs w:val="20"/>
                <w:color w:val="auto"/>
              </w:rPr>
            </w:pPr>
            <w:r>
              <w:rPr>
                <w:rFonts w:ascii="Arial" w:cs="Arial" w:eastAsia="Arial" w:hAnsi="Arial"/>
                <w:sz w:val="18"/>
                <w:szCs w:val="18"/>
                <w:color w:val="auto"/>
              </w:rPr>
              <w:t>30</w:t>
            </w:r>
          </w:p>
        </w:tc>
      </w:tr>
      <w:tr>
        <w:trPr>
          <w:trHeight w:val="142"/>
        </w:trPr>
        <w:tc>
          <w:tcPr>
            <w:tcW w:w="2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99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9"/>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192"/>
        </w:trPr>
        <w:tc>
          <w:tcPr>
            <w:tcW w:w="20" w:type="dxa"/>
            <w:vAlign w:val="bottom"/>
          </w:tcPr>
          <w:p>
            <w:pPr>
              <w:spacing w:after="0"/>
              <w:rPr>
                <w:sz w:val="16"/>
                <w:szCs w:val="16"/>
                <w:color w:val="auto"/>
              </w:rPr>
            </w:pPr>
          </w:p>
        </w:tc>
        <w:tc>
          <w:tcPr>
            <w:tcW w:w="1460" w:type="dxa"/>
            <w:vAlign w:val="bottom"/>
            <w:tcBorders>
              <w:top w:val="single" w:sz="8" w:color="auto"/>
            </w:tcBorders>
          </w:tcPr>
          <w:p>
            <w:pPr>
              <w:jc w:val="center"/>
              <w:ind w:left="252"/>
              <w:spacing w:after="0" w:line="192" w:lineRule="exact"/>
              <w:rPr>
                <w:sz w:val="20"/>
                <w:szCs w:val="20"/>
                <w:color w:val="auto"/>
              </w:rPr>
            </w:pPr>
            <w:r>
              <w:rPr>
                <w:rFonts w:ascii="Arial" w:cs="Arial" w:eastAsia="Arial" w:hAnsi="Arial"/>
                <w:sz w:val="18"/>
                <w:szCs w:val="18"/>
                <w:color w:val="auto"/>
                <w:w w:val="91"/>
              </w:rPr>
              <w:t>10.8</w:t>
            </w:r>
          </w:p>
        </w:tc>
        <w:tc>
          <w:tcPr>
            <w:tcW w:w="9940" w:type="dxa"/>
            <w:vAlign w:val="bottom"/>
            <w:tcBorders>
              <w:top w:val="single" w:sz="8" w:color="auto"/>
            </w:tcBorders>
          </w:tcPr>
          <w:p>
            <w:pPr>
              <w:ind w:left="360"/>
              <w:spacing w:after="0" w:line="192" w:lineRule="exact"/>
              <w:rPr>
                <w:sz w:val="20"/>
                <w:szCs w:val="20"/>
                <w:color w:val="auto"/>
              </w:rPr>
            </w:pPr>
            <w:r>
              <w:rPr>
                <w:rFonts w:ascii="Arial" w:cs="Arial" w:eastAsia="Arial" w:hAnsi="Arial"/>
                <w:sz w:val="18"/>
                <w:szCs w:val="18"/>
                <w:color w:val="auto"/>
                <w:w w:val="91"/>
              </w:rPr>
              <w:t>Form of Incentive Stock Option Agreement for Northern Technologies International Corporation Amended and Restated 2007 Stock</w:t>
            </w:r>
          </w:p>
        </w:tc>
      </w:tr>
      <w:tr>
        <w:trPr>
          <w:trHeight w:val="211"/>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w w:val="95"/>
              </w:rPr>
              <w:t>Incentive Plan (incorporated by reference to Exhibit 10.2 to NTIC’s Current Report on Form 8-K as filed with the Securities and</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Exchange Commission on January 24, 2011 (File No. 001-11038))</w:t>
            </w:r>
          </w:p>
        </w:tc>
      </w:tr>
      <w:tr>
        <w:trPr>
          <w:trHeight w:val="199"/>
        </w:trPr>
        <w:tc>
          <w:tcPr>
            <w:tcW w:w="20" w:type="dxa"/>
            <w:vAlign w:val="bottom"/>
          </w:tcPr>
          <w:p>
            <w:pPr>
              <w:spacing w:after="0"/>
              <w:rPr>
                <w:sz w:val="17"/>
                <w:szCs w:val="17"/>
                <w:color w:val="auto"/>
              </w:rPr>
            </w:pPr>
          </w:p>
        </w:tc>
        <w:tc>
          <w:tcPr>
            <w:tcW w:w="1460" w:type="dxa"/>
            <w:vAlign w:val="bottom"/>
            <w:shd w:val="clear" w:color="auto" w:fill="CCEEFF"/>
          </w:tcPr>
          <w:p>
            <w:pPr>
              <w:jc w:val="center"/>
              <w:ind w:left="252"/>
              <w:spacing w:after="0" w:line="200" w:lineRule="exact"/>
              <w:rPr>
                <w:sz w:val="20"/>
                <w:szCs w:val="20"/>
                <w:color w:val="auto"/>
              </w:rPr>
            </w:pPr>
            <w:r>
              <w:rPr>
                <w:rFonts w:ascii="Arial" w:cs="Arial" w:eastAsia="Arial" w:hAnsi="Arial"/>
                <w:sz w:val="18"/>
                <w:szCs w:val="18"/>
                <w:color w:val="auto"/>
                <w:w w:val="91"/>
              </w:rPr>
              <w:t>10.9</w:t>
            </w:r>
          </w:p>
        </w:tc>
        <w:tc>
          <w:tcPr>
            <w:tcW w:w="994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w w:val="92"/>
              </w:rPr>
              <w:t>Form of Non-Statutory Stock Option Agreement for Northern Technologies International Corporation Amended and Restated 2007</w:t>
            </w:r>
          </w:p>
        </w:tc>
      </w:tr>
      <w:tr>
        <w:trPr>
          <w:trHeight w:val="211"/>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Stock Incentive Plan (incorporated by reference to Exhibit 10.3 to NTIC’s Current Report on Form 8-K as filed with the Securities and</w:t>
            </w:r>
          </w:p>
        </w:tc>
      </w:tr>
      <w:tr>
        <w:trPr>
          <w:trHeight w:val="223"/>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Commission on January 24, 2011 (File No. 001-11038))</w:t>
            </w:r>
          </w:p>
        </w:tc>
      </w:tr>
      <w:tr>
        <w:trPr>
          <w:trHeight w:val="199"/>
        </w:trPr>
        <w:tc>
          <w:tcPr>
            <w:tcW w:w="20" w:type="dxa"/>
            <w:vAlign w:val="bottom"/>
          </w:tcPr>
          <w:p>
            <w:pPr>
              <w:spacing w:after="0"/>
              <w:rPr>
                <w:sz w:val="17"/>
                <w:szCs w:val="17"/>
                <w:color w:val="auto"/>
              </w:rPr>
            </w:pPr>
          </w:p>
        </w:tc>
        <w:tc>
          <w:tcPr>
            <w:tcW w:w="1460" w:type="dxa"/>
            <w:vAlign w:val="bottom"/>
          </w:tcPr>
          <w:p>
            <w:pPr>
              <w:jc w:val="center"/>
              <w:ind w:left="252"/>
              <w:spacing w:after="0" w:line="199" w:lineRule="exact"/>
              <w:rPr>
                <w:sz w:val="20"/>
                <w:szCs w:val="20"/>
                <w:color w:val="auto"/>
              </w:rPr>
            </w:pPr>
            <w:r>
              <w:rPr>
                <w:rFonts w:ascii="Arial" w:cs="Arial" w:eastAsia="Arial" w:hAnsi="Arial"/>
                <w:sz w:val="18"/>
                <w:szCs w:val="18"/>
                <w:color w:val="auto"/>
                <w:w w:val="88"/>
              </w:rPr>
              <w:t>10.10</w:t>
            </w:r>
          </w:p>
        </w:tc>
        <w:tc>
          <w:tcPr>
            <w:tcW w:w="9940" w:type="dxa"/>
            <w:vAlign w:val="bottom"/>
          </w:tcPr>
          <w:p>
            <w:pPr>
              <w:ind w:left="360"/>
              <w:spacing w:after="0" w:line="199" w:lineRule="exact"/>
              <w:rPr>
                <w:sz w:val="20"/>
                <w:szCs w:val="20"/>
                <w:color w:val="auto"/>
              </w:rPr>
            </w:pPr>
            <w:r>
              <w:rPr>
                <w:rFonts w:ascii="Arial" w:cs="Arial" w:eastAsia="Arial" w:hAnsi="Arial"/>
                <w:sz w:val="18"/>
                <w:szCs w:val="18"/>
                <w:color w:val="auto"/>
                <w:w w:val="89"/>
              </w:rPr>
              <w:t>Form of Restricted Stock Agreement for Northern Technologies International Corporation Amended and Restated 2007 Stock Incentive</w:t>
            </w:r>
          </w:p>
        </w:tc>
      </w:tr>
      <w:tr>
        <w:trPr>
          <w:trHeight w:val="211"/>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w w:val="94"/>
              </w:rPr>
              <w:t>Plan (incorporated by reference to Exhibit 10.4 to NTIC’s Current Report on Form 8-K as filed with the Securities and Exchange</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Commission on January 24, 2011 (File No. 001-11038))</w:t>
            </w:r>
          </w:p>
        </w:tc>
      </w:tr>
      <w:tr>
        <w:trPr>
          <w:trHeight w:val="212"/>
        </w:trPr>
        <w:tc>
          <w:tcPr>
            <w:tcW w:w="20" w:type="dxa"/>
            <w:vAlign w:val="bottom"/>
          </w:tcPr>
          <w:p>
            <w:pPr>
              <w:spacing w:after="0"/>
              <w:rPr>
                <w:sz w:val="18"/>
                <w:szCs w:val="18"/>
                <w:color w:val="auto"/>
              </w:rPr>
            </w:pPr>
          </w:p>
        </w:tc>
        <w:tc>
          <w:tcPr>
            <w:tcW w:w="146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91"/>
              </w:rPr>
              <w:t>31.1</w:t>
            </w: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r>
      <w:tr>
        <w:trPr>
          <w:trHeight w:val="211"/>
        </w:trPr>
        <w:tc>
          <w:tcPr>
            <w:tcW w:w="20" w:type="dxa"/>
            <w:vAlign w:val="bottom"/>
          </w:tcPr>
          <w:p>
            <w:pPr>
              <w:spacing w:after="0"/>
              <w:rPr>
                <w:sz w:val="18"/>
                <w:szCs w:val="18"/>
                <w:color w:val="auto"/>
              </w:rPr>
            </w:pPr>
          </w:p>
        </w:tc>
        <w:tc>
          <w:tcPr>
            <w:tcW w:w="1460" w:type="dxa"/>
            <w:vAlign w:val="bottom"/>
          </w:tcPr>
          <w:p>
            <w:pPr>
              <w:jc w:val="center"/>
              <w:ind w:left="252"/>
              <w:spacing w:after="0"/>
              <w:rPr>
                <w:sz w:val="20"/>
                <w:szCs w:val="20"/>
                <w:color w:val="auto"/>
              </w:rPr>
            </w:pPr>
            <w:r>
              <w:rPr>
                <w:rFonts w:ascii="Arial" w:cs="Arial" w:eastAsia="Arial" w:hAnsi="Arial"/>
                <w:sz w:val="18"/>
                <w:szCs w:val="18"/>
                <w:color w:val="auto"/>
                <w:w w:val="91"/>
              </w:rPr>
              <w:t>31.2</w:t>
            </w:r>
          </w:p>
        </w:tc>
        <w:tc>
          <w:tcPr>
            <w:tcW w:w="99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r>
      <w:tr>
        <w:trPr>
          <w:trHeight w:val="199"/>
        </w:trPr>
        <w:tc>
          <w:tcPr>
            <w:tcW w:w="20" w:type="dxa"/>
            <w:vAlign w:val="bottom"/>
          </w:tcPr>
          <w:p>
            <w:pPr>
              <w:spacing w:after="0"/>
              <w:rPr>
                <w:sz w:val="17"/>
                <w:szCs w:val="17"/>
                <w:color w:val="auto"/>
              </w:rPr>
            </w:pPr>
          </w:p>
        </w:tc>
        <w:tc>
          <w:tcPr>
            <w:tcW w:w="1460" w:type="dxa"/>
            <w:vAlign w:val="bottom"/>
            <w:shd w:val="clear" w:color="auto" w:fill="CCEEFF"/>
          </w:tcPr>
          <w:p>
            <w:pPr>
              <w:jc w:val="center"/>
              <w:ind w:left="252"/>
              <w:spacing w:after="0" w:line="199" w:lineRule="exact"/>
              <w:rPr>
                <w:sz w:val="20"/>
                <w:szCs w:val="20"/>
                <w:color w:val="auto"/>
              </w:rPr>
            </w:pPr>
            <w:r>
              <w:rPr>
                <w:rFonts w:ascii="Arial" w:cs="Arial" w:eastAsia="Arial" w:hAnsi="Arial"/>
                <w:sz w:val="18"/>
                <w:szCs w:val="18"/>
                <w:color w:val="auto"/>
                <w:w w:val="91"/>
              </w:rPr>
              <w:t>32.1</w:t>
            </w:r>
          </w:p>
        </w:tc>
        <w:tc>
          <w:tcPr>
            <w:tcW w:w="9940" w:type="dxa"/>
            <w:vAlign w:val="bottom"/>
            <w:shd w:val="clear" w:color="auto" w:fill="CCEEFF"/>
          </w:tcPr>
          <w:p>
            <w:pPr>
              <w:ind w:left="360"/>
              <w:spacing w:after="0" w:line="199" w:lineRule="exact"/>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w:t>
            </w:r>
          </w:p>
        </w:tc>
      </w:tr>
      <w:tr>
        <w:trPr>
          <w:trHeight w:val="223"/>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 of 2002 (furnished herewith)</w:t>
            </w:r>
          </w:p>
        </w:tc>
      </w:tr>
      <w:tr>
        <w:trPr>
          <w:trHeight w:val="199"/>
        </w:trPr>
        <w:tc>
          <w:tcPr>
            <w:tcW w:w="20" w:type="dxa"/>
            <w:vAlign w:val="bottom"/>
          </w:tcPr>
          <w:p>
            <w:pPr>
              <w:spacing w:after="0"/>
              <w:rPr>
                <w:sz w:val="17"/>
                <w:szCs w:val="17"/>
                <w:color w:val="auto"/>
              </w:rPr>
            </w:pPr>
          </w:p>
        </w:tc>
        <w:tc>
          <w:tcPr>
            <w:tcW w:w="1460" w:type="dxa"/>
            <w:vAlign w:val="bottom"/>
          </w:tcPr>
          <w:p>
            <w:pPr>
              <w:jc w:val="center"/>
              <w:ind w:left="252"/>
              <w:spacing w:after="0" w:line="199" w:lineRule="exact"/>
              <w:rPr>
                <w:sz w:val="20"/>
                <w:szCs w:val="20"/>
                <w:color w:val="auto"/>
              </w:rPr>
            </w:pPr>
            <w:r>
              <w:rPr>
                <w:rFonts w:ascii="Arial" w:cs="Arial" w:eastAsia="Arial" w:hAnsi="Arial"/>
                <w:sz w:val="18"/>
                <w:szCs w:val="18"/>
                <w:color w:val="auto"/>
                <w:w w:val="91"/>
              </w:rPr>
              <w:t>32.2</w:t>
            </w:r>
          </w:p>
        </w:tc>
        <w:tc>
          <w:tcPr>
            <w:tcW w:w="9940" w:type="dxa"/>
            <w:vAlign w:val="bottom"/>
          </w:tcPr>
          <w:p>
            <w:pPr>
              <w:ind w:left="360"/>
              <w:spacing w:after="0" w:line="199" w:lineRule="exact"/>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Act of 2002 (furnished herewith)</w:t>
            </w:r>
          </w:p>
        </w:tc>
      </w:tr>
      <w:tr>
        <w:trPr>
          <w:trHeight w:val="59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8"/>
                <w:szCs w:val="18"/>
                <w:color w:val="auto"/>
              </w:rPr>
              <w:t>31</w:t>
            </w:r>
          </w:p>
        </w:tc>
      </w:tr>
      <w:tr>
        <w:trPr>
          <w:trHeight w:val="142"/>
        </w:trPr>
        <w:tc>
          <w:tcPr>
            <w:tcW w:w="20" w:type="dxa"/>
            <w:vAlign w:val="bottom"/>
            <w:tcBorders>
              <w:bottom w:val="single" w:sz="8" w:color="808080"/>
            </w:tcBorders>
          </w:tcPr>
          <w:p>
            <w:pPr>
              <w:spacing w:after="0"/>
              <w:rPr>
                <w:sz w:val="12"/>
                <w:szCs w:val="12"/>
                <w:color w:val="auto"/>
              </w:rPr>
            </w:pPr>
          </w:p>
        </w:tc>
        <w:tc>
          <w:tcPr>
            <w:tcW w:w="1460" w:type="dxa"/>
            <w:vAlign w:val="bottom"/>
            <w:tcBorders>
              <w:bottom w:val="single" w:sz="8" w:color="808080"/>
            </w:tcBorders>
          </w:tcPr>
          <w:p>
            <w:pPr>
              <w:spacing w:after="0"/>
              <w:rPr>
                <w:sz w:val="12"/>
                <w:szCs w:val="12"/>
                <w:color w:val="auto"/>
              </w:rPr>
            </w:pPr>
          </w:p>
        </w:tc>
        <w:tc>
          <w:tcPr>
            <w:tcW w:w="99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165100</wp:posOffset>
            </wp:positionV>
            <wp:extent cx="1314450" cy="702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144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40" w:type="dxa"/>
            <w:vAlign w:val="bottom"/>
          </w:tcPr>
          <w:p>
            <w:pPr>
              <w:spacing w:after="0"/>
              <w:rPr>
                <w:sz w:val="20"/>
                <w:szCs w:val="20"/>
                <w:color w:val="auto"/>
              </w:rPr>
            </w:pPr>
            <w:r>
              <w:rPr>
                <w:rFonts w:ascii="Arial" w:cs="Arial" w:eastAsia="Arial" w:hAnsi="Arial"/>
                <w:sz w:val="18"/>
                <w:szCs w:val="18"/>
                <w:color w:val="auto"/>
              </w:rPr>
              <w:t>Date: April 13, 2011</w:t>
            </w:r>
          </w:p>
        </w:tc>
        <w:tc>
          <w:tcPr>
            <w:tcW w:w="8380" w:type="dxa"/>
            <w:vAlign w:val="bottom"/>
          </w:tcPr>
          <w:p>
            <w:pPr>
              <w:ind w:left="1840"/>
              <w:spacing w:after="0"/>
              <w:rPr>
                <w:sz w:val="20"/>
                <w:szCs w:val="20"/>
                <w:color w:val="auto"/>
              </w:rPr>
            </w:pPr>
            <w:r>
              <w:rPr>
                <w:rFonts w:ascii="Arial" w:cs="Arial" w:eastAsia="Arial" w:hAnsi="Arial"/>
                <w:sz w:val="18"/>
                <w:szCs w:val="18"/>
                <w:color w:val="auto"/>
              </w:rPr>
              <w:t>Matthew C. Wolsfeld, CPA</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8380" w:type="dxa"/>
            <w:vAlign w:val="bottom"/>
            <w:vMerge w:val="restart"/>
          </w:tcPr>
          <w:p>
            <w:pPr>
              <w:ind w:left="1400"/>
              <w:spacing w:after="0"/>
              <w:rPr>
                <w:sz w:val="20"/>
                <w:szCs w:val="20"/>
                <w:color w:val="auto"/>
              </w:rPr>
            </w:pPr>
            <w:r>
              <w:rPr>
                <w:rFonts w:ascii="Arial" w:cs="Arial" w:eastAsia="Arial" w:hAnsi="Arial"/>
                <w:sz w:val="18"/>
                <w:szCs w:val="18"/>
                <w:color w:val="auto"/>
                <w:w w:val="99"/>
              </w:rPr>
              <w:t>(Principal Financial and Accounting Officer and Duly Authorized to Sign on Behalf of the</w:t>
            </w: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7"/>
                <w:szCs w:val="17"/>
                <w:color w:val="auto"/>
              </w:rPr>
            </w:pPr>
          </w:p>
        </w:tc>
        <w:tc>
          <w:tcPr>
            <w:tcW w:w="8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8380" w:type="dxa"/>
            <w:vAlign w:val="bottom"/>
          </w:tcPr>
          <w:p>
            <w:pPr>
              <w:ind w:left="14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831"/>
        </w:trPr>
        <w:tc>
          <w:tcPr>
            <w:tcW w:w="3040" w:type="dxa"/>
            <w:vAlign w:val="bottom"/>
          </w:tcPr>
          <w:p>
            <w:pPr>
              <w:spacing w:after="0"/>
              <w:rPr>
                <w:sz w:val="24"/>
                <w:szCs w:val="24"/>
                <w:color w:val="auto"/>
              </w:rPr>
            </w:pPr>
          </w:p>
        </w:tc>
        <w:tc>
          <w:tcPr>
            <w:tcW w:w="8380" w:type="dxa"/>
            <w:vAlign w:val="bottom"/>
          </w:tcPr>
          <w:p>
            <w:pPr>
              <w:jc w:val="right"/>
              <w:ind w:right="55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808080"/>
            </w:tcBorders>
          </w:tcPr>
          <w:p>
            <w:pPr>
              <w:spacing w:after="0"/>
              <w:rPr>
                <w:sz w:val="12"/>
                <w:szCs w:val="12"/>
                <w:color w:val="auto"/>
              </w:rPr>
            </w:pPr>
          </w:p>
        </w:tc>
        <w:tc>
          <w:tcPr>
            <w:tcW w:w="83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6060" w:type="dxa"/>
            <w:vAlign w:val="bottom"/>
            <w:tcBorders>
              <w:top w:val="single" w:sz="8" w:color="auto"/>
              <w:right w:val="single" w:sz="8" w:color="auto"/>
            </w:tcBorders>
          </w:tcPr>
          <w:p>
            <w:pPr>
              <w:ind w:left="2580"/>
              <w:spacing w:after="0"/>
              <w:rPr>
                <w:sz w:val="20"/>
                <w:szCs w:val="20"/>
                <w:color w:val="auto"/>
              </w:rPr>
            </w:pPr>
            <w:r>
              <w:rPr>
                <w:rFonts w:ascii="Arial" w:cs="Arial" w:eastAsia="Arial" w:hAnsi="Arial"/>
                <w:sz w:val="18"/>
                <w:szCs w:val="18"/>
                <w:b w:val="1"/>
                <w:bCs w:val="1"/>
                <w:color w:val="auto"/>
              </w:rPr>
              <w:t>Description</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r>
      <w:tr>
        <w:trPr>
          <w:trHeight w:val="24"/>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r>
        <w:trPr>
          <w:trHeight w:val="235"/>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Amended and Restated Term Note dated as of January 10, 2011 issued by Northern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10.1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Technologies Holding Company, LLC to PNC Bank, National Association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12,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10.2</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8"/>
              </w:rPr>
              <w:t>Amended and Restated Committed Line of Credit Note dated as of January 10, 2011</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10.2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issued by Northern Technologies International Corporation to PNC Bank, National</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Association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12,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10.3</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Security Agreement dated as of January 10, 2011 between Northern Technologies</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10.3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 Corporation and PNC Bank, National Association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12,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10.4</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Amended and Restated Guaranty Agreement dated as of January 10, 2011 by</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10.4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Northern Technologies International Corporation in favor of PNC Bank, National</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Association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12,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10.5</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Loan Agreement dated as of January 10, 2011 between Northern Technologies</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10.5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Holding Company, LLC and PNC Bank, National Association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12,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10.6</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Loan Agreement dated as of January 10, 2011 between Northern Technologies</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10.6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 Corporation and PNC Bank, National Association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12,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10.7</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8"/>
              </w:rPr>
              <w:t>Northern Technologies International Corporation Amended and Restated 2007 Stock</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10.1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Incentive Plan</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24, 2011 (File No. 001-11038)</w:t>
            </w:r>
          </w:p>
        </w:tc>
      </w:tr>
      <w:tr>
        <w:trPr>
          <w:trHeight w:val="278"/>
        </w:trPr>
        <w:tc>
          <w:tcPr>
            <w:tcW w:w="1740" w:type="dxa"/>
            <w:vAlign w:val="bottom"/>
            <w:tcBorders>
              <w:left w:val="single" w:sz="8" w:color="auto"/>
              <w:bottom w:val="single" w:sz="8" w:color="auto"/>
              <w:right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3640" w:type="dxa"/>
            <w:vAlign w:val="bottom"/>
            <w:tcBorders>
              <w:bottom w:val="single" w:sz="8" w:color="auto"/>
              <w:right w:val="single" w:sz="8" w:color="auto"/>
            </w:tcBorders>
          </w:tcPr>
          <w:p>
            <w:pPr>
              <w:spacing w:after="0"/>
              <w:rPr>
                <w:sz w:val="24"/>
                <w:szCs w:val="24"/>
                <w:color w:val="auto"/>
              </w:rPr>
            </w:pPr>
          </w:p>
        </w:tc>
      </w:tr>
      <w:tr>
        <w:trPr>
          <w:trHeight w:val="586"/>
        </w:trPr>
        <w:tc>
          <w:tcPr>
            <w:tcW w:w="1740" w:type="dxa"/>
            <w:vAlign w:val="bottom"/>
          </w:tcPr>
          <w:p>
            <w:pPr>
              <w:spacing w:after="0"/>
              <w:rPr>
                <w:sz w:val="24"/>
                <w:szCs w:val="24"/>
                <w:color w:val="auto"/>
              </w:rPr>
            </w:pPr>
          </w:p>
        </w:tc>
        <w:tc>
          <w:tcPr>
            <w:tcW w:w="6060" w:type="dxa"/>
            <w:vAlign w:val="bottom"/>
          </w:tcPr>
          <w:p>
            <w:pPr>
              <w:ind w:left="3880"/>
              <w:spacing w:after="0"/>
              <w:rPr>
                <w:sz w:val="20"/>
                <w:szCs w:val="20"/>
                <w:color w:val="auto"/>
              </w:rPr>
            </w:pPr>
            <w:r>
              <w:rPr>
                <w:rFonts w:ascii="Arial" w:cs="Arial" w:eastAsia="Arial" w:hAnsi="Arial"/>
                <w:sz w:val="18"/>
                <w:szCs w:val="18"/>
                <w:color w:val="auto"/>
              </w:rPr>
              <w:t>33</w:t>
            </w:r>
          </w:p>
        </w:tc>
        <w:tc>
          <w:tcPr>
            <w:tcW w:w="3640" w:type="dxa"/>
            <w:vAlign w:val="bottom"/>
          </w:tcPr>
          <w:p>
            <w:pPr>
              <w:spacing w:after="0"/>
              <w:rPr>
                <w:sz w:val="24"/>
                <w:szCs w:val="24"/>
                <w:color w:val="auto"/>
              </w:rPr>
            </w:pPr>
          </w:p>
        </w:tc>
      </w:tr>
      <w:tr>
        <w:trPr>
          <w:trHeight w:val="142"/>
        </w:trPr>
        <w:tc>
          <w:tcPr>
            <w:tcW w:w="1740" w:type="dxa"/>
            <w:vAlign w:val="bottom"/>
            <w:tcBorders>
              <w:bottom w:val="single" w:sz="8" w:color="808080"/>
            </w:tcBorders>
          </w:tcPr>
          <w:p>
            <w:pPr>
              <w:spacing w:after="0"/>
              <w:rPr>
                <w:sz w:val="12"/>
                <w:szCs w:val="12"/>
                <w:color w:val="auto"/>
              </w:rPr>
            </w:pPr>
          </w:p>
        </w:tc>
        <w:tc>
          <w:tcPr>
            <w:tcW w:w="6060" w:type="dxa"/>
            <w:vAlign w:val="bottom"/>
            <w:tcBorders>
              <w:bottom w:val="single" w:sz="8" w:color="808080"/>
            </w:tcBorders>
          </w:tcPr>
          <w:p>
            <w:pPr>
              <w:spacing w:after="0"/>
              <w:rPr>
                <w:sz w:val="12"/>
                <w:szCs w:val="12"/>
                <w:color w:val="auto"/>
              </w:rPr>
            </w:pPr>
          </w:p>
        </w:tc>
        <w:tc>
          <w:tcPr>
            <w:tcW w:w="36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63"/>
        </w:trPr>
        <w:tc>
          <w:tcPr>
            <w:tcW w:w="1740" w:type="dxa"/>
            <w:vAlign w:val="bottom"/>
            <w:tcBorders>
              <w:top w:val="single" w:sz="8" w:color="auto"/>
              <w:left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Exhibit No.</w:t>
            </w:r>
          </w:p>
        </w:tc>
        <w:tc>
          <w:tcPr>
            <w:tcW w:w="6060" w:type="dxa"/>
            <w:vAlign w:val="bottom"/>
            <w:tcBorders>
              <w:top w:val="single" w:sz="8" w:color="auto"/>
              <w:right w:val="single" w:sz="8" w:color="auto"/>
            </w:tcBorders>
          </w:tcPr>
          <w:p>
            <w:pPr>
              <w:ind w:left="2580"/>
              <w:spacing w:after="0"/>
              <w:rPr>
                <w:sz w:val="20"/>
                <w:szCs w:val="20"/>
                <w:color w:val="auto"/>
              </w:rPr>
            </w:pPr>
            <w:r>
              <w:rPr>
                <w:rFonts w:ascii="Arial" w:cs="Arial" w:eastAsia="Arial" w:hAnsi="Arial"/>
                <w:sz w:val="18"/>
                <w:szCs w:val="18"/>
                <w:b w:val="1"/>
                <w:bCs w:val="1"/>
                <w:color w:val="auto"/>
              </w:rPr>
              <w:t>Description</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10.8</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Form of Incentive Stock Option Agreement for Northern Technologies International</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10.2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 Amended and Restated 2007 Stock Incentive Plan</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24,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10.9</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 of Non-Statutory Stock Option Agreement for Northern Technologies</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10.3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International Corporation Amended and Restated 2007 Stock Incentive Plan</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24,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Form of Restricted Stock Agreement for Northern Technologies International</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Incorporated by reference to Exhibit 10.4 to</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 Amended and Restated 2007 Stock Incentive Plan</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NTIC’s Current Report on Form 8-K as filed with</w:t>
            </w:r>
          </w:p>
        </w:tc>
      </w:tr>
      <w:tr>
        <w:trPr>
          <w:trHeight w:val="211"/>
        </w:trPr>
        <w:tc>
          <w:tcPr>
            <w:tcW w:w="1740" w:type="dxa"/>
            <w:vAlign w:val="bottom"/>
            <w:tcBorders>
              <w:left w:val="single" w:sz="8" w:color="auto"/>
              <w:right w:val="single" w:sz="8" w:color="auto"/>
            </w:tcBorders>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the Securities and Exchange Commission on</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24, 2011 (File No. 001-11038)</w:t>
            </w: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Certification of Chief Executive Officer Pursuant to Section 302 of the Sarbanes-</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Oxley Act of 2002</w:t>
            </w:r>
          </w:p>
        </w:tc>
        <w:tc>
          <w:tcPr>
            <w:tcW w:w="3620" w:type="dxa"/>
            <w:vAlign w:val="bottom"/>
            <w:tcBorders>
              <w:right w:val="single" w:sz="8" w:color="auto"/>
            </w:tcBorders>
          </w:tcPr>
          <w:p>
            <w:pPr>
              <w:spacing w:after="0"/>
              <w:rPr>
                <w:sz w:val="19"/>
                <w:szCs w:val="19"/>
                <w:color w:val="auto"/>
              </w:rPr>
            </w:pP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31.2</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Certification of Chief Financial Officer Pursuant to Section 302 of the Sarbanes-</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Oxley Act of 2002</w:t>
            </w:r>
          </w:p>
        </w:tc>
        <w:tc>
          <w:tcPr>
            <w:tcW w:w="3620" w:type="dxa"/>
            <w:vAlign w:val="bottom"/>
            <w:tcBorders>
              <w:right w:val="single" w:sz="8" w:color="auto"/>
            </w:tcBorders>
          </w:tcPr>
          <w:p>
            <w:pPr>
              <w:spacing w:after="0"/>
              <w:rPr>
                <w:sz w:val="19"/>
                <w:szCs w:val="19"/>
                <w:color w:val="auto"/>
              </w:rPr>
            </w:pP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32.1</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Certification of Chief Executive Officer Pursuant to 18 U.S.C. Section 1350, as</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620" w:type="dxa"/>
            <w:vAlign w:val="bottom"/>
            <w:tcBorders>
              <w:right w:val="single" w:sz="8" w:color="auto"/>
            </w:tcBorders>
          </w:tcPr>
          <w:p>
            <w:pPr>
              <w:spacing w:after="0"/>
              <w:rPr>
                <w:sz w:val="19"/>
                <w:szCs w:val="19"/>
                <w:color w:val="auto"/>
              </w:rPr>
            </w:pP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231"/>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32.2</w:t>
            </w: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Certification of Chief Financial Officer Pursuant to 18 U.S.C. Section 1350, as</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740" w:type="dxa"/>
            <w:vAlign w:val="bottom"/>
            <w:tcBorders>
              <w:left w:val="single" w:sz="8" w:color="auto"/>
              <w:right w:val="single" w:sz="8" w:color="auto"/>
            </w:tcBorders>
          </w:tcPr>
          <w:p>
            <w:pPr>
              <w:spacing w:after="0"/>
              <w:rPr>
                <w:sz w:val="19"/>
                <w:szCs w:val="19"/>
                <w:color w:val="auto"/>
              </w:rPr>
            </w:pPr>
          </w:p>
        </w:tc>
        <w:tc>
          <w:tcPr>
            <w:tcW w:w="6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620" w:type="dxa"/>
            <w:vAlign w:val="bottom"/>
            <w:tcBorders>
              <w:right w:val="single" w:sz="8" w:color="auto"/>
            </w:tcBorders>
          </w:tcPr>
          <w:p>
            <w:pPr>
              <w:spacing w:after="0"/>
              <w:rPr>
                <w:sz w:val="19"/>
                <w:szCs w:val="19"/>
                <w:color w:val="auto"/>
              </w:rPr>
            </w:pPr>
          </w:p>
        </w:tc>
      </w:tr>
      <w:tr>
        <w:trPr>
          <w:trHeight w:val="40"/>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606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797"/>
        </w:trPr>
        <w:tc>
          <w:tcPr>
            <w:tcW w:w="1740" w:type="dxa"/>
            <w:vAlign w:val="bottom"/>
          </w:tcPr>
          <w:p>
            <w:pPr>
              <w:spacing w:after="0"/>
              <w:rPr>
                <w:sz w:val="24"/>
                <w:szCs w:val="24"/>
                <w:color w:val="auto"/>
              </w:rPr>
            </w:pPr>
          </w:p>
        </w:tc>
        <w:tc>
          <w:tcPr>
            <w:tcW w:w="6060" w:type="dxa"/>
            <w:vAlign w:val="bottom"/>
          </w:tcPr>
          <w:p>
            <w:pPr>
              <w:ind w:left="3880"/>
              <w:spacing w:after="0"/>
              <w:rPr>
                <w:sz w:val="20"/>
                <w:szCs w:val="20"/>
                <w:color w:val="auto"/>
              </w:rPr>
            </w:pPr>
            <w:r>
              <w:rPr>
                <w:rFonts w:ascii="Arial" w:cs="Arial" w:eastAsia="Arial" w:hAnsi="Arial"/>
                <w:sz w:val="18"/>
                <w:szCs w:val="18"/>
                <w:color w:val="auto"/>
              </w:rPr>
              <w:t>34</w:t>
            </w:r>
          </w:p>
        </w:tc>
        <w:tc>
          <w:tcPr>
            <w:tcW w:w="3620" w:type="dxa"/>
            <w:vAlign w:val="bottom"/>
          </w:tcPr>
          <w:p>
            <w:pPr>
              <w:spacing w:after="0"/>
              <w:rPr>
                <w:sz w:val="24"/>
                <w:szCs w:val="24"/>
                <w:color w:val="auto"/>
              </w:rPr>
            </w:pPr>
          </w:p>
        </w:tc>
      </w:tr>
      <w:tr>
        <w:trPr>
          <w:trHeight w:val="142"/>
        </w:trPr>
        <w:tc>
          <w:tcPr>
            <w:tcW w:w="1740" w:type="dxa"/>
            <w:vAlign w:val="bottom"/>
            <w:tcBorders>
              <w:bottom w:val="single" w:sz="8" w:color="808080"/>
            </w:tcBorders>
          </w:tcPr>
          <w:p>
            <w:pPr>
              <w:spacing w:after="0"/>
              <w:rPr>
                <w:sz w:val="12"/>
                <w:szCs w:val="12"/>
                <w:color w:val="auto"/>
              </w:rPr>
            </w:pPr>
          </w:p>
        </w:tc>
        <w:tc>
          <w:tcPr>
            <w:tcW w:w="6060" w:type="dxa"/>
            <w:vAlign w:val="bottom"/>
            <w:tcBorders>
              <w:bottom w:val="single" w:sz="8" w:color="808080"/>
            </w:tcBorders>
          </w:tcPr>
          <w:p>
            <w:pPr>
              <w:spacing w:after="0"/>
              <w:rPr>
                <w:sz w:val="12"/>
                <w:szCs w:val="12"/>
                <w:color w:val="auto"/>
              </w:rPr>
            </w:pPr>
          </w:p>
        </w:tc>
        <w:tc>
          <w:tcPr>
            <w:tcW w:w="36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7540"/>
        <w:spacing w:after="0"/>
        <w:rPr>
          <w:sz w:val="20"/>
          <w:szCs w:val="20"/>
          <w:color w:val="auto"/>
        </w:rPr>
      </w:pPr>
      <w:r>
        <w:rPr>
          <w:rFonts w:ascii="Arial" w:cs="Arial" w:eastAsia="Arial" w:hAnsi="Arial"/>
          <w:sz w:val="16"/>
          <w:szCs w:val="16"/>
          <w:b w:val="1"/>
          <w:bCs w:val="1"/>
          <w:color w:val="auto"/>
        </w:rPr>
        <w:t>Exhibit 31.1</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41" w:lineRule="exact"/>
        <w:rPr>
          <w:sz w:val="20"/>
          <w:szCs w:val="20"/>
          <w:color w:val="auto"/>
        </w:rPr>
      </w:pPr>
    </w:p>
    <w:p>
      <w:pPr>
        <w:ind w:left="640" w:hanging="635"/>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Northern Technologies International Corporation;</w:t>
      </w:r>
    </w:p>
    <w:p>
      <w:pPr>
        <w:spacing w:after="0" w:line="264" w:lineRule="exact"/>
        <w:rPr>
          <w:rFonts w:ascii="Arial" w:cs="Arial" w:eastAsia="Arial" w:hAnsi="Arial"/>
          <w:sz w:val="16"/>
          <w:szCs w:val="16"/>
          <w:color w:val="auto"/>
        </w:rPr>
      </w:pPr>
    </w:p>
    <w:p>
      <w:pPr>
        <w:ind w:left="640" w:right="1879" w:hanging="635"/>
        <w:spacing w:after="0" w:line="300"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6"/>
          <w:szCs w:val="16"/>
          <w:color w:val="auto"/>
        </w:rPr>
      </w:pPr>
    </w:p>
    <w:p>
      <w:pPr>
        <w:ind w:left="640" w:right="2179" w:hanging="635"/>
        <w:spacing w:after="0" w:line="25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Arial" w:cs="Arial" w:eastAsia="Arial" w:hAnsi="Arial"/>
          <w:sz w:val="18"/>
          <w:szCs w:val="18"/>
          <w:color w:val="auto"/>
        </w:rPr>
      </w:pPr>
    </w:p>
    <w:p>
      <w:pPr>
        <w:ind w:left="640" w:right="1819" w:hanging="635"/>
        <w:spacing w:after="0" w:line="328"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5"/>
          <w:szCs w:val="15"/>
          <w:color w:val="auto"/>
        </w:rPr>
      </w:pPr>
    </w:p>
    <w:p>
      <w:pPr>
        <w:ind w:left="1120" w:right="1939" w:hanging="7"/>
        <w:spacing w:after="0" w:line="291" w:lineRule="auto"/>
        <w:tabs>
          <w:tab w:leader="none" w:pos="197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ind w:left="1120" w:right="1779" w:hanging="7"/>
        <w:spacing w:after="0" w:line="291" w:lineRule="auto"/>
        <w:tabs>
          <w:tab w:leader="none" w:pos="198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8" w:lineRule="exact"/>
        <w:rPr>
          <w:rFonts w:ascii="Arial" w:cs="Arial" w:eastAsia="Arial" w:hAnsi="Arial"/>
          <w:sz w:val="16"/>
          <w:szCs w:val="16"/>
          <w:color w:val="auto"/>
        </w:rPr>
      </w:pPr>
    </w:p>
    <w:p>
      <w:pPr>
        <w:ind w:left="1120" w:right="2279" w:hanging="7"/>
        <w:spacing w:after="0" w:line="328" w:lineRule="auto"/>
        <w:tabs>
          <w:tab w:leader="none" w:pos="1974"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5"/>
          <w:szCs w:val="15"/>
          <w:color w:val="auto"/>
        </w:rPr>
      </w:pPr>
    </w:p>
    <w:p>
      <w:pPr>
        <w:ind w:left="1120" w:right="1859" w:hanging="7"/>
        <w:spacing w:after="0" w:line="291" w:lineRule="auto"/>
        <w:tabs>
          <w:tab w:leader="none" w:pos="198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6"/>
          <w:szCs w:val="16"/>
          <w:color w:val="auto"/>
        </w:rPr>
      </w:pPr>
    </w:p>
    <w:p>
      <w:pPr>
        <w:ind w:left="640" w:right="1799" w:hanging="635"/>
        <w:spacing w:after="0" w:line="25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215" w:lineRule="exact"/>
        <w:rPr>
          <w:rFonts w:ascii="Arial" w:cs="Arial" w:eastAsia="Arial" w:hAnsi="Arial"/>
          <w:sz w:val="18"/>
          <w:szCs w:val="18"/>
          <w:color w:val="auto"/>
        </w:rPr>
      </w:pPr>
    </w:p>
    <w:p>
      <w:pPr>
        <w:jc w:val="both"/>
        <w:ind w:left="1120" w:right="1939" w:hanging="7"/>
        <w:spacing w:after="0" w:line="253" w:lineRule="auto"/>
        <w:tabs>
          <w:tab w:leader="none" w:pos="20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8"/>
          <w:szCs w:val="18"/>
          <w:color w:val="auto"/>
        </w:rPr>
      </w:pPr>
    </w:p>
    <w:p>
      <w:pPr>
        <w:ind w:left="1120" w:right="2099" w:hanging="7"/>
        <w:spacing w:after="0" w:line="325" w:lineRule="auto"/>
        <w:tabs>
          <w:tab w:leader="none" w:pos="2018"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109855</wp:posOffset>
            </wp:positionV>
            <wp:extent cx="1732915" cy="276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32915" cy="2762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2011</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G. Patrick Lynch</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19"/>
          </w:cols>
          <w:pgMar w:left="240" w:top="121" w:right="1440" w:bottom="1440" w:gutter="0" w:footer="0" w:header="0"/>
        </w:sectPr>
      </w:pPr>
    </w:p>
    <w:bookmarkStart w:id="37" w:name="page38"/>
    <w:bookmarkEnd w:id="37"/>
    <w:p>
      <w:pPr>
        <w:ind w:left="7540"/>
        <w:spacing w:after="0"/>
        <w:rPr>
          <w:sz w:val="20"/>
          <w:szCs w:val="20"/>
          <w:color w:val="auto"/>
        </w:rPr>
      </w:pPr>
      <w:r>
        <w:rPr>
          <w:rFonts w:ascii="Arial" w:cs="Arial" w:eastAsia="Arial" w:hAnsi="Arial"/>
          <w:sz w:val="16"/>
          <w:szCs w:val="16"/>
          <w:b w:val="1"/>
          <w:bCs w:val="1"/>
          <w:color w:val="auto"/>
        </w:rPr>
        <w:t>Exhibit 31.2</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41" w:lineRule="exact"/>
        <w:rPr>
          <w:sz w:val="20"/>
          <w:szCs w:val="20"/>
          <w:color w:val="auto"/>
        </w:rPr>
      </w:pPr>
    </w:p>
    <w:p>
      <w:pPr>
        <w:ind w:left="640" w:hanging="635"/>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Northern Technologies International Corporation;</w:t>
      </w:r>
    </w:p>
    <w:p>
      <w:pPr>
        <w:spacing w:after="0" w:line="264" w:lineRule="exact"/>
        <w:rPr>
          <w:rFonts w:ascii="Arial" w:cs="Arial" w:eastAsia="Arial" w:hAnsi="Arial"/>
          <w:sz w:val="16"/>
          <w:szCs w:val="16"/>
          <w:color w:val="auto"/>
        </w:rPr>
      </w:pPr>
    </w:p>
    <w:p>
      <w:pPr>
        <w:ind w:left="640" w:right="1879" w:hanging="635"/>
        <w:spacing w:after="0" w:line="300"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6"/>
          <w:szCs w:val="16"/>
          <w:color w:val="auto"/>
        </w:rPr>
      </w:pPr>
    </w:p>
    <w:p>
      <w:pPr>
        <w:ind w:left="640" w:right="2179" w:hanging="635"/>
        <w:spacing w:after="0" w:line="253"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Arial" w:cs="Arial" w:eastAsia="Arial" w:hAnsi="Arial"/>
          <w:sz w:val="18"/>
          <w:szCs w:val="18"/>
          <w:color w:val="auto"/>
        </w:rPr>
      </w:pPr>
    </w:p>
    <w:p>
      <w:pPr>
        <w:ind w:left="640" w:right="1819" w:hanging="635"/>
        <w:spacing w:after="0" w:line="328"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5"/>
          <w:szCs w:val="15"/>
          <w:color w:val="auto"/>
        </w:rPr>
      </w:pPr>
    </w:p>
    <w:p>
      <w:pPr>
        <w:ind w:left="1120" w:right="1939" w:hanging="7"/>
        <w:spacing w:after="0" w:line="291" w:lineRule="auto"/>
        <w:tabs>
          <w:tab w:leader="none" w:pos="197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6"/>
          <w:szCs w:val="16"/>
          <w:color w:val="auto"/>
        </w:rPr>
      </w:pPr>
    </w:p>
    <w:p>
      <w:pPr>
        <w:ind w:left="1120" w:right="1779" w:hanging="7"/>
        <w:spacing w:after="0" w:line="291" w:lineRule="auto"/>
        <w:tabs>
          <w:tab w:leader="none" w:pos="198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8" w:lineRule="exact"/>
        <w:rPr>
          <w:rFonts w:ascii="Arial" w:cs="Arial" w:eastAsia="Arial" w:hAnsi="Arial"/>
          <w:sz w:val="16"/>
          <w:szCs w:val="16"/>
          <w:color w:val="auto"/>
        </w:rPr>
      </w:pPr>
    </w:p>
    <w:p>
      <w:pPr>
        <w:ind w:left="1120" w:right="2279" w:hanging="7"/>
        <w:spacing w:after="0" w:line="328" w:lineRule="auto"/>
        <w:tabs>
          <w:tab w:leader="none" w:pos="1974"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5"/>
          <w:szCs w:val="15"/>
          <w:color w:val="auto"/>
        </w:rPr>
      </w:pPr>
    </w:p>
    <w:p>
      <w:pPr>
        <w:ind w:left="1120" w:right="1859" w:hanging="7"/>
        <w:spacing w:after="0" w:line="291" w:lineRule="auto"/>
        <w:tabs>
          <w:tab w:leader="none" w:pos="198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6"/>
          <w:szCs w:val="16"/>
          <w:color w:val="auto"/>
        </w:rPr>
      </w:pPr>
    </w:p>
    <w:p>
      <w:pPr>
        <w:ind w:left="640" w:right="1799" w:hanging="635"/>
        <w:spacing w:after="0" w:line="253"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215" w:lineRule="exact"/>
        <w:rPr>
          <w:rFonts w:ascii="Arial" w:cs="Arial" w:eastAsia="Arial" w:hAnsi="Arial"/>
          <w:sz w:val="18"/>
          <w:szCs w:val="18"/>
          <w:color w:val="auto"/>
        </w:rPr>
      </w:pPr>
    </w:p>
    <w:p>
      <w:pPr>
        <w:jc w:val="both"/>
        <w:ind w:left="1120" w:right="1939" w:hanging="7"/>
        <w:spacing w:after="0" w:line="253" w:lineRule="auto"/>
        <w:tabs>
          <w:tab w:leader="none" w:pos="20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8"/>
          <w:szCs w:val="18"/>
          <w:color w:val="auto"/>
        </w:rPr>
      </w:pPr>
    </w:p>
    <w:p>
      <w:pPr>
        <w:ind w:left="1120" w:right="2099" w:hanging="7"/>
        <w:spacing w:after="0" w:line="325" w:lineRule="auto"/>
        <w:tabs>
          <w:tab w:leader="none" w:pos="2018"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361315</wp:posOffset>
            </wp:positionV>
            <wp:extent cx="1314450" cy="702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14450" cy="7029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April 13,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 and Corporate Secretary</w:t>
      </w:r>
    </w:p>
    <w:p>
      <w:pPr>
        <w:sectPr>
          <w:pgSz w:w="11900" w:h="16838" w:orient="portrait"/>
          <w:cols w:equalWidth="0" w:num="2">
            <w:col w:w="2700" w:space="720"/>
            <w:col w:w="6799"/>
          </w:cols>
          <w:pgMar w:left="240" w:top="121" w:right="1440" w:bottom="1440" w:gutter="0" w:footer="0" w:header="0"/>
          <w:type w:val="continuous"/>
        </w:sectPr>
      </w:pPr>
    </w:p>
    <w:bookmarkStart w:id="38" w:name="page39"/>
    <w:bookmarkEnd w:id="38"/>
    <w:p>
      <w:pPr>
        <w:jc w:val="right"/>
        <w:ind w:right="177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60" w:right="40"/>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ind w:right="1819"/>
        <w:spacing w:after="0" w:line="24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February 28, 2011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8" w:lineRule="exact"/>
        <w:rPr>
          <w:sz w:val="20"/>
          <w:szCs w:val="20"/>
          <w:color w:val="auto"/>
        </w:rPr>
      </w:pPr>
    </w:p>
    <w:p>
      <w:pPr>
        <w:ind w:left="1580" w:right="2239" w:hanging="942"/>
        <w:spacing w:after="0" w:line="262"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1580" w:right="2119" w:hanging="942"/>
        <w:spacing w:after="0" w:line="262"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220" w:hanging="215"/>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1732915" cy="276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32915" cy="2762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13, 2011</w:t>
      </w:r>
    </w:p>
    <w:p>
      <w:pPr>
        <w:sectPr>
          <w:pgSz w:w="11900" w:h="16838" w:orient="portrait"/>
          <w:cols w:equalWidth="0" w:num="1">
            <w:col w:w="10219"/>
          </w:cols>
          <w:pgMar w:left="240" w:top="121" w:right="1440" w:bottom="1440" w:gutter="0" w:footer="0" w:header="0"/>
        </w:sectPr>
      </w:pPr>
    </w:p>
    <w:bookmarkStart w:id="39" w:name="page40"/>
    <w:bookmarkEnd w:id="39"/>
    <w:p>
      <w:pPr>
        <w:ind w:left="7540"/>
        <w:spacing w:after="0"/>
        <w:rPr>
          <w:sz w:val="20"/>
          <w:szCs w:val="20"/>
          <w:color w:val="auto"/>
        </w:rPr>
      </w:pPr>
      <w:r>
        <w:rPr>
          <w:rFonts w:ascii="Arial" w:cs="Arial" w:eastAsia="Arial" w:hAnsi="Arial"/>
          <w:sz w:val="16"/>
          <w:szCs w:val="16"/>
          <w:b w:val="1"/>
          <w:bCs w:val="1"/>
          <w:color w:val="auto"/>
        </w:rPr>
        <w:t>Exhibit 32.2</w:t>
      </w:r>
    </w:p>
    <w:p>
      <w:pPr>
        <w:spacing w:after="0" w:line="264" w:lineRule="exact"/>
        <w:rPr>
          <w:sz w:val="20"/>
          <w:szCs w:val="20"/>
          <w:color w:val="auto"/>
        </w:rPr>
      </w:pPr>
    </w:p>
    <w:p>
      <w:pPr>
        <w:jc w:val="center"/>
        <w:ind w:left="260" w:right="40"/>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ind w:right="1819"/>
        <w:spacing w:after="0" w:line="24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February 28, 2011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8" w:lineRule="exact"/>
        <w:rPr>
          <w:sz w:val="20"/>
          <w:szCs w:val="20"/>
          <w:color w:val="auto"/>
        </w:rPr>
      </w:pPr>
    </w:p>
    <w:p>
      <w:pPr>
        <w:ind w:left="1580" w:right="2239" w:hanging="942"/>
        <w:spacing w:after="0" w:line="262" w:lineRule="auto"/>
        <w:tabs>
          <w:tab w:leader="none" w:pos="1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7" w:lineRule="exact"/>
        <w:rPr>
          <w:rFonts w:ascii="Arial" w:cs="Arial" w:eastAsia="Arial" w:hAnsi="Arial"/>
          <w:sz w:val="18"/>
          <w:szCs w:val="18"/>
          <w:color w:val="auto"/>
        </w:rPr>
      </w:pPr>
    </w:p>
    <w:p>
      <w:pPr>
        <w:ind w:left="1580" w:right="2119" w:hanging="942"/>
        <w:spacing w:after="0" w:line="262" w:lineRule="auto"/>
        <w:tabs>
          <w:tab w:leader="none" w:pos="1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1314450" cy="702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144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 (principal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and principal accounting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13, 2011</w:t>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1."/>
      <w:numFmt w:val="decimal"/>
      <w:start w:val="6"/>
    </w:lvl>
  </w:abstractNum>
  <w:abstractNum w:abstractNumId="4">
    <w:nsid w:val="66EF438D"/>
    <w:multiLevelType w:val="hybridMultilevel"/>
    <w:lvl w:ilvl="0">
      <w:lvlJc w:val="left"/>
      <w:lvlText w:val="%1."/>
      <w:numFmt w:val="decimal"/>
      <w:start w:val="7"/>
    </w:lvl>
  </w:abstractNum>
  <w:abstractNum w:abstractNumId="5">
    <w:nsid w:val="140E0F76"/>
    <w:multiLevelType w:val="hybridMultilevel"/>
    <w:lvl w:ilvl="0">
      <w:lvlJc w:val="left"/>
      <w:lvlText w:val="%1."/>
      <w:numFmt w:val="decimal"/>
      <w:start w:val="8"/>
    </w:lvl>
  </w:abstractNum>
  <w:abstractNum w:abstractNumId="6">
    <w:nsid w:val="3352255A"/>
    <w:multiLevelType w:val="hybridMultilevel"/>
    <w:lvl w:ilvl="0">
      <w:lvlJc w:val="left"/>
      <w:lvlText w:val="%1."/>
      <w:numFmt w:val="decimal"/>
      <w:start w:val="9"/>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1."/>
      <w:numFmt w:val="decimal"/>
      <w:start w:val="12"/>
    </w:lvl>
  </w:abstractNum>
  <w:abstractNum w:abstractNumId="9">
    <w:nsid w:val="7FDCC233"/>
    <w:multiLevelType w:val="hybridMultilevel"/>
    <w:lvl w:ilvl="0">
      <w:lvlJc w:val="left"/>
      <w:lvlText w:val="%1."/>
      <w:numFmt w:val="decimal"/>
      <w:start w:val="13"/>
    </w:lvl>
  </w:abstractNum>
  <w:abstractNum w:abstractNumId="10">
    <w:nsid w:val="1BEFD79F"/>
    <w:multiLevelType w:val="hybridMultilevel"/>
    <w:lvl w:ilvl="0">
      <w:lvlJc w:val="left"/>
      <w:lvlText w:val="%1."/>
      <w:numFmt w:val="decimal"/>
      <w:start w:val="14"/>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upperLetter"/>
      <w:start w:val="1"/>
    </w:lvl>
    <w:lvl w:ilvl="1">
      <w:lvlJc w:val="left"/>
      <w:lvlText w:val="(%2)"/>
      <w:numFmt w:val="decimal"/>
      <w:start w:val="1"/>
    </w:lvl>
  </w:abstractNum>
  <w:abstractNum w:abstractNumId="17">
    <w:nsid w:val="3F2DBA31"/>
    <w:multiLevelType w:val="hybridMultilevel"/>
    <w:lvl w:ilvl="0">
      <w:lvlJc w:val="left"/>
      <w:lvlText w:val="%1."/>
      <w:numFmt w:val="upperLetter"/>
      <w:start w:val="7"/>
    </w:lvl>
    <w:lvl w:ilvl="1">
      <w:lvlJc w:val="left"/>
      <w:lvlText w:val="%2"/>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2019-12-10T10:46:02Z</dcterms:created>
  <dcterms:modified xsi:type="dcterms:W3CDTF">2019-12-10T10:46:02Z</dcterms:modified>
</cp:coreProperties>
</file>