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120" w:right="2340" w:hanging="4112"/>
        <w:spacing w:after="0" w:line="490" w:lineRule="auto"/>
        <w:tabs>
          <w:tab w:leader="none" w:pos="28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2015</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[_] </w:t>
      </w:r>
      <w:r>
        <w:rPr>
          <w:rFonts w:ascii="Arial" w:cs="Arial" w:eastAsia="Arial" w:hAnsi="Arial"/>
          <w:sz w:val="17"/>
          <w:szCs w:val="17"/>
          <w:b w:val="1"/>
          <w:bCs w:val="1"/>
          <w:color w:val="auto"/>
        </w:rPr>
        <w:t>TRANSITION REPORT PURSUANT TO SECTION 13 OR 15(d) OF THE SECURITIES EXCHANGE ACT OF 1934</w:t>
      </w:r>
    </w:p>
    <w:p>
      <w:pPr>
        <w:spacing w:after="0" w:line="241"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37" w:right="239" w:bottom="171" w:gutter="0" w:footer="0" w:header="0"/>
        </w:sectPr>
      </w:pPr>
    </w:p>
    <w:p>
      <w:pPr>
        <w:spacing w:after="0" w:line="20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337" w:right="239" w:bottom="171" w:gutter="0" w:footer="0" w:header="0"/>
          <w:type w:val="continuous"/>
        </w:sectPr>
      </w:pPr>
    </w:p>
    <w:p>
      <w:pPr>
        <w:spacing w:after="0" w:line="1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Circle Pines, Minnesota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60"/>
        <w:spacing w:after="0"/>
        <w:rPr>
          <w:sz w:val="20"/>
          <w:szCs w:val="20"/>
          <w:color w:val="auto"/>
        </w:rPr>
      </w:pPr>
      <w:r>
        <w:rPr>
          <w:rFonts w:ascii="Arial" w:cs="Arial" w:eastAsia="Arial" w:hAnsi="Arial"/>
          <w:sz w:val="18"/>
          <w:szCs w:val="18"/>
          <w:b w:val="1"/>
          <w:bCs w:val="1"/>
          <w:color w:val="auto"/>
        </w:rPr>
        <w:t>55014</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632" w:lineRule="exact"/>
        <w:rPr>
          <w:sz w:val="24"/>
          <w:szCs w:val="24"/>
          <w:color w:val="auto"/>
        </w:rPr>
      </w:pPr>
    </w:p>
    <w:p>
      <w:pPr>
        <w:sectPr>
          <w:pgSz w:w="11900" w:h="16838" w:orient="portrait"/>
          <w:cols w:equalWidth="0" w:num="2">
            <w:col w:w="7460" w:space="720"/>
            <w:col w:w="3240"/>
          </w:cols>
          <w:pgMar w:left="240" w:top="337" w:right="239" w:bottom="171"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under Section 12(b) of the Act:</w:t>
      </w:r>
    </w:p>
    <w:p>
      <w:pPr>
        <w:sectPr>
          <w:pgSz w:w="11900" w:h="16838" w:orient="portrait"/>
          <w:cols w:equalWidth="0" w:num="1">
            <w:col w:w="11420"/>
          </w:cols>
          <w:pgMar w:left="240" w:top="337" w:right="239" w:bottom="171" w:gutter="0" w:footer="0" w:header="0"/>
          <w:type w:val="continuous"/>
        </w:sectPr>
      </w:pPr>
    </w:p>
    <w:p>
      <w:pPr>
        <w:spacing w:after="0" w:line="248"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Common Stock, par value $0.02 per share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The NASDAQ Stock Market LLC</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2">
            <w:col w:w="6540" w:space="720"/>
            <w:col w:w="4160"/>
          </w:cols>
          <w:pgMar w:left="240" w:top="337" w:right="239" w:bottom="171"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740" w:firstLine="30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30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37" w:right="239" w:bottom="171" w:gutter="0" w:footer="0" w:header="0"/>
          <w:type w:val="continuous"/>
        </w:sectPr>
      </w:pPr>
    </w:p>
    <w:p>
      <w:pPr>
        <w:spacing w:after="0" w:line="91"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center"/>
        <w:ind w:right="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4">
            <w:col w:w="2280" w:space="620"/>
            <w:col w:w="1420" w:space="520"/>
            <w:col w:w="3360" w:space="720"/>
            <w:col w:w="2500"/>
          </w:cols>
          <w:pgMar w:left="240" w:top="337" w:right="239" w:bottom="171" w:gutter="0" w:footer="0" w:header="0"/>
          <w:type w:val="continuous"/>
        </w:sect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08"/>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27, 2015 (the last business day of the registrant’s second fiscal quarter) as reported by the NASDAQ Global Market on that date was $77.1 million.</w:t>
      </w:r>
    </w:p>
    <w:p>
      <w:pPr>
        <w:spacing w:after="0" w:line="18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November 10, 2015, 4,538,317 shares of common stock of the registrant were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337" w:right="239" w:bottom="171" w:gutter="0" w:footer="0" w:header="0"/>
          <w:type w:val="continuous"/>
        </w:sectPr>
      </w:pPr>
    </w:p>
    <w:bookmarkStart w:id="1" w:name="page2"/>
    <w:bookmarkEnd w:id="1"/>
    <w:p>
      <w:pPr>
        <w:ind w:firstLine="308"/>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2016 Annual Meeting of Stockholders to be held January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60" w:type="dxa"/>
            <w:vAlign w:val="bottom"/>
            <w:gridSpan w:val="17"/>
          </w:tcPr>
          <w:p>
            <w:pPr>
              <w:jc w:val="center"/>
              <w:ind w:right="220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0" w:type="dxa"/>
            <w:vAlign w:val="bottom"/>
            <w:gridSpan w:val="10"/>
          </w:tcPr>
          <w:p>
            <w:pPr>
              <w:jc w:val="center"/>
              <w:ind w:right="3780"/>
              <w:spacing w:after="0"/>
              <w:rPr>
                <w:sz w:val="20"/>
                <w:szCs w:val="20"/>
                <w:color w:val="auto"/>
              </w:rPr>
            </w:pPr>
            <w:r>
              <w:rPr>
                <w:rFonts w:ascii="Arial" w:cs="Arial" w:eastAsia="Arial" w:hAnsi="Arial"/>
                <w:sz w:val="18"/>
                <w:szCs w:val="18"/>
                <w:b w:val="1"/>
                <w:bCs w:val="1"/>
                <w:color w:val="auto"/>
                <w:w w:val="99"/>
              </w:rPr>
              <w:t>ANNUAL REPORT ON FORM 10-K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20" w:type="dxa"/>
            <w:vAlign w:val="bottom"/>
            <w:gridSpan w:val="11"/>
          </w:tcPr>
          <w:p>
            <w:pPr>
              <w:jc w:val="center"/>
              <w:ind w:right="3540"/>
              <w:spacing w:after="0"/>
              <w:rPr>
                <w:sz w:val="20"/>
                <w:szCs w:val="20"/>
                <w:color w:val="auto"/>
              </w:rPr>
            </w:pPr>
            <w:r>
              <w:rPr>
                <w:rFonts w:ascii="Arial" w:cs="Arial" w:eastAsia="Arial" w:hAnsi="Arial"/>
                <w:sz w:val="18"/>
                <w:szCs w:val="18"/>
                <w:b w:val="1"/>
                <w:bCs w:val="1"/>
                <w:color w:val="auto"/>
                <w:w w:val="97"/>
              </w:rPr>
              <w:t>FISCAL YEAR ENDED AUGUST 31, 2015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20" w:type="dxa"/>
            <w:vAlign w:val="bottom"/>
            <w:gridSpan w:val="9"/>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c>
          <w:tcPr>
            <w:tcW w:w="40" w:type="dxa"/>
            <w:vAlign w:val="bottom"/>
          </w:tcPr>
          <w:p>
            <w:pPr>
              <w:spacing w:after="0"/>
              <w:rPr>
                <w:sz w:val="24"/>
                <w:szCs w:val="24"/>
                <w:color w:val="auto"/>
              </w:rPr>
            </w:pPr>
          </w:p>
        </w:tc>
      </w:tr>
      <w:tr>
        <w:trPr>
          <w:trHeight w:val="412"/>
        </w:trPr>
        <w:tc>
          <w:tcPr>
            <w:tcW w:w="13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00" w:type="dxa"/>
            <w:vAlign w:val="bottom"/>
            <w:gridSpan w:val="5"/>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760" w:type="dxa"/>
            <w:vAlign w:val="bottom"/>
            <w:gridSpan w:val="21"/>
          </w:tcPr>
          <w:p>
            <w:pPr>
              <w:spacing w:after="0"/>
              <w:rPr>
                <w:sz w:val="24"/>
                <w:szCs w:val="24"/>
                <w:color w:val="auto"/>
              </w:rPr>
            </w:pPr>
          </w:p>
        </w:tc>
        <w:tc>
          <w:tcPr>
            <w:tcW w:w="4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Item 1A.</w:t>
              </w:r>
            </w:hyperlink>
          </w:p>
        </w:tc>
        <w:tc>
          <w:tcPr>
            <w:tcW w:w="360" w:type="dxa"/>
            <w:vAlign w:val="bottom"/>
          </w:tcPr>
          <w:p>
            <w:pPr>
              <w:spacing w:after="0"/>
              <w:rPr>
                <w:sz w:val="24"/>
                <w:szCs w:val="24"/>
                <w:color w:val="auto"/>
              </w:rPr>
            </w:pPr>
          </w:p>
        </w:tc>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8360" w:type="dxa"/>
            <w:vAlign w:val="bottom"/>
            <w:gridSpan w:val="17"/>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16</w:t>
              </w:r>
            </w:hyperlink>
          </w:p>
        </w:tc>
      </w:tr>
      <w:tr>
        <w:trPr>
          <w:trHeight w:val="412"/>
        </w:trPr>
        <w:tc>
          <w:tcPr>
            <w:tcW w:w="360" w:type="dxa"/>
            <w:vAlign w:val="bottom"/>
          </w:tcPr>
          <w:p>
            <w:pPr>
              <w:spacing w:after="0"/>
              <w:rPr>
                <w:sz w:val="24"/>
                <w:szCs w:val="24"/>
                <w:color w:val="auto"/>
              </w:rPr>
            </w:pPr>
          </w:p>
        </w:tc>
        <w:tc>
          <w:tcPr>
            <w:tcW w:w="640" w:type="dxa"/>
            <w:vAlign w:val="bottom"/>
            <w:gridSpan w:val="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1B.</w:t>
              </w:r>
            </w:hyperlink>
          </w:p>
        </w:tc>
        <w:tc>
          <w:tcPr>
            <w:tcW w:w="380" w:type="dxa"/>
            <w:vAlign w:val="bottom"/>
            <w:gridSpan w:val="2"/>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42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120" w:type="dxa"/>
            <w:vAlign w:val="bottom"/>
            <w:tcBorders>
              <w:top w:val="single" w:sz="8" w:color="0000EE"/>
            </w:tcBorders>
            <w:gridSpan w:val="3"/>
          </w:tcPr>
          <w:p>
            <w:pPr>
              <w:spacing w:after="0"/>
              <w:rPr>
                <w:sz w:val="24"/>
                <w:szCs w:val="24"/>
                <w:color w:val="auto"/>
              </w:rPr>
            </w:pPr>
          </w:p>
        </w:tc>
        <w:tc>
          <w:tcPr>
            <w:tcW w:w="380" w:type="dxa"/>
            <w:vAlign w:val="bottom"/>
            <w:gridSpan w:val="2"/>
          </w:tcPr>
          <w:p>
            <w:pPr>
              <w:spacing w:after="0"/>
              <w:rPr>
                <w:sz w:val="24"/>
                <w:szCs w:val="24"/>
                <w:color w:val="auto"/>
              </w:rPr>
            </w:pPr>
          </w:p>
        </w:tc>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PROPERTIES</w:t>
              </w:r>
            </w:hyperlink>
          </w:p>
        </w:tc>
        <w:tc>
          <w:tcPr>
            <w:tcW w:w="1760" w:type="dxa"/>
            <w:vAlign w:val="bottom"/>
            <w:tcBorders>
              <w:top w:val="single" w:sz="8" w:color="0000EE"/>
            </w:tcBorders>
            <w:gridSpan w:val="10"/>
          </w:tcPr>
          <w:p>
            <w:pPr>
              <w:spacing w:after="0"/>
              <w:rPr>
                <w:sz w:val="24"/>
                <w:szCs w:val="24"/>
                <w:color w:val="auto"/>
              </w:rPr>
            </w:pPr>
          </w:p>
        </w:tc>
        <w:tc>
          <w:tcPr>
            <w:tcW w:w="680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500" w:type="dxa"/>
            <w:vAlign w:val="bottom"/>
            <w:gridSpan w:val="5"/>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42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500" w:type="dxa"/>
            <w:vAlign w:val="bottom"/>
            <w:gridSpan w:val="5"/>
          </w:tcPr>
          <w:p>
            <w:pPr>
              <w:spacing w:after="0"/>
              <w:rPr>
                <w:sz w:val="24"/>
                <w:szCs w:val="24"/>
                <w:color w:val="auto"/>
              </w:rPr>
            </w:pPr>
          </w:p>
        </w:tc>
        <w:tc>
          <w:tcPr>
            <w:tcW w:w="246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MINE SAFETY DISCLOSURES</w:t>
              </w:r>
            </w:hyperlink>
          </w:p>
        </w:tc>
        <w:tc>
          <w:tcPr>
            <w:tcW w:w="716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412"/>
        </w:trPr>
        <w:tc>
          <w:tcPr>
            <w:tcW w:w="360" w:type="dxa"/>
            <w:vAlign w:val="bottom"/>
          </w:tcPr>
          <w:p>
            <w:pPr>
              <w:spacing w:after="0"/>
              <w:rPr>
                <w:sz w:val="24"/>
                <w:szCs w:val="24"/>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4A.</w:t>
              </w:r>
            </w:hyperlink>
          </w:p>
        </w:tc>
        <w:tc>
          <w:tcPr>
            <w:tcW w:w="360" w:type="dxa"/>
            <w:vAlign w:val="bottom"/>
          </w:tcPr>
          <w:p>
            <w:pPr>
              <w:spacing w:after="0"/>
              <w:rPr>
                <w:sz w:val="24"/>
                <w:szCs w:val="24"/>
                <w:color w:val="auto"/>
              </w:rPr>
            </w:pPr>
          </w:p>
        </w:tc>
        <w:tc>
          <w:tcPr>
            <w:tcW w:w="37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EXECUTIVE OFFICERS OF THE REGISTRANT</w:t>
              </w:r>
            </w:hyperlink>
          </w:p>
        </w:tc>
        <w:tc>
          <w:tcPr>
            <w:tcW w:w="588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r>
      <w:tr>
        <w:trPr>
          <w:trHeight w:val="412"/>
        </w:trPr>
        <w:tc>
          <w:tcPr>
            <w:tcW w:w="138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5.</w:t>
              </w:r>
            </w:hyperlink>
          </w:p>
        </w:tc>
        <w:tc>
          <w:tcPr>
            <w:tcW w:w="500" w:type="dxa"/>
            <w:vAlign w:val="bottom"/>
            <w:gridSpan w:val="5"/>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PURCHASES OF EQUITY SECURITIES</w:t>
              </w:r>
            </w:hyperlink>
          </w:p>
        </w:tc>
        <w:tc>
          <w:tcPr>
            <w:tcW w:w="136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500" w:type="dxa"/>
            <w:vAlign w:val="bottom"/>
            <w:gridSpan w:val="5"/>
          </w:tcPr>
          <w:p>
            <w:pPr>
              <w:spacing w:after="0"/>
              <w:rPr>
                <w:sz w:val="24"/>
                <w:szCs w:val="24"/>
                <w:color w:val="auto"/>
              </w:rPr>
            </w:pPr>
          </w:p>
        </w:tc>
        <w:tc>
          <w:tcPr>
            <w:tcW w:w="24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4"/>
          </w:tcPr>
          <w:p>
            <w:pPr>
              <w:spacing w:after="0"/>
              <w:rPr>
                <w:sz w:val="24"/>
                <w:szCs w:val="24"/>
                <w:color w:val="auto"/>
              </w:rPr>
            </w:pPr>
          </w:p>
        </w:tc>
        <w:tc>
          <w:tcPr>
            <w:tcW w:w="652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7.</w:t>
              </w:r>
            </w:hyperlink>
          </w:p>
        </w:tc>
        <w:tc>
          <w:tcPr>
            <w:tcW w:w="500" w:type="dxa"/>
            <w:vAlign w:val="bottom"/>
            <w:gridSpan w:val="5"/>
          </w:tcPr>
          <w:p>
            <w:pPr>
              <w:spacing w:after="0"/>
              <w:rPr>
                <w:sz w:val="24"/>
                <w:szCs w:val="24"/>
                <w:color w:val="auto"/>
              </w:rPr>
            </w:pPr>
          </w:p>
        </w:tc>
        <w:tc>
          <w:tcPr>
            <w:tcW w:w="77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MANAGEMENT’S DISCUSSION AND ANALYSIS OF FINANCIAL CONDITION AND RESULTS OF</w:t>
              </w:r>
            </w:hyperlink>
          </w:p>
        </w:tc>
        <w:tc>
          <w:tcPr>
            <w:tcW w:w="184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OPERATIONS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60" w:type="dxa"/>
            <w:vAlign w:val="bottom"/>
            <w:gridSpan w:val="8"/>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7A.</w:t>
              </w:r>
            </w:hyperlink>
          </w:p>
        </w:tc>
        <w:tc>
          <w:tcPr>
            <w:tcW w:w="360" w:type="dxa"/>
            <w:vAlign w:val="bottom"/>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42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412"/>
        </w:trPr>
        <w:tc>
          <w:tcPr>
            <w:tcW w:w="360" w:type="dxa"/>
            <w:vAlign w:val="bottom"/>
          </w:tcPr>
          <w:p>
            <w:pPr>
              <w:spacing w:after="0"/>
              <w:rPr>
                <w:sz w:val="24"/>
                <w:szCs w:val="24"/>
                <w:color w:val="auto"/>
              </w:rPr>
            </w:pPr>
          </w:p>
        </w:tc>
        <w:tc>
          <w:tcPr>
            <w:tcW w:w="520" w:type="dxa"/>
            <w:vAlign w:val="bottom"/>
            <w:tcBorders>
              <w:top w:val="single" w:sz="8" w:color="0000EE"/>
            </w:tcBorders>
            <w:gridSpan w:val="4"/>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8.</w:t>
              </w:r>
            </w:hyperlink>
          </w:p>
        </w:tc>
        <w:tc>
          <w:tcPr>
            <w:tcW w:w="140" w:type="dxa"/>
            <w:vAlign w:val="bottom"/>
            <w:tcBorders>
              <w:top w:val="single" w:sz="8" w:color="0000EE"/>
            </w:tcBorders>
            <w:gridSpan w:val="4"/>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Borders>
              <w:top w:val="single" w:sz="8" w:color="0000EE"/>
            </w:tcBorders>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348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61</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9.</w:t>
              </w:r>
            </w:hyperlink>
          </w:p>
        </w:tc>
        <w:tc>
          <w:tcPr>
            <w:tcW w:w="500" w:type="dxa"/>
            <w:vAlign w:val="bottom"/>
            <w:gridSpan w:val="5"/>
          </w:tcPr>
          <w:p>
            <w:pPr>
              <w:spacing w:after="0"/>
              <w:rPr>
                <w:sz w:val="24"/>
                <w:szCs w:val="24"/>
                <w:color w:val="auto"/>
              </w:rPr>
            </w:pPr>
          </w:p>
        </w:tc>
        <w:tc>
          <w:tcPr>
            <w:tcW w:w="800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94">
              <w:r>
                <w:rPr>
                  <w:rFonts w:ascii="Arial" w:cs="Arial" w:eastAsia="Arial" w:hAnsi="Arial"/>
                  <w:sz w:val="18"/>
                  <w:szCs w:val="18"/>
                  <w:color w:val="0000EE"/>
                  <w:w w:val="98"/>
                </w:rPr>
                <w:t>CHANGES IN AND DISAGREEMENTS WITH ACCOUNTANTS ON ACCOUNTING AND FINANCIAL</w:t>
              </w:r>
            </w:hyperlink>
          </w:p>
        </w:tc>
        <w:tc>
          <w:tcPr>
            <w:tcW w:w="16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DISCLOSURE</w:t>
              </w:r>
            </w:hyperlink>
          </w:p>
        </w:tc>
        <w:tc>
          <w:tcPr>
            <w:tcW w:w="8500" w:type="dxa"/>
            <w:vAlign w:val="bottom"/>
            <w:gridSpan w:val="1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89</w:t>
              </w:r>
            </w:hyperlink>
          </w:p>
        </w:tc>
      </w:tr>
      <w:tr>
        <w:trPr>
          <w:trHeight w:val="412"/>
        </w:trPr>
        <w:tc>
          <w:tcPr>
            <w:tcW w:w="360" w:type="dxa"/>
            <w:vAlign w:val="bottom"/>
          </w:tcPr>
          <w:p>
            <w:pPr>
              <w:spacing w:after="0"/>
              <w:rPr>
                <w:sz w:val="24"/>
                <w:szCs w:val="24"/>
                <w:color w:val="auto"/>
              </w:rPr>
            </w:pPr>
          </w:p>
        </w:tc>
        <w:tc>
          <w:tcPr>
            <w:tcW w:w="660" w:type="dxa"/>
            <w:vAlign w:val="bottom"/>
            <w:gridSpan w:val="8"/>
          </w:tcPr>
          <w:p>
            <w:pPr>
              <w:spacing w:after="0"/>
              <w:rPr>
                <w:rFonts w:ascii="Arial" w:cs="Arial" w:eastAsia="Arial" w:hAnsi="Arial"/>
                <w:sz w:val="18"/>
                <w:szCs w:val="18"/>
                <w:color w:val="0000EE"/>
                <w:w w:val="95"/>
              </w:rPr>
            </w:pPr>
            <w:hyperlink w:anchor="page94">
              <w:r>
                <w:rPr>
                  <w:rFonts w:ascii="Arial" w:cs="Arial" w:eastAsia="Arial" w:hAnsi="Arial"/>
                  <w:sz w:val="18"/>
                  <w:szCs w:val="18"/>
                  <w:color w:val="0000EE"/>
                  <w:w w:val="95"/>
                </w:rPr>
                <w:t>Item 9A.</w:t>
              </w:r>
            </w:hyperlink>
          </w:p>
        </w:tc>
        <w:tc>
          <w:tcPr>
            <w:tcW w:w="360" w:type="dxa"/>
            <w:vAlign w:val="bottom"/>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42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r>
      <w:tr>
        <w:trPr>
          <w:trHeight w:val="412"/>
        </w:trPr>
        <w:tc>
          <w:tcPr>
            <w:tcW w:w="360" w:type="dxa"/>
            <w:vAlign w:val="bottom"/>
          </w:tcPr>
          <w:p>
            <w:pPr>
              <w:spacing w:after="0"/>
              <w:rPr>
                <w:sz w:val="24"/>
                <w:szCs w:val="24"/>
                <w:color w:val="auto"/>
              </w:rPr>
            </w:pPr>
          </w:p>
        </w:tc>
        <w:tc>
          <w:tcPr>
            <w:tcW w:w="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 9B.</w:t>
              </w:r>
            </w:hyperlink>
          </w:p>
        </w:tc>
        <w:tc>
          <w:tcPr>
            <w:tcW w:w="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4"/>
          </w:tcPr>
          <w:p>
            <w:pPr>
              <w:spacing w:after="0"/>
              <w:rPr>
                <w:sz w:val="24"/>
                <w:szCs w:val="24"/>
                <w:color w:val="auto"/>
              </w:rPr>
            </w:pPr>
          </w:p>
        </w:tc>
        <w:tc>
          <w:tcPr>
            <w:tcW w:w="702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90</w:t>
              </w:r>
            </w:hyperlink>
          </w:p>
        </w:tc>
      </w:tr>
      <w:tr>
        <w:trPr>
          <w:trHeight w:val="412"/>
        </w:trPr>
        <w:tc>
          <w:tcPr>
            <w:tcW w:w="138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PART III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gridSpan w:val="6"/>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Item 10.</w:t>
              </w:r>
            </w:hyperlink>
          </w:p>
        </w:tc>
        <w:tc>
          <w:tcPr>
            <w:tcW w:w="400" w:type="dxa"/>
            <w:vAlign w:val="bottom"/>
            <w:gridSpan w:val="3"/>
          </w:tcPr>
          <w:p>
            <w:pPr>
              <w:spacing w:after="0"/>
              <w:rPr>
                <w:sz w:val="24"/>
                <w:szCs w:val="24"/>
                <w:color w:val="auto"/>
              </w:rPr>
            </w:pPr>
          </w:p>
        </w:tc>
        <w:tc>
          <w:tcPr>
            <w:tcW w:w="962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DIRECTORS, EXECUTIVE OFFICERS AND CORPORATE GOVERNANCE</w:t>
              </w:r>
            </w:hyperlink>
          </w:p>
        </w:tc>
        <w:tc>
          <w:tcPr>
            <w:tcW w:w="420" w:type="dxa"/>
            <w:vAlign w:val="bottom"/>
            <w:gridSpan w:val="4"/>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91</w:t>
              </w:r>
            </w:hyperlink>
          </w:p>
        </w:tc>
      </w:tr>
      <w:tr>
        <w:trPr>
          <w:trHeight w:val="412"/>
        </w:trPr>
        <w:tc>
          <w:tcPr>
            <w:tcW w:w="360" w:type="dxa"/>
            <w:vAlign w:val="bottom"/>
          </w:tcPr>
          <w:p>
            <w:pPr>
              <w:spacing w:after="0"/>
              <w:rPr>
                <w:sz w:val="24"/>
                <w:szCs w:val="24"/>
                <w:color w:val="auto"/>
              </w:rPr>
            </w:pPr>
          </w:p>
        </w:tc>
        <w:tc>
          <w:tcPr>
            <w:tcW w:w="620" w:type="dxa"/>
            <w:vAlign w:val="bottom"/>
            <w:tcBorders>
              <w:top w:val="single" w:sz="8" w:color="0000EE"/>
            </w:tcBorders>
            <w:gridSpan w:val="6"/>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Item 11.</w:t>
              </w:r>
            </w:hyperlink>
          </w:p>
        </w:tc>
        <w:tc>
          <w:tcPr>
            <w:tcW w:w="400" w:type="dxa"/>
            <w:vAlign w:val="bottom"/>
            <w:gridSpan w:val="3"/>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EXECUTIVE COMPENSATION</w:t>
              </w:r>
            </w:hyperlink>
          </w:p>
        </w:tc>
        <w:tc>
          <w:tcPr>
            <w:tcW w:w="38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91</w:t>
              </w:r>
            </w:hyperlink>
          </w:p>
        </w:tc>
      </w:tr>
      <w:tr>
        <w:trPr>
          <w:trHeight w:val="20"/>
        </w:trPr>
        <w:tc>
          <w:tcPr>
            <w:tcW w:w="3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Item 12.</w:t>
              </w:r>
            </w:hyperlink>
          </w:p>
        </w:tc>
        <w:tc>
          <w:tcPr>
            <w:tcW w:w="400" w:type="dxa"/>
            <w:vAlign w:val="bottom"/>
            <w:gridSpan w:val="3"/>
          </w:tcPr>
          <w:p>
            <w:pPr>
              <w:spacing w:after="0"/>
              <w:rPr>
                <w:sz w:val="24"/>
                <w:szCs w:val="24"/>
                <w:color w:val="auto"/>
              </w:rPr>
            </w:pPr>
          </w:p>
        </w:tc>
        <w:tc>
          <w:tcPr>
            <w:tcW w:w="806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SECURITY OWNERSHIP OF CERTAIN BENEFICIAL OWNERS AND MANAGEMENT AND RELATED</w:t>
              </w:r>
            </w:hyperlink>
          </w:p>
        </w:tc>
        <w:tc>
          <w:tcPr>
            <w:tcW w:w="15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STOCKHOLDER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92</w:t>
              </w:r>
            </w:hyperlink>
          </w:p>
        </w:tc>
      </w:tr>
      <w:tr>
        <w:trPr>
          <w:trHeight w:val="45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Borders>
              <w:top w:val="single" w:sz="8" w:color="0000EE"/>
            </w:tcBorders>
            <w:gridSpan w:val="8"/>
          </w:tcPr>
          <w:p>
            <w:pPr>
              <w:spacing w:after="0"/>
              <w:rPr>
                <w:sz w:val="24"/>
                <w:szCs w:val="24"/>
                <w:color w:val="auto"/>
              </w:rPr>
            </w:pPr>
          </w:p>
        </w:tc>
        <w:tc>
          <w:tcPr>
            <w:tcW w:w="2480" w:type="dxa"/>
            <w:vAlign w:val="bottom"/>
            <w:gridSpan w:val="7"/>
          </w:tcPr>
          <w:p>
            <w:pPr>
              <w:jc w:val="center"/>
              <w:ind w:left="1730"/>
              <w:spacing w:after="0"/>
              <w:rPr>
                <w:sz w:val="20"/>
                <w:szCs w:val="20"/>
                <w:color w:val="auto"/>
              </w:rPr>
            </w:pPr>
            <w:r>
              <w:rPr>
                <w:rFonts w:ascii="Arial" w:cs="Arial" w:eastAsia="Arial" w:hAnsi="Arial"/>
                <w:sz w:val="18"/>
                <w:szCs w:val="18"/>
                <w:color w:val="auto"/>
                <w:w w:val="99"/>
              </w:rPr>
              <w:t>1</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36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13.</w:t>
              </w:r>
            </w:hyperlink>
          </w:p>
        </w:tc>
        <w:tc>
          <w:tcPr>
            <w:tcW w:w="400" w:type="dxa"/>
            <w:vAlign w:val="bottom"/>
            <w:gridSpan w:val="2"/>
          </w:tcPr>
          <w:p>
            <w:pPr>
              <w:spacing w:after="0"/>
              <w:rPr>
                <w:sz w:val="24"/>
                <w:szCs w:val="24"/>
                <w:color w:val="auto"/>
              </w:rPr>
            </w:pPr>
          </w:p>
        </w:tc>
        <w:tc>
          <w:tcPr>
            <w:tcW w:w="8680" w:type="dxa"/>
            <w:vAlign w:val="bottom"/>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 INDEPENDENCE</w:t>
              </w:r>
            </w:hyperlink>
          </w:p>
        </w:tc>
        <w:tc>
          <w:tcPr>
            <w:tcW w:w="1000" w:type="dxa"/>
            <w:vAlign w:val="bottom"/>
          </w:tcPr>
          <w:p>
            <w:pPr>
              <w:spacing w:after="0"/>
              <w:rPr>
                <w:sz w:val="24"/>
                <w:szCs w:val="24"/>
                <w:color w:val="auto"/>
              </w:rPr>
            </w:pPr>
          </w:p>
        </w:tc>
        <w:tc>
          <w:tcPr>
            <w:tcW w:w="36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93</w:t>
              </w:r>
            </w:hyperlink>
          </w:p>
        </w:tc>
      </w:tr>
      <w:tr>
        <w:trPr>
          <w:trHeight w:val="412"/>
        </w:trPr>
        <w:tc>
          <w:tcPr>
            <w:tcW w:w="360" w:type="dxa"/>
            <w:vAlign w:val="bottom"/>
          </w:tcPr>
          <w:p>
            <w:pPr>
              <w:spacing w:after="0"/>
              <w:rPr>
                <w:sz w:val="24"/>
                <w:szCs w:val="24"/>
                <w:color w:val="auto"/>
              </w:rPr>
            </w:pPr>
          </w:p>
        </w:tc>
        <w:tc>
          <w:tcPr>
            <w:tcW w:w="620" w:type="dxa"/>
            <w:vAlign w:val="bottom"/>
            <w:tcBorders>
              <w:top w:val="single" w:sz="8" w:color="0000EE"/>
            </w:tcBorders>
            <w:gridSpan w:val="3"/>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 14.</w:t>
              </w:r>
            </w:hyperlink>
          </w:p>
        </w:tc>
        <w:tc>
          <w:tcPr>
            <w:tcW w:w="400" w:type="dxa"/>
            <w:vAlign w:val="bottom"/>
            <w:gridSpan w:val="2"/>
          </w:tcPr>
          <w:p>
            <w:pPr>
              <w:spacing w:after="0"/>
              <w:rPr>
                <w:sz w:val="24"/>
                <w:szCs w:val="24"/>
                <w:color w:val="auto"/>
              </w:rPr>
            </w:pPr>
          </w:p>
        </w:tc>
        <w:tc>
          <w:tcPr>
            <w:tcW w:w="7700" w:type="dxa"/>
            <w:vAlign w:val="bottom"/>
            <w:tcBorders>
              <w:top w:val="single" w:sz="8" w:color="0000EE"/>
            </w:tcBorders>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PRINCIPAL ACCOUNTING FEES AND SERVICES</w:t>
              </w:r>
            </w:hyperlink>
          </w:p>
        </w:tc>
        <w:tc>
          <w:tcPr>
            <w:tcW w:w="98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PART IV</w:t>
              </w:r>
            </w:hyperlink>
          </w:p>
        </w:tc>
        <w:tc>
          <w:tcPr>
            <w:tcW w:w="700" w:type="dxa"/>
            <w:vAlign w:val="bottom"/>
            <w:gridSpan w:val="4"/>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94</w:t>
              </w:r>
            </w:hyperlink>
          </w:p>
        </w:tc>
      </w:tr>
      <w:tr>
        <w:trPr>
          <w:trHeight w:val="412"/>
        </w:trPr>
        <w:tc>
          <w:tcPr>
            <w:tcW w:w="36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Item 15.</w:t>
              </w:r>
            </w:hyperlink>
          </w:p>
        </w:tc>
        <w:tc>
          <w:tcPr>
            <w:tcW w:w="400" w:type="dxa"/>
            <w:vAlign w:val="bottom"/>
            <w:gridSpan w:val="2"/>
          </w:tcPr>
          <w:p>
            <w:pPr>
              <w:spacing w:after="0"/>
              <w:rPr>
                <w:sz w:val="24"/>
                <w:szCs w:val="24"/>
                <w:color w:val="auto"/>
              </w:rPr>
            </w:pPr>
          </w:p>
        </w:tc>
        <w:tc>
          <w:tcPr>
            <w:tcW w:w="40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EXHIBITS, FINANCIAL STATEMENT SCHEDULES</w:t>
              </w:r>
            </w:hyperlink>
          </w:p>
        </w:tc>
        <w:tc>
          <w:tcPr>
            <w:tcW w:w="462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94</w:t>
              </w:r>
            </w:hyperlink>
          </w:p>
        </w:tc>
      </w:tr>
      <w:tr>
        <w:trPr>
          <w:trHeight w:val="412"/>
        </w:trPr>
        <w:tc>
          <w:tcPr>
            <w:tcW w:w="1380" w:type="dxa"/>
            <w:vAlign w:val="bottom"/>
            <w:gridSpan w:val="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r>
      <w:tr>
        <w:trPr>
          <w:trHeight w:val="453"/>
        </w:trPr>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gridSpan w:val="3"/>
          </w:tcPr>
          <w:p>
            <w:pPr>
              <w:jc w:val="right"/>
              <w:ind w:right="2460"/>
              <w:spacing w:after="0"/>
              <w:rPr>
                <w:sz w:val="20"/>
                <w:szCs w:val="20"/>
                <w:color w:val="auto"/>
              </w:rPr>
            </w:pPr>
            <w:r>
              <w:rPr>
                <w:rFonts w:ascii="Arial" w:cs="Arial" w:eastAsia="Arial" w:hAnsi="Arial"/>
                <w:sz w:val="18"/>
                <w:szCs w:val="18"/>
                <w:color w:val="auto"/>
              </w:rPr>
              <w:t>____________________</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wholly-owned subsidiaries, NTIC (Shanghai) Co., Ltd., NTI Facilities, Inc. and Northern Technologies Holding Company, LLC, and its majority-owned subsidiaries, Zerust Prevenção de Corrosão S.A., NTI Asean LLC and Natur-Tec India Private Limited, all of which are consolidated on NTIC’s consolidated financial statements.</w:t>
      </w:r>
    </w:p>
    <w:p>
      <w:pPr>
        <w:spacing w:after="0" w:line="18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i w:val="1"/>
          <w:iCs w:val="1"/>
          <w:color w:val="auto"/>
        </w:rPr>
        <w:t>NTIC’s consolidated financial statements do not include the accounts of any of its joint ventures. Except as otherwise indicated, references in this report to NTIC’s joint ventures do not include: (1) NTIC’s majority-owned Brazilian subsidiary, Zerust Prevenção de Corrosão S.A.; (2) NTIC’s majority-owned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majority-owned subsidiary, Northern Technologies India Private Limited, in India.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“NTIC China” refer to NTIC’s wholly-owned subsidiary in China, NTIC (Shanghai)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majority-owned Brazilian subsidiary, Zerust Prevenção de Corrosão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majority-owned holding company subsidiary, NTI Asean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“Natur-Tec India” refer to NTIC’s majority-owned subsidiary in India, Natur-Tec India Private Limited.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NTIC’s ZERUST® rust and corrosion inhibiting products include plastic and paper packaging, liquids and coatings, rust removers and cleaners, diffusers and also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joint venture arrangements in North America, Europe and Asia.</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Consequently, for the past several years, NTIC has focused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can liners, shopping and grocery bags, lawn and leaf bags,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majority-owned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January 2, 2015, NTIC announced that, effective as of December 31, 2014, it is selling its ZERUST® products and services in China through a wholly-owned subsidiary, NTIC (Shanghai) Co., Ltd. (NTIC China), and has terminated its joint venture agreements with Tianjin Zerust Anticorrosion Co., Ltd. (Tianjin Zerust). NTIC and NTI Asean LLC have filed a lawsuit against Mr. Tao Meng, a Chinese national and the former joint venture entity’s other shareholder, and his spouse in the Chinese court of Tianjin, seeking, among other things, an orderly liquidation of Tianjin Zerust.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 NTIC anticipates that it may take several quarters to transition many of the previous customers of Tianjin Zerust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 NTIC’s indirect ownership of Tianjin Zerust is 30%.</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2015, NTIC incurred approximately $1,640,000 in start-up expenses related either directly or indirectly to the establishment of NTIC China, the termination of the joint venture agreements with Tianjin Zerust, the pending litigation against Mr. Tao Meng and his spouse and Cortec Corporation, and the anticipated liquidation of Tianjin Zerust. These expenses are recorded as selling, general and administrative expenses and expenses incurred in support of joint ventures on the consolidated statements of operations.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expects its operating results may be volatile over the next few quarters as a result of NTIC’s Chinese operations. In particular, because of the lack of financial and other information received from Tianjin Zerust, it is possible that receipt of future financial and other information from Tianjin Zerust may impact the realization of NTIC’s investment in and realization of a receivable from Tianjin Zerust. The last time NTIC received financial information from Tianjin Zerust was through November 2014. NTIC, as of August 31, 2015, does not believe there are any triggering events that would require an impairment test. NTIC’s current net investment is approximately $1.1 million, which is 60% of its investment in Tianjin Zerust, which was $1,883,668 as of August 31, 2015. NTIC will continue to evaluate the realization of this asset on an ongoing basis and adjust if necessary.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The following table sets forth a list of NTIC’s operating joint ventures as of November 10, 2015, the country in which the joint venture is organized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ectPr>
          <w:pgSz w:w="11900" w:h="16838" w:orient="portrait"/>
          <w:cols w:equalWidth="0" w:num="1">
            <w:col w:w="11400"/>
          </w:cols>
          <w:pgMar w:left="240" w:top="692" w:right="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Joint Venture Name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TAIYONIC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ACOBAL SAS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ZERUST-NIC (TAIWAN)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ind w:left="100" w:right="140"/>
        <w:spacing w:after="0" w:line="274" w:lineRule="auto"/>
        <w:rPr>
          <w:sz w:val="20"/>
          <w:szCs w:val="20"/>
          <w:color w:val="auto"/>
        </w:rPr>
      </w:pPr>
      <w:r>
        <w:rPr>
          <w:rFonts w:ascii="Arial" w:cs="Arial" w:eastAsia="Arial" w:hAnsi="Arial"/>
          <w:sz w:val="18"/>
          <w:szCs w:val="18"/>
          <w:color w:val="auto"/>
        </w:rPr>
        <w:t>EXCOR KORROSIONSSCHUTZ – TECHNOLOGIEN UND PRODUKTE GMBH ZERUST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ZERUST AB</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MOSTNIC-ZERUST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KOREA ZERUST CO., LTD.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 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 (U.K.) LTD.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EXCOR-ZERUST S.R.O.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EXCOR SP. Z.O.O.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 SPECIALTY 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CHONG WAH-NTIA SDN. BHD.</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NTIA ZERUST PHILIPPINES,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 A.Ş.</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ZERUST CONSUMER PRODUCTS,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ZERUST – DNEPR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PT. CHEMINDO – 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Indirect ownership interest through NTI Asean.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7"/>
              </w:rPr>
              <w:t>NTIC Percent (%)</w:t>
            </w:r>
          </w:p>
        </w:tc>
      </w:tr>
      <w:tr>
        <w:trPr>
          <w:trHeight w:val="234"/>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18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195"/>
        </w:trPr>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1"/>
              </w:rPr>
              <w:t>Japan</w:t>
            </w:r>
          </w:p>
        </w:tc>
        <w:tc>
          <w:tcPr>
            <w:tcW w:w="180" w:type="dxa"/>
            <w:vAlign w:val="bottom"/>
          </w:tcPr>
          <w:p>
            <w:pPr>
              <w:spacing w:after="0"/>
              <w:rPr>
                <w:sz w:val="16"/>
                <w:szCs w:val="16"/>
                <w:color w:val="auto"/>
              </w:rPr>
            </w:pPr>
          </w:p>
        </w:tc>
        <w:tc>
          <w:tcPr>
            <w:tcW w:w="2200" w:type="dxa"/>
            <w:vAlign w:val="bottom"/>
          </w:tcPr>
          <w:p>
            <w:pPr>
              <w:jc w:val="center"/>
              <w:spacing w:after="0" w:line="195" w:lineRule="exact"/>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5"/>
              </w:rPr>
              <w:t>Taiwan</w:t>
            </w:r>
            <w:r>
              <w:rPr>
                <w:rFonts w:ascii="Arial" w:cs="Arial" w:eastAsia="Arial" w:hAnsi="Arial"/>
                <w:sz w:val="29"/>
                <w:szCs w:val="29"/>
                <w:color w:val="auto"/>
                <w:w w:val="85"/>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5"/>
              </w:rPr>
              <w:t>Singapore</w:t>
            </w:r>
            <w:r>
              <w:rPr>
                <w:rFonts w:ascii="Arial" w:cs="Arial" w:eastAsia="Arial" w:hAnsi="Arial"/>
                <w:sz w:val="29"/>
                <w:szCs w:val="29"/>
                <w:color w:val="auto"/>
                <w:w w:val="85"/>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60%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9"/>
                <w:szCs w:val="29"/>
                <w:color w:val="auto"/>
                <w:w w:val="87"/>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0"/>
              </w:rPr>
              <w:t>Czech Republic</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8"/>
              </w:rPr>
              <w:t>Thailand</w:t>
            </w:r>
            <w:r>
              <w:rPr>
                <w:rFonts w:ascii="Arial" w:cs="Arial" w:eastAsia="Arial" w:hAnsi="Arial"/>
                <w:sz w:val="29"/>
                <w:szCs w:val="29"/>
                <w:color w:val="auto"/>
                <w:w w:val="88"/>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8"/>
              </w:rPr>
              <w:t>Malaysia</w:t>
            </w:r>
            <w:r>
              <w:rPr>
                <w:rFonts w:ascii="Arial" w:cs="Arial" w:eastAsia="Arial" w:hAnsi="Arial"/>
                <w:sz w:val="29"/>
                <w:szCs w:val="29"/>
                <w:color w:val="auto"/>
                <w:w w:val="88"/>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r>
        <w:trPr>
          <w:trHeight w:val="257"/>
        </w:trPr>
        <w:tc>
          <w:tcPr>
            <w:tcW w:w="1860" w:type="dxa"/>
            <w:vAlign w:val="bottom"/>
          </w:tcPr>
          <w:p>
            <w:pPr>
              <w:jc w:val="center"/>
              <w:spacing w:after="0" w:line="256" w:lineRule="exact"/>
              <w:rPr>
                <w:sz w:val="20"/>
                <w:szCs w:val="20"/>
                <w:color w:val="auto"/>
              </w:rPr>
            </w:pPr>
            <w:r>
              <w:rPr>
                <w:rFonts w:ascii="Arial" w:cs="Arial" w:eastAsia="Arial" w:hAnsi="Arial"/>
                <w:sz w:val="18"/>
                <w:szCs w:val="18"/>
                <w:color w:val="auto"/>
                <w:w w:val="88"/>
              </w:rPr>
              <w:t>Philippines</w:t>
            </w:r>
            <w:r>
              <w:rPr>
                <w:rFonts w:ascii="Arial" w:cs="Arial" w:eastAsia="Arial" w:hAnsi="Arial"/>
                <w:sz w:val="29"/>
                <w:szCs w:val="29"/>
                <w:color w:val="auto"/>
                <w:w w:val="88"/>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50%</w:t>
            </w:r>
          </w:p>
        </w:tc>
      </w:tr>
      <w:tr>
        <w:trPr>
          <w:trHeight w:val="394"/>
        </w:trPr>
        <w:tc>
          <w:tcPr>
            <w:tcW w:w="1860" w:type="dxa"/>
            <w:vAlign w:val="bottom"/>
          </w:tcPr>
          <w:p>
            <w:pPr>
              <w:jc w:val="center"/>
              <w:spacing w:after="0"/>
              <w:rPr>
                <w:sz w:val="20"/>
                <w:szCs w:val="20"/>
                <w:color w:val="auto"/>
              </w:rPr>
            </w:pPr>
            <w:r>
              <w:rPr>
                <w:rFonts w:ascii="Arial" w:cs="Arial" w:eastAsia="Arial" w:hAnsi="Arial"/>
                <w:sz w:val="18"/>
                <w:szCs w:val="18"/>
                <w:color w:val="auto"/>
                <w:w w:val="85"/>
              </w:rPr>
              <w:t>Indonesia</w:t>
            </w:r>
            <w:r>
              <w:rPr>
                <w:rFonts w:ascii="Arial" w:cs="Arial" w:eastAsia="Arial" w:hAnsi="Arial"/>
                <w:sz w:val="30"/>
                <w:szCs w:val="30"/>
                <w:color w:val="auto"/>
                <w:w w:val="85"/>
                <w:vertAlign w:val="superscript"/>
              </w:rPr>
              <w:t>(1)</w:t>
            </w:r>
          </w:p>
        </w:tc>
        <w:tc>
          <w:tcPr>
            <w:tcW w:w="238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30%</w:t>
            </w:r>
          </w:p>
        </w:tc>
      </w:tr>
    </w:tbl>
    <w:p>
      <w:pPr>
        <w:spacing w:after="0" w:line="701" w:lineRule="exact"/>
        <w:rPr>
          <w:sz w:val="20"/>
          <w:szCs w:val="20"/>
          <w:color w:val="auto"/>
        </w:rPr>
      </w:pPr>
    </w:p>
    <w:p>
      <w:pPr>
        <w:sectPr>
          <w:pgSz w:w="11900" w:h="16838" w:orient="portrait"/>
          <w:cols w:equalWidth="0" w:num="2">
            <w:col w:w="6360" w:space="720"/>
            <w:col w:w="4320"/>
          </w:cols>
          <w:pgMar w:left="240" w:top="692" w:right="259" w:bottom="1440" w:gutter="0" w:footer="0" w:header="0"/>
          <w:type w:val="continuous"/>
        </w:sectPr>
      </w:pPr>
    </w:p>
    <w:p>
      <w:pPr>
        <w:spacing w:after="0" w:line="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results of Zerust Brazil, NTI Asean and Natur-Tec India, and as of December 31, 2014, NTIC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South Korea, Malaysia, Philippines, Singapore, Taiwan and Thailand. NTIC holds 90% of the equity and 90% of the voting rights of Natur-Tec India. NTIC China is a wholly-owned subsidiary of NTIC.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Sales by NTIC’s joint ventures are not included in the net sales of NTIC.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type w:val="continuous"/>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t>NTIC considers EXCOR, Natur-Tec India and its former joint venture in China, Tianjin Zerust, to be individually significant to NTIC’s consolidated assets and income; and therefore, provides certain additional information regarding EXCOR, Natur-Tec India and Tianjin Zerust in the notes to NTIC’s consolidated financial statements and in this section of this report.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more information regarding NTIC’s joint ventures and their effect on NTIC’s operating results, see NTIC’s consolidated financial statements in “Part II. Item 8. Financial Statements and Supplementary Data” and “Part II. Item 7. Management’s Discussion and Analysis of Financial Condition and Results of Operations”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NTIC derives revenues directly and/or indirectly through its subsidiaries and joint ventures from the following two reportable business segments based on products sold, customer base and distribution center:</w:t>
      </w:r>
    </w:p>
    <w:p>
      <w:pPr>
        <w:spacing w:after="0" w:line="174" w:lineRule="exact"/>
        <w:rPr>
          <w:sz w:val="20"/>
          <w:szCs w:val="20"/>
          <w:color w:val="auto"/>
        </w:rPr>
      </w:pPr>
    </w:p>
    <w:p>
      <w:pPr>
        <w:ind w:right="460"/>
        <w:spacing w:after="0" w:line="210"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fiscal 2015, 85.9% of NTIC’s consolidated net sales were derived from developing, manufacturing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NTIC’s consolidated net sales in fiscal 2015 included $26,042,909 in sales of</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an increase of 9.2% over such sales in fiscal 2014. Corrosion not only damages the appearance of metal products and components but also negatively impacts their mechanical performance. This applies to the rusting of ferrous metals (iron and steel) and</w:t>
      </w:r>
    </w:p>
    <w:p>
      <w:pPr>
        <w:ind w:right="320"/>
        <w:spacing w:after="0" w:line="217" w:lineRule="auto"/>
        <w:rPr>
          <w:sz w:val="20"/>
          <w:szCs w:val="20"/>
          <w:color w:val="auto"/>
        </w:rPr>
      </w:pPr>
      <w:r>
        <w:rPr>
          <w:rFonts w:ascii="Arial" w:cs="Arial" w:eastAsia="Arial" w:hAnsi="Arial"/>
          <w:sz w:val="18"/>
          <w:szCs w:val="18"/>
          <w:color w:val="auto"/>
        </w:rPr>
        <w:t>the deterioration by oxidation of nonferrous metals (aluminum, copper, brass, etc.).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208" w:lineRule="exact"/>
        <w:rPr>
          <w:sz w:val="20"/>
          <w:szCs w:val="20"/>
          <w:color w:val="auto"/>
        </w:rPr>
      </w:pPr>
    </w:p>
    <w:p>
      <w:pPr>
        <w:ind w:right="140"/>
        <w:spacing w:after="0" w:line="227" w:lineRule="auto"/>
        <w:rPr>
          <w:sz w:val="20"/>
          <w:szCs w:val="20"/>
          <w:color w:val="auto"/>
        </w:rPr>
      </w:pPr>
      <w:r>
        <w:rPr>
          <w:rFonts w:ascii="Arial" w:cs="Arial" w:eastAsia="Arial" w:hAnsi="Arial"/>
          <w:sz w:val="16"/>
          <w:szCs w:val="16"/>
          <w:i w:val="1"/>
          <w:iCs w:val="1"/>
          <w:color w:val="auto"/>
        </w:rPr>
        <w:t>Plastic and Paper Packaging</w:t>
      </w:r>
      <w:r>
        <w:rPr>
          <w:rFonts w:ascii="Arial" w:cs="Arial" w:eastAsia="Arial" w:hAnsi="Arial"/>
          <w:sz w:val="16"/>
          <w:szCs w:val="16"/>
          <w:color w:val="auto"/>
        </w:rPr>
        <w:t>. NTIC’s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packaging products contain proprietary chemical formulations that continuously release an invisible and</w:t>
      </w:r>
      <w:r>
        <w:rPr>
          <w:rFonts w:ascii="Arial" w:cs="Arial" w:eastAsia="Arial" w:hAnsi="Arial"/>
          <w:sz w:val="16"/>
          <w:szCs w:val="16"/>
          <w:i w:val="1"/>
          <w:iCs w:val="1"/>
          <w:color w:val="auto"/>
        </w:rPr>
        <w:t xml:space="preserve"> </w:t>
      </w:r>
      <w:r>
        <w:rPr>
          <w:rFonts w:ascii="Arial" w:cs="Arial" w:eastAsia="Arial" w:hAnsi="Arial"/>
          <w:sz w:val="16"/>
          <w:szCs w:val="16"/>
          <w:color w:val="auto"/>
        </w:rPr>
        <w:t>odorless,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packaging. Electron scanning shows that once the contents are removed</w:t>
      </w:r>
    </w:p>
    <w:p>
      <w:pPr>
        <w:spacing w:after="0" w:line="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from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package,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certain coatings to inhibit corrosion, NTIC’s</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NTIC developed the first means of infusing volatile corrosion inhibiting chemical systems (VCIs) into polyethylene and polypropylene resins. Combining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process costs. In addition to plastic packaging, NTIC has developed additives to imbue kraft paper, corrugated cardboard, solid fiber and chipboard packaging materials with corrosion protection properties.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plastic and paper packaging products come in various thicknesses, strength</w:t>
      </w:r>
    </w:p>
    <w:p>
      <w:pPr>
        <w:spacing w:after="0" w:line="4"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enhancements, protection types, shapes and sizes. This product line also includes items such as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line="252"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and bio-solvent based, marketed under brand names including Axxatec</w:t>
      </w:r>
      <w:r>
        <w:rPr>
          <w:rFonts w:ascii="Arial" w:cs="Arial" w:eastAsia="Arial" w:hAnsi="Arial"/>
          <w:sz w:val="26"/>
          <w:szCs w:val="26"/>
          <w:color w:val="auto"/>
          <w:vertAlign w:val="superscript"/>
        </w:rPr>
        <w:t>™</w:t>
      </w:r>
      <w:r>
        <w:rPr>
          <w:rFonts w:ascii="Arial" w:cs="Arial" w:eastAsia="Arial" w:hAnsi="Arial"/>
          <w:sz w:val="16"/>
          <w:szCs w:val="16"/>
          <w:color w:val="auto"/>
        </w:rPr>
        <w:t>, Axxanol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Z-Maxx</w:t>
      </w:r>
      <w:r>
        <w:rPr>
          <w:rFonts w:ascii="Arial" w:cs="Arial" w:eastAsia="Arial" w:hAnsi="Arial"/>
          <w:sz w:val="26"/>
          <w:szCs w:val="26"/>
          <w:color w:val="auto"/>
          <w:vertAlign w:val="superscript"/>
        </w:rPr>
        <w:t>™</w:t>
      </w:r>
      <w:r>
        <w:rPr>
          <w:rFonts w:ascii="Arial" w:cs="Arial" w:eastAsia="Arial" w:hAnsi="Arial"/>
          <w:sz w:val="16"/>
          <w:szCs w:val="16"/>
          <w:color w:val="auto"/>
        </w:rPr>
        <w:t>. These liquids and coatings provide powerful corrosion protection in aggressive environments, such as salt air and humidity at high temperatures. Products are formulated for most metal types and protection levels.</w:t>
      </w:r>
    </w:p>
    <w:p>
      <w:pPr>
        <w:spacing w:after="0" w:line="3" w:lineRule="exact"/>
        <w:rPr>
          <w:sz w:val="20"/>
          <w:szCs w:val="20"/>
          <w:color w:val="auto"/>
        </w:rPr>
      </w:pPr>
    </w:p>
    <w:p>
      <w:pPr>
        <w:ind w:right="560"/>
        <w:spacing w:after="0" w:line="205" w:lineRule="auto"/>
        <w:rPr>
          <w:sz w:val="20"/>
          <w:szCs w:val="20"/>
          <w:color w:val="auto"/>
        </w:rPr>
      </w:pPr>
      <w:r>
        <w:rPr>
          <w:rFonts w:ascii="Arial" w:cs="Arial" w:eastAsia="Arial" w:hAnsi="Arial"/>
          <w:sz w:val="18"/>
          <w:szCs w:val="18"/>
          <w:color w:val="auto"/>
        </w:rPr>
        <w:t>Customers use a combination of NTIC’s liquids and coatings with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plastic and paper products to achieve robust corrosion protection during manufacturing, shipping and warehousing stages.</w:t>
      </w:r>
    </w:p>
    <w:p>
      <w:pPr>
        <w:spacing w:after="0" w:line="203"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name.</w:t>
      </w:r>
    </w:p>
    <w:p>
      <w:pPr>
        <w:spacing w:after="0" w:line="58" w:lineRule="exact"/>
        <w:rPr>
          <w:sz w:val="20"/>
          <w:szCs w:val="20"/>
          <w:color w:val="auto"/>
        </w:rPr>
      </w:pPr>
    </w:p>
    <w:p>
      <w:pPr>
        <w:ind w:right="20"/>
        <w:spacing w:after="0" w:line="210" w:lineRule="auto"/>
        <w:rPr>
          <w:sz w:val="20"/>
          <w:szCs w:val="20"/>
          <w:color w:val="auto"/>
        </w:rPr>
      </w:pPr>
      <w:r>
        <w:rPr>
          <w:rFonts w:ascii="Arial" w:cs="Arial" w:eastAsia="Arial" w:hAnsi="Arial"/>
          <w:sz w:val="16"/>
          <w:szCs w:val="16"/>
          <w:i w:val="1"/>
          <w:iCs w:val="1"/>
          <w:color w:val="auto"/>
        </w:rPr>
        <w:t>Diffusers</w:t>
      </w:r>
      <w:r>
        <w:rPr>
          <w:rFonts w:ascii="Arial" w:cs="Arial" w:eastAsia="Arial" w:hAnsi="Arial"/>
          <w:sz w:val="16"/>
          <w:szCs w:val="16"/>
          <w:color w:val="auto"/>
        </w:rPr>
        <w:t>. NTIC’s corrosion prevention solutions include a line of corrosion inhibiting vapor diffusers, such as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ActivPak</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ICT</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Vapor Capsules,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Plastabs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Cor-Tabs</w:t>
      </w:r>
      <w:r>
        <w:rPr>
          <w:rFonts w:ascii="Arial" w:cs="Arial" w:eastAsia="Arial" w:hAnsi="Arial"/>
          <w:sz w:val="26"/>
          <w:szCs w:val="26"/>
          <w:color w:val="auto"/>
          <w:vertAlign w:val="superscript"/>
        </w:rPr>
        <w:t>®</w:t>
      </w:r>
      <w:r>
        <w:rPr>
          <w:rFonts w:ascii="Arial" w:cs="Arial" w:eastAsia="Arial" w:hAnsi="Arial"/>
          <w:sz w:val="16"/>
          <w:szCs w:val="16"/>
          <w:color w:val="auto"/>
        </w:rPr>
        <w:t>,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Pipe Strip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ICT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Tube Strip. These diffusers</w:t>
      </w:r>
    </w:p>
    <w:p>
      <w:pPr>
        <w:spacing w:after="0" w:line="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are designed to protect metals within enclosures, like switch gearboxes and electronic cabinets, or can be used as added protection to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Diffusers work by permeating the interior air of an enclosure with an invisible and odorless corrosion inhibiting vapor that protects nearby metal surfaces that are within a specific “radius of protection” for a period of one or two years depending on the model. This invisible and dry protective layer revaporizes upon removal of the capsule from the enclosure, leaving all surfaces clean, dry, residue-free and corrosion-free.</w:t>
      </w:r>
    </w:p>
    <w:p>
      <w:pPr>
        <w:spacing w:after="0" w:line="208" w:lineRule="exact"/>
        <w:rPr>
          <w:sz w:val="20"/>
          <w:szCs w:val="20"/>
          <w:color w:val="auto"/>
        </w:rPr>
      </w:pPr>
    </w:p>
    <w:p>
      <w:pPr>
        <w:ind w:right="220"/>
        <w:spacing w:after="0" w:line="210" w:lineRule="auto"/>
        <w:rPr>
          <w:sz w:val="20"/>
          <w:szCs w:val="20"/>
          <w:color w:val="auto"/>
        </w:rPr>
      </w:pPr>
      <w:r>
        <w:rPr>
          <w:rFonts w:ascii="Arial" w:cs="Arial" w:eastAsia="Arial" w:hAnsi="Arial"/>
          <w:sz w:val="16"/>
          <w:szCs w:val="16"/>
          <w:i w:val="1"/>
          <w:iCs w:val="1"/>
          <w:color w:val="auto"/>
        </w:rPr>
        <w:t>Z-CIS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Technical Services</w:t>
      </w:r>
      <w:r>
        <w:rPr>
          <w:rFonts w:ascii="Arial" w:cs="Arial" w:eastAsia="Arial" w:hAnsi="Arial"/>
          <w:sz w:val="16"/>
          <w:szCs w:val="16"/>
          <w:color w:val="auto"/>
        </w:rPr>
        <w:t>. As an on-going effort to help NTIC’s customers improve and control their processes in terms of corrosion management, NTIC</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and offers unique corrosion management and consulting services to target customers. This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inhibition system (known as Z-</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CIS</w:t>
      </w:r>
      <w:r>
        <w:rPr>
          <w:rFonts w:ascii="Arial" w:cs="Arial" w:eastAsia="Arial" w:hAnsi="Arial"/>
          <w:sz w:val="30"/>
          <w:szCs w:val="30"/>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system.</w:t>
      </w:r>
    </w:p>
    <w:p>
      <w:pPr>
        <w:spacing w:after="0" w:line="85" w:lineRule="exact"/>
        <w:rPr>
          <w:sz w:val="20"/>
          <w:szCs w:val="20"/>
          <w:color w:val="auto"/>
        </w:rPr>
      </w:pPr>
    </w:p>
    <w:p>
      <w:pPr>
        <w:ind w:right="280"/>
        <w:spacing w:after="0"/>
        <w:rPr>
          <w:sz w:val="20"/>
          <w:szCs w:val="20"/>
          <w:color w:val="auto"/>
        </w:rPr>
      </w:pPr>
      <w:r>
        <w:rPr>
          <w:rFonts w:ascii="Arial" w:cs="Arial" w:eastAsia="Arial" w:hAnsi="Arial"/>
          <w:sz w:val="16"/>
          <w:szCs w:val="16"/>
          <w:i w:val="1"/>
          <w:iCs w:val="1"/>
          <w:color w:val="auto"/>
        </w:rPr>
        <w:t>ZERUST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Corrosion Prevention Solutions Designed Specifically for the Oil and Gas Industry</w:t>
      </w:r>
      <w:r>
        <w:rPr>
          <w:rFonts w:ascii="Arial" w:cs="Arial" w:eastAsia="Arial" w:hAnsi="Arial"/>
          <w:sz w:val="16"/>
          <w:szCs w:val="16"/>
          <w:color w:val="auto"/>
        </w:rPr>
        <w:t>. NTIC has developed proprietary engineered corrosion</w:t>
      </w:r>
      <w:r>
        <w:rPr>
          <w:rFonts w:ascii="Arial" w:cs="Arial" w:eastAsia="Arial" w:hAnsi="Arial"/>
          <w:sz w:val="16"/>
          <w:szCs w:val="16"/>
          <w:i w:val="1"/>
          <w:iCs w:val="1"/>
          <w:color w:val="auto"/>
        </w:rPr>
        <w:t xml:space="preserve"> </w:t>
      </w:r>
      <w:r>
        <w:rPr>
          <w:rFonts w:ascii="Arial" w:cs="Arial" w:eastAsia="Arial" w:hAnsi="Arial"/>
          <w:sz w:val="16"/>
          <w:szCs w:val="16"/>
          <w:color w:val="auto"/>
        </w:rPr>
        <w:t>inhibiting solutions specifically for the mitigation of corrosion of the types of capital assets used in the petroleum and chemical process industries and has</w:t>
      </w:r>
    </w:p>
    <w:p>
      <w:pPr>
        <w:ind w:right="80"/>
        <w:spacing w:after="0" w:line="272" w:lineRule="auto"/>
        <w:rPr>
          <w:sz w:val="20"/>
          <w:szCs w:val="20"/>
          <w:color w:val="auto"/>
        </w:rPr>
      </w:pPr>
      <w:r>
        <w:rPr>
          <w:rFonts w:ascii="Arial" w:cs="Arial" w:eastAsia="Arial" w:hAnsi="Arial"/>
          <w:sz w:val="16"/>
          <w:szCs w:val="16"/>
          <w:color w:val="auto"/>
        </w:rPr>
        <w:t>targeted the sale of these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solutions to potential customers in the oil and gas industry. NTIC’s consolidated net sales in fiscal 2015 included $1,886,814 in sales made to customers in the oil and gas industry, an increase of 10.9% over such sales in fiscal 2014.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costs associated with the replacement of parts and structures, maintenance and repairs, and product loss, there are significant economic losses associated with critical infrastructure down for repair and maintenance. Furthermore, there are also considerable health, safety and environmental risks caused by corrosion that can greatly increase economic losses. NTIC believes that its ZERUST® oil and gas corrosion prevention solutions minimize maintenance downtime on critical oil and gas industry infrastructure, extend the life of such infrastructure and reduce the risk of environmental pollution due to leaks caused by corrosion.</w:t>
      </w:r>
    </w:p>
    <w:p>
      <w:pPr>
        <w:spacing w:after="0" w:line="1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NTIC’s rust and corrosion inhibiting products for the oil and gas industry include ZERUST® Flange Savers,® ZERUST® ReCAST-R VCI Dispensers, Zerust ReCAST-SSB solutions and ZERUST® chemicals, including Zerion chemicals, in addition to many of the traditional ZERUST® rust and corrosion inhibiting products previously described.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ZERUST® ReCAST-R VCI Dispensers protect the interior surfaces of aboveground storage tank roofs by delivering proprietary inhibitor formulations into the vapor space between the surface of the product and the tank roof. Certain grades of oil contain sulphur and emit corrosive acid gas vapors that destroy the internal surfaces of aboveground storage tank roofs and their support structures above the stored product. Aggressive pitting and crevice corrosion create holes in tank roofs that cause unsafe operating conditions and environmental problems. Internal tank coatings decrease surface corrosion but have proven to be ineffective in preventing dangerous pitting and crevice corrosion, especially in the interstitial spaces between the roof and support structures. The ZERUST® ReCAST-R solution is designed to extend the service life of a single tank roof significantly by forming a protective inhibitor barrier which separates the corrosive environment from the metallic surface of the tank roof support structures and is designed to prevent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ZERUST® ReCAST-SSB solutions protect the Soil Side Bottoms (SSB) of aboveground storage tanks through a variety of unique and highly effective delivery systems designed by the Zerust Oil &amp; Gas team to deliver proprietary Zerion FVS corrosion inhibitor to tank bottom spaces that are susceptible to significant corrosion. Tank bottoms are typically made of steel plates which are in direct contact with the foundation surface that could be concrete, sand/soil and asphalt/bitumen. It is typically not possible to protect this underside surface with traditional coatings. Cathodic protection (CP) systems can provide some protection, but these have significant limitations that cause failures well ahead of the expected service life of a tank. The ZERUST® solutions provide effective protection even to areas that cannot be addressed with CP. This is an engineered solution where each system is tailored to a customer’s requirements depending on the tank foundation design, specific environmental conditions, tank diameter, etc.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ZERUST® Zerion line of powder based inhibitor solutions include:</w:t>
      </w:r>
    </w:p>
    <w:p>
      <w:pPr>
        <w:spacing w:after="0" w:line="225" w:lineRule="exact"/>
        <w:rPr>
          <w:sz w:val="20"/>
          <w:szCs w:val="20"/>
          <w:color w:val="auto"/>
        </w:rPr>
      </w:pPr>
    </w:p>
    <w:p>
      <w:pPr>
        <w:ind w:left="660" w:right="3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Zerion FVS is a unique inhibitor blend that is used in the SSB Solutions. This “best-in-class” product has been successfully deployed at multiple client sites in the North and South American geographies.</w:t>
      </w:r>
    </w:p>
    <w:p>
      <w:pPr>
        <w:spacing w:after="0" w:line="170"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AutoFog is a revolutionary product that allows for the quick VCI saturation of large volume spaces without the need for mechanical “fogging” equipment. This rapid self-diffusing capability is good for sealed void spaces, protection of large/complex assets like Heat Exchangers and Heater-Treaters.</w:t>
      </w:r>
    </w:p>
    <w:p>
      <w:pPr>
        <w:spacing w:after="0" w:line="181"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Sol-V C-Series is designed to provide corrosion prevention in voids and enclosures especially when there is either stagnant water, or the potential for water seepages and/or accumulation of water over time. ZERUST® Sol-V™ C-Series packaging allows VCIs to release while conserving a Sol-V proprietary blend of soluble corrosion inhibitors (SCIs) until water enters the system. Typical applications of ZERUST® Sol-V™ C-Series packaging include offshore platform leg voids, vessels and tanks mothballed in tropical environments, ship blocks being fabricated in areas of high humidity, piping systems and heat exchangers.</w:t>
      </w:r>
    </w:p>
    <w:p>
      <w:pPr>
        <w:spacing w:after="0" w:line="192"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During fiscal 2012, two of NTIC’s ZERUST® products designed for the oil and gas industry,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Flange Savers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ReCAST-R system, received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magazine’s “Readers’ Choice Corrosion Innovation of the Year” Awards.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is published by NACE International, the world’s largest organization of professional engineers dedicated to the study, prevention and mitigation of corrosion.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0" w:name="page11"/>
    <w:bookmarkEnd w:id="10"/>
    <w:p>
      <w:pPr>
        <w:spacing w:after="0" w:line="234" w:lineRule="auto"/>
        <w:rPr>
          <w:sz w:val="20"/>
          <w:szCs w:val="20"/>
          <w:color w:val="auto"/>
        </w:rPr>
      </w:pPr>
      <w:r>
        <w:rPr>
          <w:rFonts w:ascii="Arial" w:cs="Arial" w:eastAsia="Arial" w:hAnsi="Arial"/>
          <w:sz w:val="17"/>
          <w:szCs w:val="17"/>
          <w:b w:val="1"/>
          <w:bCs w:val="1"/>
          <w:i w:val="1"/>
          <w:iCs w:val="1"/>
          <w:color w:val="auto"/>
        </w:rPr>
        <w:t>Natur-Tec</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Resin Compounds and Finished Products</w:t>
      </w:r>
      <w:r>
        <w:rPr>
          <w:rFonts w:ascii="Arial" w:cs="Arial" w:eastAsia="Arial" w:hAnsi="Arial"/>
          <w:sz w:val="17"/>
          <w:szCs w:val="17"/>
          <w:color w:val="auto"/>
        </w:rPr>
        <w:t>. NTIC manufactures and sells a range of biobased and compostable (fully biodegradable) polymer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resins and finished products under the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brand. NTIC’s consolidated net sales in fiscal 2015 included $4,279,785 in sales of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resins and finished products, an increase of 43.6% over such sales in fiscal 2014. Market drivers such as volatile petroleum prices, reduced dependence on foreign oil, reduced carbon footprints, and environmentally responsible end-of-life solutions increased interest in using sustainable, biobased and renewable plant-biomass resources for the manufacture of plastics and industrial products. Plastics that are fully biodegradable in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compostable, or both.</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Resins.  </w:t>
      </w: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resins are produced by blending commercially available base resins, such as Ecoflex</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BASF, Ingeo</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 from NatureWorks LLC</w:t>
      </w:r>
    </w:p>
    <w:p>
      <w:pPr>
        <w:ind w:right="240"/>
        <w:spacing w:after="0" w:line="247" w:lineRule="auto"/>
        <w:rPr>
          <w:sz w:val="20"/>
          <w:szCs w:val="20"/>
          <w:color w:val="auto"/>
        </w:rPr>
      </w:pPr>
      <w:r>
        <w:rPr>
          <w:rFonts w:ascii="Arial" w:cs="Arial" w:eastAsia="Arial" w:hAnsi="Arial"/>
          <w:sz w:val="16"/>
          <w:szCs w:val="16"/>
          <w:color w:val="auto"/>
        </w:rPr>
        <w:t>and/or Bionolle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from Showa-Denko, with organic and inorganic fillers, and proprietary polymer modifiers and compatabilizers,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w:t>
      </w:r>
    </w:p>
    <w:p>
      <w:pPr>
        <w:spacing w:after="0" w:line="1"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polymer resin formulations that exhibit unique and stable morphology.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are engineered for high performance, ease of processing and reduced cost compared to most other bio-plastic materials, and can be processed by converters using conventional plastic manufacturing processes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resins are available in several grades tailored for a variety of applications, such as blown-film extrusion, extrusion coating and injection molding.</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flexible film resins are fully compostable and meet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w:t>
      </w:r>
    </w:p>
    <w:p>
      <w:pPr>
        <w:spacing w:after="0" w:line="2" w:lineRule="exact"/>
        <w:rPr>
          <w:sz w:val="20"/>
          <w:szCs w:val="20"/>
          <w:color w:val="auto"/>
        </w:rPr>
      </w:pPr>
    </w:p>
    <w:p>
      <w:pPr>
        <w:ind w:right="160"/>
        <w:spacing w:after="0" w:line="219" w:lineRule="auto"/>
        <w:rPr>
          <w:sz w:val="20"/>
          <w:szCs w:val="20"/>
          <w:color w:val="auto"/>
        </w:rPr>
      </w:pPr>
      <w:r>
        <w:rPr>
          <w:rFonts w:ascii="Arial" w:cs="Arial" w:eastAsia="Arial" w:hAnsi="Arial"/>
          <w:sz w:val="17"/>
          <w:szCs w:val="17"/>
          <w:color w:val="auto"/>
        </w:rPr>
        <w:t>Products Institute) in the United States and Vincotte in Europe.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film resins can be used to produce film for applications, such as bags, including compost bags, lawn and leaf bags, pet waste bags and carry-out bags, agricultural film and consumer and industrial packaging.</w:t>
      </w:r>
    </w:p>
    <w:p>
      <w:pPr>
        <w:spacing w:after="0" w:line="206"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w:t>
      </w:r>
    </w:p>
    <w:p>
      <w:pPr>
        <w:ind w:right="20"/>
        <w:spacing w:after="0" w:line="234" w:lineRule="auto"/>
        <w:rPr>
          <w:sz w:val="20"/>
          <w:szCs w:val="20"/>
          <w:color w:val="auto"/>
        </w:rPr>
      </w:pPr>
      <w:r>
        <w:rPr>
          <w:rFonts w:ascii="Arial" w:cs="Arial" w:eastAsia="Arial" w:hAnsi="Arial"/>
          <w:sz w:val="16"/>
          <w:szCs w:val="16"/>
          <w:color w:val="auto"/>
        </w:rPr>
        <w:t>requirements of international standards for compostable plastics, such as ASTM D6400.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extrusion coating resins provide good adhesion to paper, an excellent print surface and good heat seal strength and the coating material is suitable for food contact applications including both hot and cold</w:t>
      </w:r>
    </w:p>
    <w:p>
      <w:pPr>
        <w:spacing w:after="0" w:line="2" w:lineRule="exact"/>
        <w:rPr>
          <w:sz w:val="20"/>
          <w:szCs w:val="20"/>
          <w:color w:val="auto"/>
        </w:rPr>
      </w:pPr>
    </w:p>
    <w:p>
      <w:pPr>
        <w:ind w:right="360"/>
        <w:spacing w:after="0" w:line="205" w:lineRule="auto"/>
        <w:rPr>
          <w:sz w:val="20"/>
          <w:szCs w:val="20"/>
          <w:color w:val="auto"/>
        </w:rPr>
      </w:pPr>
      <w:r>
        <w:rPr>
          <w:rFonts w:ascii="Arial" w:cs="Arial" w:eastAsia="Arial" w:hAnsi="Arial"/>
          <w:sz w:val="18"/>
          <w:szCs w:val="18"/>
          <w:color w:val="auto"/>
        </w:rPr>
        <w:t>applications.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extrusion coating resins can be used for coating paper and paperboards for the manufacture of disposable cups, plates and other food service ware items.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biobased and compostable and are designed to replace conventional plastic materials for</w:t>
      </w:r>
    </w:p>
    <w:p>
      <w:pPr>
        <w:ind w:right="460"/>
        <w:spacing w:after="0" w:line="234" w:lineRule="auto"/>
        <w:rPr>
          <w:sz w:val="20"/>
          <w:szCs w:val="20"/>
          <w:color w:val="auto"/>
        </w:rPr>
      </w:pPr>
      <w:r>
        <w:rPr>
          <w:rFonts w:ascii="Arial" w:cs="Arial" w:eastAsia="Arial" w:hAnsi="Arial"/>
          <w:sz w:val="16"/>
          <w:szCs w:val="16"/>
          <w:color w:val="auto"/>
        </w:rPr>
        <w:t>injection molded plastic applications.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w:t>
      </w:r>
    </w:p>
    <w:p>
      <w:pPr>
        <w:ind w:right="260"/>
        <w:spacing w:after="0" w:line="206" w:lineRule="auto"/>
        <w:rPr>
          <w:sz w:val="20"/>
          <w:szCs w:val="20"/>
          <w:color w:val="auto"/>
        </w:rPr>
      </w:pPr>
      <w:r>
        <w:rPr>
          <w:rFonts w:ascii="Arial" w:cs="Arial" w:eastAsia="Arial" w:hAnsi="Arial"/>
          <w:sz w:val="16"/>
          <w:szCs w:val="16"/>
          <w:color w:val="auto"/>
        </w:rPr>
        <w:t>D6400 and EN 13432.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injection molding resin compounds are made with at least 50% of biobased/renewable</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resource-based materials per the ASTM D6866 standard and are meant to enhance sustainability by replacing petroleum-based plastics.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also produces biobased injection molding resin compounds that are not designed or intended to biodegrade but rather aid in sustainability by requiring less energy</w:t>
      </w:r>
    </w:p>
    <w:p>
      <w:pPr>
        <w:ind w:right="80"/>
        <w:spacing w:after="0" w:line="217" w:lineRule="auto"/>
        <w:rPr>
          <w:sz w:val="20"/>
          <w:szCs w:val="20"/>
          <w:color w:val="auto"/>
        </w:rPr>
      </w:pPr>
      <w:r>
        <w:rPr>
          <w:rFonts w:ascii="Arial" w:cs="Arial" w:eastAsia="Arial" w:hAnsi="Arial"/>
          <w:sz w:val="18"/>
          <w:szCs w:val="18"/>
          <w:color w:val="auto"/>
        </w:rPr>
        <w:t>for production and by reducing dependence on petroleum as a raw material.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and compostable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food and consumer goods packaging that are currently marketed under 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brands.</w:t>
      </w:r>
    </w:p>
    <w:p>
      <w:pPr>
        <w:spacing w:after="0" w:line="34"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The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offers 12 different compostable trash bag sizes, from 3-gallon to 96-gallon. The bags are available in various SKU configurations from retail packs that are sold to the consumer either through retail outlets or through online stores, and industrial case packs that are sold to</w:t>
      </w:r>
    </w:p>
    <w:p>
      <w:pPr>
        <w:ind w:right="500"/>
        <w:spacing w:after="0" w:line="182" w:lineRule="auto"/>
        <w:rPr>
          <w:sz w:val="20"/>
          <w:szCs w:val="20"/>
          <w:color w:val="auto"/>
        </w:rPr>
      </w:pPr>
      <w:r>
        <w:rPr>
          <w:rFonts w:ascii="Arial" w:cs="Arial" w:eastAsia="Arial" w:hAnsi="Arial"/>
          <w:sz w:val="17"/>
          <w:szCs w:val="17"/>
          <w:color w:val="auto"/>
        </w:rPr>
        <w:t>commercial and industrial customers primarily through wholesalers and distributors. The Natur-Bag</w:t>
      </w:r>
      <w:r>
        <w:rPr>
          <w:rFonts w:ascii="Arial" w:cs="Arial" w:eastAsia="Arial" w:hAnsi="Arial"/>
          <w:sz w:val="27"/>
          <w:szCs w:val="27"/>
          <w:color w:val="auto"/>
          <w:vertAlign w:val="superscript"/>
        </w:rPr>
        <w:t>®</w:t>
      </w:r>
      <w:r>
        <w:rPr>
          <w:rFonts w:ascii="Arial" w:cs="Arial" w:eastAsia="Arial" w:hAnsi="Arial"/>
          <w:sz w:val="17"/>
          <w:szCs w:val="17"/>
          <w:color w:val="auto"/>
        </w:rPr>
        <w:t xml:space="preserve"> products are manufactured from the Natur-Tec</w:t>
      </w:r>
      <w:r>
        <w:rPr>
          <w:rFonts w:ascii="Arial" w:cs="Arial" w:eastAsia="Arial" w:hAnsi="Arial"/>
          <w:sz w:val="27"/>
          <w:szCs w:val="27"/>
          <w:color w:val="auto"/>
          <w:vertAlign w:val="superscript"/>
        </w:rPr>
        <w:t>®</w:t>
      </w:r>
      <w:r>
        <w:rPr>
          <w:rFonts w:ascii="Arial" w:cs="Arial" w:eastAsia="Arial" w:hAnsi="Arial"/>
          <w:sz w:val="17"/>
          <w:szCs w:val="17"/>
          <w:color w:val="auto"/>
        </w:rPr>
        <w:t xml:space="preserve"> flexible film resin compounds and thus are fully biodegradable and compostable.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compostable injection molding resin compounds.</w:t>
      </w:r>
    </w:p>
    <w:p>
      <w:pPr>
        <w:spacing w:after="0"/>
        <w:rPr>
          <w:sz w:val="20"/>
          <w:szCs w:val="20"/>
          <w:color w:val="auto"/>
        </w:rPr>
      </w:pPr>
      <w:r>
        <w:rPr>
          <w:rFonts w:ascii="Arial" w:cs="Arial" w:eastAsia="Arial" w:hAnsi="Arial"/>
          <w:sz w:val="18"/>
          <w:szCs w:val="18"/>
          <w:color w:val="auto"/>
        </w:rPr>
        <w:t>Natur-Ware® cutlery can be composted along with food scraps in zero-waste programs.</w:t>
      </w:r>
    </w:p>
    <w:p>
      <w:pPr>
        <w:spacing w:after="0" w:line="20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Both Natur-Bag® and Natur-Ware® products are fully certified compostable, and carry the BPI Compostable logo in the United States and the Vincotte OK Compost in Europe. Furthermore, these products were also independently tested and approved for use in organic waste diversion systems by Cedar Grove, one of the largest compost operators 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In the United States, NTIC markets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rust and corrosion inhibiting products and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w:t>
      </w:r>
    </w:p>
    <w:p>
      <w:pPr>
        <w:spacing w:after="0" w:line="2" w:lineRule="exact"/>
        <w:rPr>
          <w:sz w:val="20"/>
          <w:szCs w:val="20"/>
          <w:color w:val="auto"/>
        </w:rPr>
      </w:pPr>
    </w:p>
    <w:p>
      <w:pPr>
        <w:ind w:right="40"/>
        <w:spacing w:after="0" w:line="205" w:lineRule="auto"/>
        <w:rPr>
          <w:sz w:val="20"/>
          <w:szCs w:val="20"/>
          <w:color w:val="auto"/>
        </w:rPr>
      </w:pPr>
      <w:r>
        <w:rPr>
          <w:rFonts w:ascii="Arial" w:cs="Arial" w:eastAsia="Arial" w:hAnsi="Arial"/>
          <w:sz w:val="18"/>
          <w:szCs w:val="18"/>
          <w:color w:val="auto"/>
        </w:rPr>
        <w:t>NTIC’s technical service consultants work directly with the end users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technical requirements.</w:t>
      </w:r>
    </w:p>
    <w:p>
      <w:pPr>
        <w:spacing w:after="0" w:line="2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66" w:right="279" w:bottom="1440" w:gutter="0" w:footer="0" w:header="0"/>
        </w:sectPr>
      </w:pPr>
    </w:p>
    <w:bookmarkStart w:id="12" w:name="page13"/>
    <w:bookmarkEnd w:id="12"/>
    <w:p>
      <w:pPr>
        <w:ind w:right="20"/>
        <w:spacing w:after="0" w:line="262" w:lineRule="auto"/>
        <w:rPr>
          <w:sz w:val="20"/>
          <w:szCs w:val="20"/>
          <w:color w:val="auto"/>
        </w:rPr>
      </w:pPr>
      <w:r>
        <w:rPr>
          <w:rFonts w:ascii="Arial" w:cs="Arial" w:eastAsia="Arial" w:hAnsi="Arial"/>
          <w:sz w:val="16"/>
          <w:szCs w:val="16"/>
          <w:color w:val="auto"/>
        </w:rPr>
        <w:t>With respect to the sales and marketing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w:t>
      </w:r>
    </w:p>
    <w:p>
      <w:pPr>
        <w:spacing w:after="0" w:line="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believe the sale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will involve a long sales cycle, likely including a one-to multi-year trial period with each customer and a slow integration process thereafter.</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In the United States, NTIC markets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national and regional distributors and independent manufacturer’s sales representatives and three NTIC direct sales employees as of August 31, 2015. Target customers for Natur-Tec® finished products include individual consumers and commercial and institutional organizations such as corporations and government agencies, and educational organizations such as universities and school districts. NTIC is also targeting key national and regional retailers</w:t>
      </w:r>
    </w:p>
    <w:p>
      <w:pPr>
        <w:spacing w:after="0" w:line="1"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utilizing independent sales agents. Target customers for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include film extruders and injection molders who would purchase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to manufacture and sell their own finished biobased, and compostable end products, such as film, bags and cutlery.</w:t>
      </w:r>
    </w:p>
    <w:p>
      <w:pPr>
        <w:spacing w:after="0" w:line="46"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Internationally, NTIC uses NTI India, and its joint ventures and a network of international distributors to market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w:t>
      </w:r>
      <w:r>
        <w:rPr>
          <w:rFonts w:ascii="Arial" w:cs="Arial" w:eastAsia="Arial" w:hAnsi="Arial"/>
          <w:sz w:val="16"/>
          <w:szCs w:val="16"/>
          <w:color w:val="auto"/>
        </w:rPr>
        <w:t>. While NTIC is unaware of any third parties with which NTIC competes on a worldwide basis with respect to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distribution networks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NTIC’s competitors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Nonetheless, the</w:t>
      </w:r>
    </w:p>
    <w:p>
      <w:pPr>
        <w:spacing w:after="0" w:line="3" w:lineRule="exact"/>
        <w:rPr>
          <w:sz w:val="20"/>
          <w:szCs w:val="20"/>
          <w:color w:val="auto"/>
        </w:rPr>
      </w:pPr>
    </w:p>
    <w:p>
      <w:pPr>
        <w:ind w:right="60"/>
        <w:spacing w:after="0" w:line="217" w:lineRule="auto"/>
        <w:rPr>
          <w:sz w:val="20"/>
          <w:szCs w:val="20"/>
          <w:color w:val="auto"/>
        </w:rPr>
      </w:pPr>
      <w:r>
        <w:rPr>
          <w:rFonts w:ascii="Arial" w:cs="Arial" w:eastAsia="Arial" w:hAnsi="Arial"/>
          <w:sz w:val="18"/>
          <w:szCs w:val="18"/>
          <w:color w:val="auto"/>
        </w:rPr>
        <w:t>commoditization of certain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have led and may continue to lead to lower prices and lower margins on such products. In addition, because certain barriers to entry are low, additional competitors, including plastic extrusion companies, may emerge, which likely would lead to the further commoditization of NTIC’s rust and corrosion inhibiting products.</w:t>
      </w:r>
    </w:p>
    <w:p>
      <w:pPr>
        <w:spacing w:after="0" w:line="20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With respect to NTIC’s corrosion prevention solutions for use in the oil and gas industry, NTIC’s primary barrier to entry is a combination of conservatism, complacency, confidence in old approaches as well as the complexity of the buying organizations. Some of NTIC’s competitors with respect to its traditional</w:t>
      </w:r>
    </w:p>
    <w:p>
      <w:pPr>
        <w:ind w:right="120"/>
        <w:spacing w:after="0" w:line="232"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sectPr>
      </w:pPr>
    </w:p>
    <w:bookmarkStart w:id="13" w:name="page14"/>
    <w:bookmarkEnd w:id="13"/>
    <w:p>
      <w:pPr>
        <w:ind w:right="120"/>
        <w:spacing w:after="0" w:line="258"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shelf life, place of manufacture and price. Because of price competition, NTIC’s margins on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wholly-owned subsidiary, Excor Korrosionsforschung GmbH, to conduct research into new fields of corrosion inhibiting packaging and the applications engineering of such products in</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conjunction with NTIC’s domestic research and development operations. With respect to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2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NTIC spent $4,047,279 in fiscal 2015 in connection with its research and development activities, compared to $4,368,752 in fiscal 2014 and $3,815,515 in fiscal 2013. NTIC anticipates that it will spend between $4,000,000 and $4,500,000 in fiscal 2016 on research and development activities. These amounts are net of reimbursements related to certain research and development contracts. Such reimbursements totaled $0, $45,788 and $274,728 in fiscal 2015, 2014 and 2013, respectively. Most of NTIC’s research and development contracts under which NTIC received reimbursements during fiscal 2014 were in connection with developing corrosion prevention solutions for the U.S. government in connection with developing future potential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 was awarded three National Science Foundation (NSF) awards -- one in June 2009 as a Phase I Small Business Technology Transfer (STTR) grant for $150,000 on advanced polylactide materials for biobased and biodegradable products, the second in September 2009 as a Phase I Small Business Innovation Research (SBIR) grant for an additional $150,000 on “Biobased coatings for corrosion protection” and a third in November 2011 as a Phase II SBIR grant of $500,000 for the development of advanced polylactide materials for biobased and biodegradable plastic products. The Phase I projects were completed in June 2010 and have helped NTIC develop biobased technologies for new innovative applications in the ZERUST® and Natur-Tec® business areas. The Phase</w:t>
      </w:r>
    </w:p>
    <w:p>
      <w:pPr>
        <w:spacing w:after="0" w:line="2" w:lineRule="exact"/>
        <w:rPr>
          <w:sz w:val="20"/>
          <w:szCs w:val="20"/>
          <w:color w:val="auto"/>
        </w:rPr>
      </w:pPr>
    </w:p>
    <w:p>
      <w:pPr>
        <w:ind w:right="500" w:firstLine="8"/>
        <w:spacing w:after="0" w:line="302" w:lineRule="auto"/>
        <w:tabs>
          <w:tab w:leader="none" w:pos="16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project work was completed in fiscal 2015. The modified polylactic acid chemistries developed with this program helped NTIC to expand its product portfolio and commercialize novel bioplastics packaging solutions along with enhanced formulations for molded food service-ware. The research and technology development was conducted in collaboration with Ramani Narayan, Ph.D., a current director of NTIC, and Michigan State University.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During fiscal 2010, NTIC was awarded funding from the U.S. Department of Defense for a Phase I Small Business Innovation Research contract worth</w:t>
      </w:r>
    </w:p>
    <w:p>
      <w:pPr>
        <w:spacing w:after="0" w:line="3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$70,000 to develop non-plastic marine biodegradable waste bags for the U.S. Navy. NTIC collaborated with the U.S. Army Natick labs and Michigan State University (MSU) on this project. In November 2011, NTIC was awarded a Department of Defense Small Business Innovation Research Phase II grant of $500,000 for the ongoing development and commercialization of biobased and marine biodegradable non-plastic bags for the U.S. Navy. The Phase II grant work continued during fiscal 2014 and was completed in April 2014 by supplying the NAVSUP office with marine biodegradable coated paper bags for evaluation. The NAVSUP office was unable to evaluate the bags due to lack of funding and later closed out the project due to cost and commercialization reasons. They identified this would currently be a niche product and would like to reevaluate once the technology was mature and commercialized in more markets. MSU is currently continuing research on the vegetable oil coating technology for usage in other applications.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United States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but not limited to, the Patent Cooperation Treaty.</w:t>
      </w:r>
    </w:p>
    <w:p>
      <w:pPr>
        <w:spacing w:after="0" w:line="18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w:t>
      </w:r>
    </w:p>
    <w:p>
      <w:pPr>
        <w:ind w:right="300"/>
        <w:spacing w:after="0" w:line="206" w:lineRule="auto"/>
        <w:rPr>
          <w:sz w:val="20"/>
          <w:szCs w:val="20"/>
          <w:color w:val="auto"/>
        </w:rPr>
      </w:pPr>
      <w:r>
        <w:rPr>
          <w:rFonts w:ascii="Arial" w:cs="Arial" w:eastAsia="Arial" w:hAnsi="Arial"/>
          <w:sz w:val="16"/>
          <w:szCs w:val="16"/>
          <w:color w:val="auto"/>
        </w:rPr>
        <w:t>registered trademarks: NTI</w:t>
      </w:r>
      <w:r>
        <w:rPr>
          <w:rFonts w:ascii="Arial" w:cs="Arial" w:eastAsia="Arial" w:hAnsi="Arial"/>
          <w:sz w:val="26"/>
          <w:szCs w:val="26"/>
          <w:color w:val="auto"/>
          <w:vertAlign w:val="superscript"/>
        </w:rPr>
        <w:t>®</w:t>
      </w:r>
      <w:r>
        <w:rPr>
          <w:rFonts w:ascii="Arial" w:cs="Arial" w:eastAsia="Arial" w:hAnsi="Arial"/>
          <w:sz w:val="16"/>
          <w:szCs w:val="16"/>
          <w:color w:val="auto"/>
        </w:rPr>
        <w:t>, NTI &amp; Globe Design, ZERUST</w:t>
      </w:r>
      <w:r>
        <w:rPr>
          <w:rFonts w:ascii="Arial" w:cs="Arial" w:eastAsia="Arial" w:hAnsi="Arial"/>
          <w:sz w:val="26"/>
          <w:szCs w:val="26"/>
          <w:color w:val="auto"/>
          <w:vertAlign w:val="superscript"/>
        </w:rPr>
        <w:t>®</w:t>
      </w:r>
      <w:r>
        <w:rPr>
          <w:rFonts w:ascii="Arial" w:cs="Arial" w:eastAsia="Arial" w:hAnsi="Arial"/>
          <w:sz w:val="16"/>
          <w:szCs w:val="16"/>
          <w:color w:val="auto"/>
        </w:rPr>
        <w:t>, EXCOR</w:t>
      </w:r>
      <w:r>
        <w:rPr>
          <w:rFonts w:ascii="Arial" w:cs="Arial" w:eastAsia="Arial" w:hAnsi="Arial"/>
          <w:sz w:val="26"/>
          <w:szCs w:val="26"/>
          <w:color w:val="auto"/>
          <w:vertAlign w:val="superscript"/>
        </w:rPr>
        <w:t>®</w:t>
      </w:r>
      <w:r>
        <w:rPr>
          <w:rFonts w:ascii="Arial" w:cs="Arial" w:eastAsia="Arial" w:hAnsi="Arial"/>
          <w:sz w:val="16"/>
          <w:szCs w:val="16"/>
          <w:color w:val="auto"/>
        </w:rPr>
        <w:t>, ICT</w:t>
      </w:r>
      <w:r>
        <w:rPr>
          <w:rFonts w:ascii="Arial" w:cs="Arial" w:eastAsia="Arial" w:hAnsi="Arial"/>
          <w:sz w:val="26"/>
          <w:szCs w:val="26"/>
          <w:color w:val="auto"/>
          <w:vertAlign w:val="superscript"/>
        </w:rPr>
        <w:t>®</w:t>
      </w:r>
      <w:r>
        <w:rPr>
          <w:rFonts w:ascii="Arial" w:cs="Arial" w:eastAsia="Arial" w:hAnsi="Arial"/>
          <w:sz w:val="16"/>
          <w:szCs w:val="16"/>
          <w:color w:val="auto"/>
        </w:rPr>
        <w:t>, Z-CIS</w:t>
      </w:r>
      <w:r>
        <w:rPr>
          <w:rFonts w:ascii="Arial" w:cs="Arial" w:eastAsia="Arial" w:hAnsi="Arial"/>
          <w:sz w:val="26"/>
          <w:szCs w:val="26"/>
          <w:color w:val="auto"/>
          <w:vertAlign w:val="superscript"/>
        </w:rPr>
        <w:t>®</w:t>
      </w:r>
      <w:r>
        <w:rPr>
          <w:rFonts w:ascii="Arial" w:cs="Arial" w:eastAsia="Arial" w:hAnsi="Arial"/>
          <w:sz w:val="16"/>
          <w:szCs w:val="16"/>
          <w:color w:val="auto"/>
        </w:rPr>
        <w:t>, COR TAB</w:t>
      </w:r>
      <w:r>
        <w:rPr>
          <w:rFonts w:ascii="Arial" w:cs="Arial" w:eastAsia="Arial" w:hAnsi="Arial"/>
          <w:sz w:val="26"/>
          <w:szCs w:val="26"/>
          <w:color w:val="auto"/>
          <w:vertAlign w:val="superscript"/>
        </w:rPr>
        <w:t>®</w:t>
      </w:r>
      <w:r>
        <w:rPr>
          <w:rFonts w:ascii="Arial" w:cs="Arial" w:eastAsia="Arial" w:hAnsi="Arial"/>
          <w:sz w:val="16"/>
          <w:szCs w:val="16"/>
          <w:color w:val="auto"/>
        </w:rPr>
        <w:t>, PLASTABS</w:t>
      </w:r>
      <w:r>
        <w:rPr>
          <w:rFonts w:ascii="Arial" w:cs="Arial" w:eastAsia="Arial" w:hAnsi="Arial"/>
          <w:sz w:val="26"/>
          <w:szCs w:val="26"/>
          <w:color w:val="auto"/>
          <w:vertAlign w:val="superscript"/>
        </w:rPr>
        <w:t>®</w:t>
      </w:r>
      <w:r>
        <w:rPr>
          <w:rFonts w:ascii="Arial" w:cs="Arial" w:eastAsia="Arial" w:hAnsi="Arial"/>
          <w:sz w:val="16"/>
          <w:szCs w:val="16"/>
          <w:color w:val="auto"/>
        </w:rPr>
        <w:t>, NATUR-TEC</w:t>
      </w:r>
      <w:r>
        <w:rPr>
          <w:rFonts w:ascii="Arial" w:cs="Arial" w:eastAsia="Arial" w:hAnsi="Arial"/>
          <w:sz w:val="26"/>
          <w:szCs w:val="26"/>
          <w:color w:val="auto"/>
          <w:vertAlign w:val="superscript"/>
        </w:rPr>
        <w:t>®</w:t>
      </w:r>
      <w:r>
        <w:rPr>
          <w:rFonts w:ascii="Arial" w:cs="Arial" w:eastAsia="Arial" w:hAnsi="Arial"/>
          <w:sz w:val="16"/>
          <w:szCs w:val="16"/>
          <w:color w:val="auto"/>
        </w:rPr>
        <w:t>, NATUR-TEC &amp; Design</w:t>
      </w:r>
      <w:r>
        <w:rPr>
          <w:rFonts w:ascii="Arial" w:cs="Arial" w:eastAsia="Arial" w:hAnsi="Arial"/>
          <w:sz w:val="26"/>
          <w:szCs w:val="26"/>
          <w:color w:val="auto"/>
          <w:vertAlign w:val="superscript"/>
        </w:rPr>
        <w:t>®</w:t>
      </w:r>
      <w:r>
        <w:rPr>
          <w:rFonts w:ascii="Arial" w:cs="Arial" w:eastAsia="Arial" w:hAnsi="Arial"/>
          <w:sz w:val="16"/>
          <w:szCs w:val="16"/>
          <w:color w:val="auto"/>
        </w:rPr>
        <w:t>, NATUR-BAG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NATUR-WARE</w:t>
      </w:r>
      <w:r>
        <w:rPr>
          <w:rFonts w:ascii="Arial" w:cs="Arial" w:eastAsia="Arial" w:hAnsi="Arial"/>
          <w:sz w:val="26"/>
          <w:szCs w:val="26"/>
          <w:color w:val="auto"/>
          <w:vertAlign w:val="superscript"/>
        </w:rPr>
        <w:t>®</w:t>
      </w:r>
      <w:r>
        <w:rPr>
          <w:rFonts w:ascii="Arial" w:cs="Arial" w:eastAsia="Arial" w:hAnsi="Arial"/>
          <w:sz w:val="16"/>
          <w:szCs w:val="16"/>
          <w:color w:val="auto"/>
        </w:rPr>
        <w:t>. NTIC also has a registered trademark on the use of the Color Yellow with respect to corrosion inhibiting</w:t>
      </w:r>
    </w:p>
    <w:p>
      <w:pPr>
        <w:spacing w:after="0" w:line="1" w:lineRule="exact"/>
        <w:rPr>
          <w:sz w:val="20"/>
          <w:szCs w:val="20"/>
          <w:color w:val="auto"/>
        </w:rPr>
      </w:pPr>
    </w:p>
    <w:p>
      <w:pPr>
        <w:ind w:right="260"/>
        <w:spacing w:after="0" w:line="204" w:lineRule="auto"/>
        <w:rPr>
          <w:sz w:val="20"/>
          <w:szCs w:val="20"/>
          <w:color w:val="auto"/>
        </w:rPr>
      </w:pPr>
      <w:r>
        <w:rPr>
          <w:rFonts w:ascii="Arial" w:cs="Arial" w:eastAsia="Arial" w:hAnsi="Arial"/>
          <w:sz w:val="18"/>
          <w:szCs w:val="18"/>
          <w:color w:val="auto"/>
        </w:rPr>
        <w:t>packaging. Furthermore, NTI</w:t>
      </w:r>
      <w:r>
        <w:rPr>
          <w:rFonts w:ascii="Arial" w:cs="Arial" w:eastAsia="Arial" w:hAnsi="Arial"/>
          <w:sz w:val="30"/>
          <w:szCs w:val="30"/>
          <w:color w:val="auto"/>
          <w:vertAlign w:val="superscript"/>
        </w:rPr>
        <w:t>®</w:t>
      </w:r>
      <w:r>
        <w:rPr>
          <w:rFonts w:ascii="Arial" w:cs="Arial" w:eastAsia="Arial" w:hAnsi="Arial"/>
          <w:sz w:val="18"/>
          <w:szCs w:val="18"/>
          <w:color w:val="auto"/>
        </w:rPr>
        <w:t>, ZERUST</w:t>
      </w:r>
      <w:r>
        <w:rPr>
          <w:rFonts w:ascii="Arial" w:cs="Arial" w:eastAsia="Arial" w:hAnsi="Arial"/>
          <w:sz w:val="30"/>
          <w:szCs w:val="30"/>
          <w:color w:val="auto"/>
          <w:vertAlign w:val="superscript"/>
        </w:rPr>
        <w:t>®</w:t>
      </w:r>
      <w:r>
        <w:rPr>
          <w:rFonts w:ascii="Arial" w:cs="Arial" w:eastAsia="Arial" w:hAnsi="Arial"/>
          <w:sz w:val="18"/>
          <w:szCs w:val="18"/>
          <w:color w:val="auto"/>
        </w:rPr>
        <w:t>, The ZERUST People</w:t>
      </w:r>
      <w:r>
        <w:rPr>
          <w:rFonts w:ascii="Arial" w:cs="Arial" w:eastAsia="Arial" w:hAnsi="Arial"/>
          <w:sz w:val="30"/>
          <w:szCs w:val="30"/>
          <w:color w:val="auto"/>
          <w:vertAlign w:val="superscript"/>
        </w:rPr>
        <w:t>®</w:t>
      </w:r>
      <w:r>
        <w:rPr>
          <w:rFonts w:ascii="Arial" w:cs="Arial" w:eastAsia="Arial" w:hAnsi="Arial"/>
          <w:sz w:val="18"/>
          <w:szCs w:val="18"/>
          <w:color w:val="auto"/>
        </w:rPr>
        <w:t>, EXCOR</w:t>
      </w:r>
      <w:r>
        <w:rPr>
          <w:rFonts w:ascii="Arial" w:cs="Arial" w:eastAsia="Arial" w:hAnsi="Arial"/>
          <w:sz w:val="30"/>
          <w:szCs w:val="30"/>
          <w:color w:val="auto"/>
          <w:vertAlign w:val="superscript"/>
        </w:rPr>
        <w:t>®</w:t>
      </w:r>
      <w:r>
        <w:rPr>
          <w:rFonts w:ascii="Arial" w:cs="Arial" w:eastAsia="Arial" w:hAnsi="Arial"/>
          <w:sz w:val="18"/>
          <w:szCs w:val="18"/>
          <w:color w:val="auto"/>
        </w:rPr>
        <w:t>, the Color Yellow</w:t>
      </w:r>
      <w:r>
        <w:rPr>
          <w:rFonts w:ascii="Arial" w:cs="Arial" w:eastAsia="Arial" w:hAnsi="Arial"/>
          <w:sz w:val="30"/>
          <w:szCs w:val="30"/>
          <w:color w:val="auto"/>
          <w:vertAlign w:val="superscript"/>
        </w:rPr>
        <w:t>®</w:t>
      </w:r>
      <w:r>
        <w:rPr>
          <w:rFonts w:ascii="Arial" w:cs="Arial" w:eastAsia="Arial" w:hAnsi="Arial"/>
          <w:sz w:val="18"/>
          <w:szCs w:val="18"/>
          <w:color w:val="auto"/>
        </w:rPr>
        <w:t>, NTI ASEAN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COR/SCI</w:t>
      </w:r>
      <w:r>
        <w:rPr>
          <w:rFonts w:ascii="Arial" w:cs="Arial" w:eastAsia="Arial" w:hAnsi="Arial"/>
          <w:sz w:val="30"/>
          <w:szCs w:val="30"/>
          <w:color w:val="auto"/>
          <w:vertAlign w:val="superscript"/>
        </w:rPr>
        <w:t>®</w:t>
      </w:r>
      <w:r>
        <w:rPr>
          <w:rFonts w:ascii="Arial" w:cs="Arial" w:eastAsia="Arial" w:hAnsi="Arial"/>
          <w:sz w:val="18"/>
          <w:szCs w:val="18"/>
          <w:color w:val="auto"/>
        </w:rPr>
        <w:t>, as well as other marks have been registered in the European Union with several new applications pending.</w:t>
      </w:r>
    </w:p>
    <w:p>
      <w:pPr>
        <w:spacing w:after="0" w:line="2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Manufacturing</w:t>
      </w:r>
    </w:p>
    <w:p>
      <w:pPr>
        <w:spacing w:after="0" w:line="233"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are manufactured according to NTIC’s specifications primarily by selected independent sub-contractors under trade secrecy agreements and/or license agreements. In addition, during fiscal 2015 and 2014, NTIC expanded its production capabilities</w:t>
      </w:r>
    </w:p>
    <w:p>
      <w:pPr>
        <w:ind w:right="460"/>
        <w:spacing w:after="0" w:line="205" w:lineRule="auto"/>
        <w:rPr>
          <w:sz w:val="20"/>
          <w:szCs w:val="20"/>
          <w:color w:val="auto"/>
        </w:rPr>
      </w:pPr>
      <w:r>
        <w:rPr>
          <w:rFonts w:ascii="Arial" w:cs="Arial" w:eastAsia="Arial" w:hAnsi="Arial"/>
          <w:sz w:val="18"/>
          <w:szCs w:val="18"/>
          <w:color w:val="auto"/>
        </w:rPr>
        <w:t>and began to manufacture select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consisting primarily of liquids and powders, in house at its corporate headquarters location in Circle Pines, Minnesota.</w:t>
      </w:r>
    </w:p>
    <w:p>
      <w:pPr>
        <w:spacing w:after="0" w:line="20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are produced at facilities in China and Malaysia. Starting in fiscal 2014, NTIC made arrangements with a facility in California as an alternative production source.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finished products are manufactured using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by selected sub-contractors.</w:t>
      </w:r>
    </w:p>
    <w:p>
      <w:pPr>
        <w:spacing w:after="0" w:line="8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w:t>
      </w:r>
    </w:p>
    <w:p>
      <w:pPr>
        <w:spacing w:after="0" w:line="46"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respect to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 in obtaining such base resins. In addition, a few raw materials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purchased parts used in NTIC’s rust and corrosion inhibiting products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had an order backlog of $667,000 as of August 31, 2015, compared to $995,000 as of August 31, 2014 and $641,000 as of August 31, 2013. These are orders that are held by NTIC pending release instructions from the customers to be used in just-in-time production. Customers generally place orders on an “as needed” basis and expect delivery within a relatively short period of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ICT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resins are in compliance with all FDA requirements and do not require further FDA approval prior to the sale of its products.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August 31, 2015, NTIC had 75 full-time employees located in the United States, consisting of 17 in sales and marketing, 29 in research and development and lab, 16 in administration, 12 in production and one responsible for international coordination. As of August 31, 2015, NTIC’s wholly-owned subsidiary in China had 22 full-time employees, its majority-owned subsidiary in Brazil had 20 full-time employees, its majority-owned subsidiary in India had 6 full-time employees and its holding company, NTI Asean, had no full-time employees. There are no unions representing NTIC’s employees and NTIC believes that its relations with its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information regarding our segments and geographic information can be found in Note 13 to NTIC’s consolidated financial statements included in this report under “Part II.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 or obtained at the SEC Public Reference Room in Washington, D.C. Information regarding the operation of the Public Reference Room may be obtained by calling the SEC at 1-800-SEC-0330.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on Form 10-K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jc w:val="both"/>
        <w:ind w:left="900" w:right="280" w:hanging="244"/>
        <w:spacing w:after="0" w:line="31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establishment of NTIC China, the termination of the joint venture agreements with Tianjin Zerust, the pending litigation against Mr. Tao Meng and Cortec Corporation and the anticipated liquidation of Tianjin Zerust and the effect on NTIC’s business and future operating results, including possible future impairment charges on NTIC’s investment in Tianjin Zerust and a receivable from Tianjin Zerust;</w:t>
      </w:r>
    </w:p>
    <w:p>
      <w:pPr>
        <w:spacing w:after="0" w:line="150" w:lineRule="exact"/>
        <w:rPr>
          <w:rFonts w:ascii="Arial" w:cs="Arial" w:eastAsia="Arial" w:hAnsi="Arial"/>
          <w:sz w:val="16"/>
          <w:szCs w:val="16"/>
          <w:color w:val="auto"/>
        </w:rPr>
      </w:pPr>
    </w:p>
    <w:p>
      <w:pPr>
        <w:ind w:left="900" w:hanging="244"/>
        <w:spacing w:after="0" w:line="214" w:lineRule="auto"/>
        <w:tabs>
          <w:tab w:leader="none" w:pos="900" w:val="left"/>
        </w:tabs>
        <w:numPr>
          <w:ilvl w:val="0"/>
          <w:numId w:val="4"/>
        </w:numPr>
        <w:rPr>
          <w:rFonts w:ascii="Arial" w:cs="Arial" w:eastAsia="Arial" w:hAnsi="Arial"/>
          <w:sz w:val="31"/>
          <w:szCs w:val="31"/>
          <w:color w:val="auto"/>
          <w:vertAlign w:val="superscript"/>
        </w:rPr>
      </w:pPr>
      <w:r>
        <w:rPr>
          <w:rFonts w:ascii="Arial" w:cs="Arial" w:eastAsia="Arial" w:hAnsi="Arial"/>
          <w:sz w:val="16"/>
          <w:szCs w:val="16"/>
          <w:color w:val="auto"/>
        </w:rPr>
        <w:t>The variability in NTIC’s sales of ZERUST® products and services into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of joint venture in turn, subject NTIC’s earnings to quarterly fluctuations;</w:t>
      </w:r>
    </w:p>
    <w:p>
      <w:pPr>
        <w:spacing w:after="0" w:line="203" w:lineRule="exact"/>
        <w:rPr>
          <w:rFonts w:ascii="Arial" w:cs="Arial" w:eastAsia="Arial" w:hAnsi="Arial"/>
          <w:sz w:val="31"/>
          <w:szCs w:val="31"/>
          <w:color w:val="auto"/>
          <w:vertAlign w:val="superscript"/>
        </w:rPr>
      </w:pPr>
    </w:p>
    <w:p>
      <w:pPr>
        <w:ind w:left="900" w:right="380" w:hanging="24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00" w:right="420" w:hanging="24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00" w:right="200" w:hanging="24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00" w:right="140" w:hanging="244"/>
        <w:spacing w:after="0" w:line="222"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8" w:name="page19"/>
    <w:bookmarkEnd w:id="18"/>
    <w:p>
      <w:pPr>
        <w:ind w:left="900" w:right="400" w:hanging="244"/>
        <w:spacing w:after="0" w:line="186" w:lineRule="auto"/>
        <w:tabs>
          <w:tab w:leader="none" w:pos="90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00" w:right="100" w:hanging="244"/>
        <w:spacing w:after="0" w:line="186" w:lineRule="auto"/>
        <w:tabs>
          <w:tab w:leader="none" w:pos="900" w:val="left"/>
        </w:tabs>
        <w:numPr>
          <w:ilvl w:val="1"/>
          <w:numId w:val="5"/>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880" w:right="140" w:hanging="237"/>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accelerated filer status and its joint venture arrangements;</w:t>
      </w:r>
    </w:p>
    <w:p>
      <w:pPr>
        <w:spacing w:after="0" w:line="170" w:lineRule="exact"/>
        <w:rPr>
          <w:rFonts w:ascii="Arial" w:cs="Arial" w:eastAsia="Arial" w:hAnsi="Arial"/>
          <w:sz w:val="18"/>
          <w:szCs w:val="18"/>
          <w:color w:val="auto"/>
        </w:rPr>
      </w:pPr>
    </w:p>
    <w:p>
      <w:pPr>
        <w:ind w:left="880" w:hanging="23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880" w:hanging="237"/>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“Part I. Item 1A. Risk Factors.”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termination of NTIC’s joint venture agreements with and the anticipated liquidation of Tianjin Zerust and the formation and establishment of NTIC China have had and could continue to have a material adverse effect on NTIC’s operating results.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as of December 31, 2014, NTIC terminated its joint venture agreements with Tianjin Zerust, initiated the process to liquidate the joint venture entity and established a wholly-owned subsidiary to conduct business in China. Commencing during the second quarter of fiscal 2015, NTIC’s consolidated financial statements include the financial results of NTIC China. Tianjin Zerust was individually significant to NTIC’s consolidated assets and income. Accordingly, the termination of NTIC’s joint venture agreements with and the anticipated liquidation of Tianjin Zerust adversely affected NTIC’s operating results, including in particular, its equity in income, fee income for services provided to joint ventures and operating expenses, during fiscal 2015 since NTIC accounted for its investment in Tianjin Zerust in NTIC’s consolidated financial statements utilizing the equity method of accounting. Of the total equity in income from joint ventures of $5,936,565 during fiscal 2015 and $5,920,603 during fiscal 2014, NTIC had equity in income from joint ventures of $132,824 and $626,763 attributable to Tianjin Zerust, respectively. Of the total fee income for services provided to joint ventures of $5,715,491 during fiscal 2015 and $8,142,863 during fiscal 2014, $494,080 and $2,118,018 were attributable to Tianjin Zerust.</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 anticipates that it may take some time to transition the previous customers of Tianjin Zerust to NTIC China and no assurance can be provided that NTIC China will be able to achieve the net sales and income levels previously achieved by Tianjin Zerust. NTIC has incurred, and expects to continue to incur, significant operating expenses associated with NTIC China and the anticipated liquidation of Tianjin Zerust and expects that NTIC’s operating results may be volatile over the next several quarters. This is true especially since NTIC has commenced litigation against Mr. Tao Meng, Tianjin Zerust’s other shareholder, and his spouse in order to force the liquidation of Tianjin Zerust and has commenced litigation against Cortec Corporation alleging, among other things, that Cortec Corporation aided and abetted breaches of duties and contractual commitments owed to NTIC and NTI Asean related to Tianjin Zerust. During fiscal 2015, NTIC incurred approximately $1,642,258 in start-up expenses related either directly or indirectly to the establishment of NTIC China, the termination of the joint venture agreements with Tianjin Zerust, the pending litigation against Mr. Tao Meng and his spouse and Cortec Corporation, and the anticipated liquidation of Tianjin Zerust. The start-up expenses are inclusive of the losses incurred by the subsidiary of $1,042,258 during the same period.</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0" w:name="page21"/>
    <w:bookmarkEnd w:id="20"/>
    <w:p>
      <w:pPr>
        <w:ind w:right="80"/>
        <w:spacing w:after="0" w:line="273" w:lineRule="auto"/>
        <w:rPr>
          <w:sz w:val="20"/>
          <w:szCs w:val="20"/>
          <w:color w:val="auto"/>
        </w:rPr>
      </w:pPr>
      <w:r>
        <w:rPr>
          <w:rFonts w:ascii="Arial" w:cs="Arial" w:eastAsia="Arial" w:hAnsi="Arial"/>
          <w:sz w:val="17"/>
          <w:szCs w:val="17"/>
          <w:color w:val="auto"/>
        </w:rPr>
        <w:t>NTIC expects its operating results may be volatile over the next few quarters as a result of NTIC’s Chinese operations. In particular, because of the lack of financial and other information received from Tianjin Zerust, it is possible that receipt of future financial and other information from Tianjin Zerust may impact the realization of NTIC’s investment in and realization of a receivable from Tianjin Zerust. The last time NTIC received financial information from Tianjin Zerust was through November 2014. NTIC, as of August 31, 2015, does not believe there are any triggering events that would require an impairment test. NTIC’s current net investment is approximately $1.1 million, which is 60% of its investment in Tianjin Zerust, which was $1,883,668 as of August 31, 2015. NTIC will continue to evaluate the realization of this asset on an ongoing basis and adjust if necessary.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pending litigation is expensive and may have an adverse effect on NTIC’s business and operating results.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2015, NTIC commenced litigation against Mr. Tao Meng, Tianjin Zerust’s other shareholder, and his spouse in order to force the liquidation of Tianjin Zerust and against Cortec Corporation alleging, among other things, that Cortec Corporation aided and abetted breaches of duties and contractual commitments owed to NTIC and NTI Asean related to Tianjin Zerust. Litigation is expensive and often uncertain. There is no assurance that NTIC will be successful in this litigation. In the meantime, it is likely that NTIC will incur significant expenses in pursuing the litigation. In addition, the pending litigation may have an adverse effect on NTIC’s business and operating results.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weakness in the global economy, and in particular in the United States, Europe and China, may negatively impact NTIC’s business, operating results and financial condition.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NTIC’s operating results are dependent upon the economic health of the global economy, including in particular the United States, Europe and China. Of NTIC’s net sales in fiscal 2015, approximately $19.3 million were to customers in the United States and $1.1 million were to customers in China. In addition, approximately 63.5% of the $99 million in net sales of NTIC’s joint ventures during fiscal 2015 were to customers based in Europe. Accordingly, any weakness in the global economy, and in particular in the United States, Europe and China, may negatively impact NTIC’s business, operating results and financial condition.</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possibility that Greece and other EU member states may default on their debt obligations, the uncertainty regarding international and the European Union’s financial support programs, the possibility that EU member states may experience similar financial troubles and the austerity measures that have been implemented by Greece and certain other EU member states could negatively impact NTIC’s business, operating results and financial condition. During fiscal 2014, total net sales of NTIC’s joint ventures were adversely affected in part by the European economic slowdown, which NTIC believes adversely affected the net sales of NTIC’s European joint ventures, as well as certain of NTIC’s other non-European joint ventures. Although NTIC believes its fiscal 2015 financial results were not similarly affected, there is no assurance that its fiscal 2016 or future financial results will not be adversely affected. In addition, if the European sovereign debt crisis worsens, the value of the Euro and other European currencies could deteriorate, which could negatively impact the business, operating results and financial condition of NTIC and its joint ventures in light of the substantial operations of its joint ventures and the revenues its joint ventures derive from customers in the European Union. Apart from the European sovereign debt crisis, other global economies have experienced adverse economic conditions either as a result of the European sovereign debt crisis or otherwise that have affected all sectors of the economy.</w:t>
      </w:r>
    </w:p>
    <w:p>
      <w:pPr>
        <w:spacing w:after="0" w:line="16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During fiscal 2009, NTIC’s operating results were significantly adversely affected by worldwide economic conditions, particularly adverse conditions affecting the worldwide automobile industry at that time. Since a significant portion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right="80"/>
        <w:spacing w:after="0" w:line="342" w:lineRule="auto"/>
        <w:rPr>
          <w:sz w:val="20"/>
          <w:szCs w:val="20"/>
          <w:color w:val="auto"/>
        </w:rPr>
      </w:pPr>
      <w:r>
        <w:rPr>
          <w:rFonts w:ascii="Arial" w:cs="Arial" w:eastAsia="Arial" w:hAnsi="Arial"/>
          <w:sz w:val="16"/>
          <w:szCs w:val="16"/>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tightening of the credit and financial markets as a result of the European sovereign debt crisis or otherwise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2015, NTIC recognized $5,715,491 in fees and $2,983,338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from joint ventures and since NTIC’s equity income from joint ventures varies from quarter to quarter, NTIC’s earnings are subject to quarterly fluctuations.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 in Germany is the most significant in terms of assets and income to NTIC. If sales of NTIC’s products and services by this joint venture were to decline significantly or if NTIC’s relationships with this joint venture were to deteriorate significantly, NTIC’s operating results likely would be adversely affected.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NTIC considers its joint venture in Germany, EXCOR, to be individually significant to NTIC’s consolidated assets and income; and therefore, provides certain additional information regarding this joint venture entity in the notes to NTIC’s consolidated financial statements and in certain sections of this report. Of the total equity in income from joint ventures of $5,936,565 during fiscal 2015, NTIC had equity in income from joint ventures of $4,091,608 attributable to EXCOR. Of the total fee income for services provided to joint ventures of $5,715,491 during fiscal 2015, fees of $873,400 were attributable to EXCOR. Accordingly, if sales of NTIC’s products and services by this joint venture were to decline significantly or if NTIC’s relationships with this joint venture or joint venture partner were to deteriorate significantly such that the joint venture is terminated or not motivated to sell NTIC’s products and services, NTIC’s operating results likely would be adversely affected.</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pursuant to Rule 3-09 of Regulation S-X, NTIC intends to file an amendment to this report to include the audited financial statements and related notes of EXCOR.</w:t>
      </w:r>
    </w:p>
    <w:p>
      <w:pPr>
        <w:spacing w:after="0" w:line="170"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0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NTIC sells products and services directly, through its wholly-owned subsidiary, NTIC China, its majority-owned subsidiaries, Zerust Brazil and Natur-Tec India, and its majority-owned holding company subsidiary, NTI Asean, and indirectly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100"/>
        <w:spacing w:after="0" w:line="312" w:lineRule="auto"/>
        <w:rPr>
          <w:sz w:val="20"/>
          <w:szCs w:val="20"/>
          <w:color w:val="auto"/>
        </w:rPr>
      </w:pPr>
      <w:r>
        <w:rPr>
          <w:rFonts w:ascii="Arial" w:cs="Arial" w:eastAsia="Arial" w:hAnsi="Arial"/>
          <w:sz w:val="16"/>
          <w:szCs w:val="16"/>
          <w:color w:val="auto"/>
        </w:rPr>
        <w:t>Many of the countries in which NTIC sells its products directly or indirectly through NTIC China, Zerust Brazil, Natur-Tec India,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47" w:lineRule="exact"/>
        <w:rPr>
          <w:sz w:val="20"/>
          <w:szCs w:val="20"/>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70"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8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right="60"/>
        <w:spacing w:after="0" w:line="255"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 Securities and Exchange Commission has increased its enforcement of the FCPA during the past several years. Although NTIC does not believe it is currently a target in any such enforcement action, any investigation of any potential violations of the FCPA or other anticorruption laws by U.S. or foreign authorities also could have an adverse impact on NTIC’s business, financial condition and results of operations.</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in developing markets could adversely affect our revenue and earnings.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and other economically volatile areas could adversely affect NTIC’s operations and earnings. Such risks include the financial instability among customers in these regions, political instability, fraud or corruption and other non-economic factors such as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5" w:name="page26"/>
    <w:bookmarkEnd w:id="25"/>
    <w:p>
      <w:pPr>
        <w:spacing w:after="0" w:line="283" w:lineRule="auto"/>
        <w:rPr>
          <w:sz w:val="20"/>
          <w:szCs w:val="20"/>
          <w:color w:val="auto"/>
        </w:rPr>
      </w:pPr>
      <w:r>
        <w:rPr>
          <w:rFonts w:ascii="Arial" w:cs="Arial" w:eastAsia="Arial" w:hAnsi="Arial"/>
          <w:sz w:val="16"/>
          <w:szCs w:val="16"/>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w:t>
      </w:r>
    </w:p>
    <w:p>
      <w:pPr>
        <w:spacing w:after="0" w:line="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its business and operating results. In particular, NTIC has experienced more intense competition with respect to many of its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06"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generate a significant portion of NTIC’s net sales and the net sales of NTIC’s joint ventures. During fiscal 2015, 85.9%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6" w:name="page27"/>
    <w:bookmarkEnd w:id="26"/>
    <w:p>
      <w:pPr>
        <w:ind w:right="140"/>
        <w:spacing w:after="0" w:line="228"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majority of NTIC’s research and development expense in fiscal 2015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no assurance that NTIC is dedicating a sufficient amount of resources to ensure the success of these strategic initiatives. The sale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60"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0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2016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5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7" w:name="page28"/>
    <w:bookmarkEnd w:id="27"/>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3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7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 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w:t>
      </w:r>
    </w:p>
    <w:p>
      <w:pPr>
        <w:spacing w:after="0" w:line="6" w:lineRule="exact"/>
        <w:rPr>
          <w:sz w:val="20"/>
          <w:szCs w:val="20"/>
          <w:color w:val="auto"/>
        </w:rPr>
      </w:pPr>
    </w:p>
    <w:p>
      <w:pPr>
        <w:ind w:right="160"/>
        <w:spacing w:after="0" w:line="206" w:lineRule="auto"/>
        <w:rPr>
          <w:sz w:val="20"/>
          <w:szCs w:val="20"/>
          <w:color w:val="auto"/>
        </w:rPr>
      </w:pPr>
      <w:r>
        <w:rPr>
          <w:rFonts w:ascii="Arial" w:cs="Arial" w:eastAsia="Arial" w:hAnsi="Arial"/>
          <w:sz w:val="16"/>
          <w:szCs w:val="16"/>
          <w:color w:val="auto"/>
        </w:rPr>
        <w:t>these materials and components. With respect to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in the past, NTIC has experienced some delay in obtaining</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such base resins. In addition, a number of raw materials and purchased parts used in NTIC’s rust and corrosion inhibiting products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8" w:name="page29"/>
    <w:bookmarkEnd w:id="28"/>
    <w:p>
      <w:pPr>
        <w:ind w:right="600"/>
        <w:spacing w:after="0" w:line="210"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30"/>
          <w:szCs w:val="30"/>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02"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w:t>
      </w:r>
    </w:p>
    <w:p>
      <w:pPr>
        <w:ind w:right="180"/>
        <w:spacing w:after="0" w:line="234" w:lineRule="auto"/>
        <w:rPr>
          <w:sz w:val="20"/>
          <w:szCs w:val="20"/>
          <w:color w:val="auto"/>
        </w:rPr>
      </w:pPr>
      <w:r>
        <w:rPr>
          <w:rFonts w:ascii="Arial" w:cs="Arial" w:eastAsia="Arial" w:hAnsi="Arial"/>
          <w:sz w:val="16"/>
          <w:szCs w:val="16"/>
          <w:color w:val="auto"/>
        </w:rPr>
        <w:t>is still developing. The commercial success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viability of market opportunities for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w:t>
      </w:r>
    </w:p>
    <w:p>
      <w:pPr>
        <w:spacing w:after="0" w:line="2"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the commercial and other support for bioplastics. While NTIC expects to be able to command a premium price for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 widening gap in the pricing for bioplastics versus petroleum-based plastics may reduce the size of the addressable market for NTIC’s</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finished products.</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3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could result in a valuation allowance for these assets. Final determination of tax audits or tax disputes may be different from what is currently reflected by NTIC’s income tax provisions and accruals.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NTIC may grow its business through additional joint ventures, alliances and acquisitions, which could be risky and harm its business.</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660" w:right="1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660" w:right="5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660" w:right="3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The sale of ZERUST</w:t>
      </w:r>
      <w:r>
        <w:rPr>
          <w:rFonts w:ascii="Arial" w:cs="Arial" w:eastAsia="Arial" w:hAnsi="Arial"/>
          <w:sz w:val="24"/>
          <w:szCs w:val="24"/>
          <w:b w:val="1"/>
          <w:bCs w:val="1"/>
          <w:i w:val="1"/>
          <w:iCs w:val="1"/>
          <w:color w:val="auto"/>
          <w:vertAlign w:val="superscript"/>
        </w:rPr>
        <w:t>®</w:t>
      </w:r>
      <w:r>
        <w:rPr>
          <w:rFonts w:ascii="Arial" w:cs="Arial" w:eastAsia="Arial" w:hAnsi="Arial"/>
          <w:sz w:val="15"/>
          <w:szCs w:val="15"/>
          <w:b w:val="1"/>
          <w:bCs w:val="1"/>
          <w:i w:val="1"/>
          <w:iCs w:val="1"/>
          <w:color w:val="auto"/>
        </w:rPr>
        <w:t xml:space="preserve"> rust and corrosion inhibiting products into the oil and gas industry is especially risky in light of the hazards typically associated</w:t>
      </w:r>
    </w:p>
    <w:p>
      <w:pPr>
        <w:ind w:right="520"/>
        <w:spacing w:after="0" w:line="218" w:lineRule="auto"/>
        <w:rPr>
          <w:sz w:val="20"/>
          <w:szCs w:val="20"/>
          <w:color w:val="auto"/>
        </w:rPr>
      </w:pPr>
      <w:r>
        <w:rPr>
          <w:rFonts w:ascii="Arial" w:cs="Arial" w:eastAsia="Arial" w:hAnsi="Arial"/>
          <w:sz w:val="17"/>
          <w:szCs w:val="17"/>
          <w:b w:val="1"/>
          <w:bCs w:val="1"/>
          <w:i w:val="1"/>
          <w:iCs w:val="1"/>
          <w:color w:val="auto"/>
        </w:rPr>
        <w:t>with such operations and the significant amount of potential liability involved, which could adversely affect NTIC’s business if ZERUST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rust and corrosion inhibiting products are involved, even if the cause of such events was not related to NTIC’s products.</w:t>
      </w:r>
    </w:p>
    <w:p>
      <w:pPr>
        <w:spacing w:after="0" w:line="20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somewhat seasonal and dependent upon oil prices.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NTIC experienced seasonality with respect to the sale of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into the oil and gas industry, with sales during parts of the second and third fiscal quarters being adversely affected by winter in the United States. In addition, although not anticipated, the</w:t>
      </w:r>
    </w:p>
    <w:p>
      <w:pPr>
        <w:ind w:right="360"/>
        <w:spacing w:after="0" w:line="205" w:lineRule="auto"/>
        <w:rPr>
          <w:sz w:val="20"/>
          <w:szCs w:val="20"/>
          <w:color w:val="auto"/>
        </w:rPr>
      </w:pPr>
      <w:r>
        <w:rPr>
          <w:rFonts w:ascii="Arial" w:cs="Arial" w:eastAsia="Arial" w:hAnsi="Arial"/>
          <w:sz w:val="18"/>
          <w:szCs w:val="18"/>
          <w:color w:val="auto"/>
        </w:rPr>
        <w:t>sale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into the oil and gas industry were hampered by low global crude oil prices, which NTIC believes constrained capital improvement budgets of its existing and prospective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manufacture, sale and use of NTIC’s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w:t>
      </w:r>
    </w:p>
    <w:p>
      <w:pPr>
        <w:spacing w:after="0" w:line="1" w:lineRule="exact"/>
        <w:rPr>
          <w:sz w:val="20"/>
          <w:szCs w:val="20"/>
          <w:color w:val="auto"/>
        </w:rPr>
      </w:pPr>
    </w:p>
    <w:p>
      <w:pPr>
        <w:ind w:right="700"/>
        <w:spacing w:after="0" w:line="219" w:lineRule="auto"/>
        <w:rPr>
          <w:sz w:val="20"/>
          <w:szCs w:val="20"/>
          <w:color w:val="auto"/>
        </w:rPr>
      </w:pPr>
      <w:r>
        <w:rPr>
          <w:rFonts w:ascii="Arial" w:cs="Arial" w:eastAsia="Arial" w:hAnsi="Arial"/>
          <w:sz w:val="17"/>
          <w:szCs w:val="17"/>
          <w:color w:val="auto"/>
        </w:rPr>
        <w:t>intended uses and are of suitable purity for those intended uses. NTIC believes that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are in compliance with all FDA requirements. However, failure to comply with FDA regulations could subject NTIC to administrative, civil or criminal penalties.</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7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a quarterly basis, NTIC typically provides projected annual financial information, including its anticipated annual net sales and net earnings. These financial projections are based on management’s then 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timing of its various field trials with prospective customers in the oil and gas industry, its ability to increase sales of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w:t>
      </w:r>
    </w:p>
    <w:p>
      <w:pPr>
        <w:spacing w:after="0" w:line="206" w:lineRule="auto"/>
        <w:rPr>
          <w:sz w:val="20"/>
          <w:szCs w:val="20"/>
          <w:color w:val="auto"/>
        </w:rPr>
      </w:pPr>
      <w:r>
        <w:rPr>
          <w:rFonts w:ascii="Arial" w:cs="Arial" w:eastAsia="Arial" w:hAnsi="Arial"/>
          <w:sz w:val="16"/>
          <w:szCs w:val="16"/>
          <w:color w:val="auto"/>
        </w:rPr>
        <w:t>of the typical size of individual orders and overall size of NTIC’s net sales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the timing of one or more orders can affect materially NTIC’s quarterly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the comparisons to prior year quarters. Furthermore, since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for the oil</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and gas industry typically carry higher margins than other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the amount of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3" w:name="page34"/>
    <w:bookmarkEnd w:id="33"/>
    <w:p>
      <w:pPr>
        <w:ind w:right="120"/>
        <w:spacing w:after="0" w:line="264" w:lineRule="auto"/>
        <w:rPr>
          <w:sz w:val="20"/>
          <w:szCs w:val="20"/>
          <w:color w:val="auto"/>
        </w:rPr>
      </w:pPr>
      <w:r>
        <w:rPr>
          <w:rFonts w:ascii="Arial" w:cs="Arial" w:eastAsia="Arial" w:hAnsi="Arial"/>
          <w:sz w:val="18"/>
          <w:szCs w:val="18"/>
          <w:b w:val="1"/>
          <w:bCs w:val="1"/>
          <w:i w:val="1"/>
          <w:iCs w:val="1"/>
          <w:color w:val="auto"/>
        </w:rPr>
        <w:t>As a result of NTIC’s status as an “accelerated filer” under SEC rules, NTIC is subject to additional SEC disclosure and other rules and regulations, which will cause NTIC to incur additional costs to comply with such rules and regulations and the non-compliance of which may have an adverse effect on NTIC’s operating results.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Beginning in fiscal 2015, NTIC became an “accelerated filer” under SEC rules and, as a result, is subject to additional SEC disclosure and other rules and regulations, such as additional financial statement requirements with respect to its joint ventures, the requirement of its independent registered public accounting firm to attest to NTIC’s management’s report on the effectiveness of NTIC’s internal control over financial reporting and the requirement of NTIC to comply with certain additional disclosures rules and regulations, including the requirement to include additional executive compensation disclosures in its proxy statement in connection with its annual meeting of stockholders. NTIC’s compliance with such additional rules and regulations may result in additional expense, which may adversely affect its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significant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especially in light of NTIC’s new status as an “accelerated filer” under SEC rules. Although NTIC’s management has concluded that NTIC’s internal control over financial reporting was effective as of August 31, 2015 and NTIC’s independent registered public accounting firm agreed, no assurance can be provided that NTIC’s management or independent registered public accounting firm will reach a similar conclusion as of any later date. NTIC’s failure to maintain effective internal control over financial reporting may have an adverse effect on its stock price.</w:t>
      </w:r>
    </w:p>
    <w:p>
      <w:pPr>
        <w:spacing w:after="0" w:line="169"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6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of NTIC’s common stock being traded on a daily basis is often very low and on some trading days, there is no trading volume at all. During fiscal 2015, the daily trading volume ranged from zero shares to 80,300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market price and trading volume of NTIC’s common stock price historically has fluctuated over a wide range. During fiscal 2015, the sale price of NTIC’s common stock ranged from a low of $14.98 per share to a high of $24.85 per share, and the daily trading volume ranged from zero shares to 80,300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we fail to meet our annual projected financial guidance or lower our annual projected financial guidance.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November 10, 2015, NTIC had 4,538,317 shares of common stock outstanding, of which 19.2%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NTIC’s common stock increases.</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of November 10, 2015, Inter Alia Holding Company, or Inter Alia, beneficially owned approximately 13.3%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November 10, 2015, there were 4,538,317 shares of NTIC’s common stock outstanding, and in addition, security holders held options, which, if vested and exercised, would obligate NTIC to issue up to 295,181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NTIC’s principal executive offices, production facilities and domestic research and development operations are located at 4201 Woodland Road, Circle Pines, Minnesota 55014. NTIC owns this real estate and building, which is no longer subject to any mortgage.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leased approximately 17,000 square feet of office, manufacturing, laboratory and warehouse space located in Beachwood, Ohio. NTIC had a number of research and development personnel at this location. This lease expired on December 31, 2014. At that time, such personnel then moved to a new facility that was purchased in July 2014. NTIC purchased certain real property and a building in Beachwood, Ohio, for the purchase price of $1,100,000 in cash. This purchase was completed on August 20, 2014. NTIC owns this real estate and building, which is not subject to any mortgage.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Additionally, NTIC has contract warehousing agreements in place in California and Indiana to hold and release stock products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NTIC’s management considers NTIC’s current properties suitable and adequate for its current and foreseeable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NTIC and NTI Asean related to NTIC’s joint venture in China, Tianjin Zerust.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NTIC is subject to various other claims and legal actions in the ordinary course of its business. NTIC is not currently involved in any legal proceeding in which NTIC believes that there is a reasonable possibility of a material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10, 2015, are as follows:</w:t>
      </w: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3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 w:type="dxa"/>
            <w:vAlign w:val="bottom"/>
          </w:tcPr>
          <w:p>
            <w:pPr>
              <w:spacing w:after="0"/>
              <w:rPr>
                <w:sz w:val="20"/>
                <w:szCs w:val="20"/>
                <w:color w:val="auto"/>
              </w:rPr>
            </w:pPr>
          </w:p>
        </w:tc>
        <w:tc>
          <w:tcPr>
            <w:tcW w:w="676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G. Patrick Lynch</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Matthew C. Wolsfeld</w:t>
            </w:r>
          </w:p>
        </w:tc>
        <w:tc>
          <w:tcPr>
            <w:tcW w:w="9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41</w:t>
            </w:r>
          </w:p>
        </w:tc>
        <w:tc>
          <w:tcPr>
            <w:tcW w:w="18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10, 2015, are as follows: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24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80" w:type="dxa"/>
            <w:vAlign w:val="bottom"/>
          </w:tcPr>
          <w:p>
            <w:pPr>
              <w:spacing w:after="0"/>
              <w:rPr>
                <w:sz w:val="20"/>
                <w:szCs w:val="20"/>
                <w:color w:val="auto"/>
              </w:rPr>
            </w:pPr>
          </w:p>
        </w:tc>
        <w:tc>
          <w:tcPr>
            <w:tcW w:w="700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Position with NTIC</w:t>
            </w:r>
          </w:p>
        </w:tc>
      </w:tr>
      <w:tr>
        <w:trPr>
          <w:trHeight w:val="589"/>
        </w:trPr>
        <w:tc>
          <w:tcPr>
            <w:tcW w:w="3240" w:type="dxa"/>
            <w:vAlign w:val="bottom"/>
          </w:tcPr>
          <w:p>
            <w:pPr>
              <w:spacing w:after="0"/>
              <w:rPr>
                <w:sz w:val="20"/>
                <w:szCs w:val="20"/>
                <w:color w:val="auto"/>
              </w:rPr>
            </w:pPr>
            <w:r>
              <w:rPr>
                <w:rFonts w:ascii="Arial" w:cs="Arial" w:eastAsia="Arial" w:hAnsi="Arial"/>
                <w:sz w:val="18"/>
                <w:szCs w:val="18"/>
                <w:color w:val="auto"/>
              </w:rPr>
              <w:t>Vineet R. Dalal</w:t>
            </w:r>
          </w:p>
        </w:tc>
        <w:tc>
          <w:tcPr>
            <w:tcW w:w="8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45</w:t>
            </w:r>
          </w:p>
        </w:tc>
        <w:tc>
          <w:tcPr>
            <w:tcW w:w="180" w:type="dxa"/>
            <w:vAlign w:val="bottom"/>
          </w:tcPr>
          <w:p>
            <w:pPr>
              <w:spacing w:after="0"/>
              <w:rPr>
                <w:sz w:val="24"/>
                <w:szCs w:val="24"/>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30"/>
                <w:szCs w:val="30"/>
                <w:color w:val="auto"/>
                <w:vertAlign w:val="superscript"/>
              </w:rPr>
              <w:t>®</w:t>
            </w:r>
          </w:p>
        </w:tc>
      </w:tr>
      <w:tr>
        <w:trPr>
          <w:trHeight w:val="309"/>
        </w:trPr>
        <w:tc>
          <w:tcPr>
            <w:tcW w:w="3240" w:type="dxa"/>
            <w:vAlign w:val="bottom"/>
          </w:tcPr>
          <w:p>
            <w:pPr>
              <w:spacing w:after="0"/>
              <w:rPr>
                <w:sz w:val="20"/>
                <w:szCs w:val="20"/>
                <w:color w:val="auto"/>
              </w:rPr>
            </w:pPr>
            <w:r>
              <w:rPr>
                <w:rFonts w:ascii="Arial" w:cs="Arial" w:eastAsia="Arial" w:hAnsi="Arial"/>
                <w:sz w:val="18"/>
                <w:szCs w:val="18"/>
                <w:color w:val="auto"/>
              </w:rPr>
              <w:t>Gautam Ramdas</w:t>
            </w:r>
          </w:p>
        </w:tc>
        <w:tc>
          <w:tcPr>
            <w:tcW w:w="8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42</w:t>
            </w:r>
          </w:p>
        </w:tc>
        <w:tc>
          <w:tcPr>
            <w:tcW w:w="180" w:type="dxa"/>
            <w:vAlign w:val="bottom"/>
          </w:tcPr>
          <w:p>
            <w:pPr>
              <w:spacing w:after="0"/>
              <w:rPr>
                <w:sz w:val="24"/>
                <w:szCs w:val="24"/>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20" w:hanging="701"/>
        <w:spacing w:after="0" w:line="282" w:lineRule="auto"/>
        <w:tabs>
          <w:tab w:leader="none" w:pos="7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2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Fiscal 2014</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2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2015, there were 183 record holders of NTIC’s common stock. This does not include shares held in “street name” or beneficially owned.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NTIC did not sell any shares of its common stock or any other equity securities of NTIC that were not registered under the Securities Act of 1933, as amended, during the fourth quarter of fiscal 2015.</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fourth quarter of fiscal 2015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Units) Purchased As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Shares (or Units) that</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Shares</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May Yet Be Purchased</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(or Units)</w:t>
            </w:r>
          </w:p>
        </w:tc>
        <w:tc>
          <w:tcPr>
            <w:tcW w:w="21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Average Price Paid Per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Purchased</w:t>
            </w:r>
          </w:p>
        </w:tc>
        <w:tc>
          <w:tcPr>
            <w:tcW w:w="21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Share (or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2015 through June 30, 2015</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July 1, 2015 through July 31, 2015</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195"/>
        </w:trPr>
        <w:tc>
          <w:tcPr>
            <w:tcW w:w="31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1, 2015 through August 31,</w:t>
            </w:r>
          </w:p>
        </w:tc>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1,587</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$15.34</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1,587</w:t>
            </w:r>
          </w:p>
        </w:tc>
        <w:tc>
          <w:tcPr>
            <w:tcW w:w="216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(1)(2)</w:t>
            </w:r>
          </w:p>
        </w:tc>
      </w:tr>
      <w:tr>
        <w:trPr>
          <w:trHeight w:val="23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2015</w:t>
            </w:r>
          </w:p>
        </w:tc>
        <w:tc>
          <w:tcPr>
            <w:tcW w:w="18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10"/>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1,587</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$15.34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1,587</w:t>
            </w:r>
          </w:p>
        </w:tc>
        <w:tc>
          <w:tcPr>
            <w:tcW w:w="21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5"/>
              </w:rPr>
              <w:t>(1)(2)</w:t>
            </w:r>
          </w:p>
        </w:tc>
      </w:tr>
    </w:tbl>
    <w:p>
      <w:pPr>
        <w:spacing w:after="0" w:line="229" w:lineRule="exact"/>
        <w:rPr>
          <w:sz w:val="20"/>
          <w:szCs w:val="20"/>
          <w:color w:val="auto"/>
        </w:rPr>
      </w:pPr>
    </w:p>
    <w:p>
      <w:pPr>
        <w:ind w:left="660" w:right="44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August 31, 2015, up to $2,975,654 in shares of NTIC common stock remained available for repurchase under NTIC’s stock repurchase program.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NTIC Common Stock Comparative Performance Graph</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information contained in this section shall not be deemed to be “soliciting material” or “filed” or incorporated by reference in future filings with the SEC, or subject to the liabilities of Section 18 of the Exchange Act, except to the extent that NTIC specifically requests that it be treated as soliciting material or incorporate it by reference into a document filed under the Securities Act or the Exchange Act.</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following graph and table depict the cumulative total shareholder return (assuming reinvestment of dividends) on $100 invested in each of NTIC common stock, Russell Microcap Index and Wilshire Microcap index for the five-year period from August 31, 2010 through August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87630</wp:posOffset>
            </wp:positionV>
            <wp:extent cx="6003290" cy="2804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329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tables set forth certain of NTIC’s selected consolidated financial data as of the dates and for the years indicated. The selected consolidated financial data was derived from NTIC’s consolidated financial statements. The audited consolidated financial statements as of August 31, 2015 and 2014 and for the fiscal years ended August 31, 2015, 2014 and 2013 are included elsewhere in this report. The audited consolidated financial statements as of August 31, 2013, 2012 and 2011 and for the fiscal years ended August 31, 2012 and 2011 are not included in this report. Historical results are not necessarily indicative of the results to be expected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Fiscal Year Ended August 31,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27,491,392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23,601,514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19,724,205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20,227,719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16,594,004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sales, to joint ventures</w:t>
            </w: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2,831,301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3,224,594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2,777,659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2,553,934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2,932,523</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30,322,693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26,826,108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22,501,864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22,781,653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19,526,527</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20,555,932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17,803,153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15,473,212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14,528,785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12,768,640</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9,766,761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9,022,955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7,028,652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8,252,868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6,757,887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5,936,565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5,920,603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5,237,711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5,519,795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5,536,243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5,715,491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8,142,863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4,622,912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6,129,979</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8"/>
                <w:szCs w:val="18"/>
                <w:color w:val="auto"/>
              </w:rPr>
              <w:t>Total joint venture operations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11,652,056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14,063,466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12,590,691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10,142,707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11,666,222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5,820,748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5,221,738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4,845,676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4,585,901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4,090,704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6,531,576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5,393,531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4,605,979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4,309,410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4,343,283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Expenses incurred in support of joint ventures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1,867,570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1,408,014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1,387,197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1,000,576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4,047,279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4,368,752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3,815,515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3,875,581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4,364,109</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18,267,173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16,392,035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14,654,367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13,825,806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13,798,672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3,151,644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6,694,386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4,964,976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4,569,769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4,625,437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108,692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(59,541)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3,166,034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6,663,074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5,617,501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4,616,646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4,701,888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648,674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1,124,662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706,000</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2,517,360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5,538,412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4,753,501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3,575,646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3,995,888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727,789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1,432,040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1,386,607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127,450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95,768</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NTIC</w:t>
            </w:r>
          </w:p>
        </w:tc>
        <w:tc>
          <w:tcPr>
            <w:tcW w:w="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1,789,571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4,106,372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3,366,894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3,448,196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3,900,120</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NTIC per common share: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860" w:type="dxa"/>
            <w:vAlign w:val="bottom"/>
          </w:tcPr>
          <w:p>
            <w:pPr>
              <w:ind w:left="18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Weighted-average common shares assumed outstanding:</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4,521,788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4,454,836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4,421,636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4,391,424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4,325,863</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4,649,060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4,579,498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4,475,895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4,451,594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4,404,100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2,623,981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2,477,017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4,314,258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4,137,547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2,027,441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5,519,766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19,275,612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22,319,966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16,932,505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14,059,726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13,490,514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51,565,648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54,057,775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49,053,949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41,877,627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40,039,742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3,671,841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4,466,655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3,662,053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3,999,645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4,404,766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 payable, net of current portion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857,295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1,009,533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3,019,702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3,837,257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3,800,929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187,913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91,795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44,874,105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45,753,863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40,733,672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36,756,656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34,533,648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equity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47,893,807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49,591,120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44,534,601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36,944,569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34,625,443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(755,545)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7,422,912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1,910,702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2,671,851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1,702,214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1,901,224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7,457,380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1,752,842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(653,522)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(1,814,418)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(1,563,867)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408,719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exchange rate changes on cash and cash equivalents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21" w:lineRule="exact"/>
        <w:rPr>
          <w:sz w:val="20"/>
          <w:szCs w:val="20"/>
          <w:color w:val="auto"/>
        </w:rPr>
      </w:pPr>
    </w:p>
    <w:p>
      <w:pPr>
        <w:ind w:left="660" w:right="12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fiscal year.</w:t>
      </w:r>
    </w:p>
    <w:p>
      <w:pPr>
        <w:spacing w:after="0" w:line="161" w:lineRule="exact"/>
        <w:rPr>
          <w:rFonts w:ascii="Arial" w:cs="Arial" w:eastAsia="Arial" w:hAnsi="Arial"/>
          <w:sz w:val="18"/>
          <w:szCs w:val="18"/>
          <w:color w:val="auto"/>
        </w:rPr>
      </w:pPr>
    </w:p>
    <w:p>
      <w:pPr>
        <w:ind w:left="660" w:right="240" w:hanging="328"/>
        <w:spacing w:after="0" w:line="31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NTIC’s Joint Venture Network</w:t>
      </w:r>
      <w:r>
        <w:rPr>
          <w:rFonts w:ascii="Arial" w:cs="Arial" w:eastAsia="Arial" w:hAnsi="Arial"/>
          <w:sz w:val="17"/>
          <w:szCs w:val="17"/>
          <w:color w:val="auto"/>
        </w:rPr>
        <w:t>. This section provides a brief overview of NTIC’s joint venture network, the joint ventures which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significant to NTIC’s consolidated assets and income and how NTIC’s joint ventures are accounted for by NTIC.</w:t>
      </w:r>
    </w:p>
    <w:p>
      <w:pPr>
        <w:spacing w:after="0" w:line="13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2015.</w:t>
      </w:r>
    </w:p>
    <w:p>
      <w:pPr>
        <w:spacing w:after="0" w:line="225" w:lineRule="exact"/>
        <w:rPr>
          <w:rFonts w:ascii="Arial" w:cs="Arial" w:eastAsia="Arial" w:hAnsi="Arial"/>
          <w:sz w:val="18"/>
          <w:szCs w:val="18"/>
          <w:color w:val="auto"/>
        </w:rPr>
      </w:pPr>
    </w:p>
    <w:p>
      <w:pPr>
        <w:ind w:left="660" w:right="62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This section provides an analysis of the significant line items in NTIC’s consolidated statements of operations.</w:t>
      </w:r>
    </w:p>
    <w:p>
      <w:pPr>
        <w:spacing w:after="0" w:line="225" w:lineRule="exact"/>
        <w:rPr>
          <w:rFonts w:ascii="Arial" w:cs="Arial" w:eastAsia="Arial" w:hAnsi="Arial"/>
          <w:sz w:val="18"/>
          <w:szCs w:val="18"/>
          <w:color w:val="auto"/>
        </w:rPr>
      </w:pPr>
    </w:p>
    <w:p>
      <w:pPr>
        <w:ind w:left="660" w:right="58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and financial commitments.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25" w:lineRule="exact"/>
        <w:rPr>
          <w:rFonts w:ascii="Arial" w:cs="Arial" w:eastAsia="Arial" w:hAnsi="Arial"/>
          <w:sz w:val="18"/>
          <w:szCs w:val="18"/>
          <w:color w:val="auto"/>
        </w:rPr>
      </w:pPr>
    </w:p>
    <w:p>
      <w:pPr>
        <w:ind w:left="660" w:right="54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176"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color w:val="auto"/>
        </w:rPr>
        <w:t>. This section discusses recently issued accounting pronouncements that have had or may affect NTIC’s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and financial condition and references Note 2 to NTIC’s consolidated financial statements, which summarizes such pronouncements.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wholly-owned subsidiary in China, NTIC (Shanghai) Co., Ltd. (NTIC China), its majority-owned subsidiary in Brazil, Zerust Prevenção de Corrosão S.A. (Zerust Brazil), its majority-owned joint venture holding company for NTIC’s joint venture investments in the Association of Southeast Asian Nations (ASEAN) region, and joint venture arrangements in North America, Europe and Asia.</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NTIC markets and sells its ZERUST® rust and corrosion prevention solutions to customers in the oil and gas industry across several countries either directly or through NTIC’s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majority-owned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January 2, 2015, NTIC announced that, effective as of December 31, 2014, it is selling its ZERUST® products and services in China through a wholly-owned subsidiary, NTIC (Shanghai) Co., Ltd. (NTIC China), and has terminated its joint venture agreements with Tianjin-Zerust Anticorrosion Co., Ltd. (Tianjin Zerust). NTIC and NTI Asean have filed a lawsuit against Mr. Tao Meng, a Chinese national and the former joint venture entity’s other shareholder, and his spouse in the Chinese court of Tianjin, seeking, among other things, an orderly liquidation of Tianjin Zerust.</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 NTIC anticipates that NTIC’s net sales, costs of goods sold and operating expenses will increase and its equity in income from joint ventures and fee income for services provided to its joint ventures will decrease in future periods compared to the comparable prior fiscal year periods as NTIC started recognizing Tianjin Zerust based on its carrying value instead of the equity method and will continue to do so until Tianjin Zerust is fully liquidated.</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NTIC anticipates that it may take several quarters to transition many of the previous customers of Tianjin Zerust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 NTIC’s indirect ownership of Tianjin Zerust is 30%.</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2015, NTIC incurred approximately $1,640,000 in start-up expenses related either directly or indirectly to the establishment of NTIC China, the termination of the joint venture agreements with Tianjin Zerust and its pending litigation against Mr. Tao Meng and his spouse, and the anticipated liquidation of Tianjin Zerust and against Cortec Corporation. These expenses are recorded as selling, general and administrative expenses and expenses incurred in support of joint ventures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be volatile over the next few quarters as a result of NTIC’s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results of Zerust Brazil, NTI Asean and Natur-Tec India, and as of December 31, 2014, NTIC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South Korea, Malaysia, Philippines, Singapore, Taiwan and Thailand. NTIC holds 90% of the equity and 90% of the voting rights of Natur-Tec India. NTIC China is a wholly-owned subsidiary of NTIC.</w:t>
      </w:r>
    </w:p>
    <w:p>
      <w:pPr>
        <w:spacing w:after="0" w:line="1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NTIC considers EXCOR and its former joint venture in China, Tianjin Zerust, to be individually significant to NTIC’s consolidated assets and income; and therefore, provides certain additional information regarding EXCOR and Tianjin Zerust in the notes to NTIC’s consolidated financial statements and in this section of this report.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fiscal 2015, 2014 and 2013, EXCOR met the conditions of a significant subsidiary of NTIC under Rule 1-02(w) of Regulation S-X. Pursuant to Rue 3-09 of Regulation S-X, NTIC intends to file an amendment to this report containing separate audited financial statements for EXCOR.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13.0% during fiscal 2015 compared to fiscal 2014. This increase was primarily a result of increased demand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ZERUST® rust and corrosion inhibiting packaging products and services and Natur-Tec® products and, to some extent, sales at NTIC China,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did not exist during fiscal 2014. During fiscal 2015, 85.9% of NTIC’s consolidated net sales were derived from sales of ZERUST® products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which increased 9.2% to $26,042,909 during fiscal 2015 compared to $23,845,288 during fiscal 2014. This increase was due to increased demand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both new and existing customers for new and existing products. NTIC has focused its sales efforts of ZERUST® products and services by strategically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targeting customers with specific corrosion issues in new market areas, including the oil and gas industry and other industrial sectors that offer sizable growth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opportunities. NTIC’s consolidated net sales for fiscal 2015 included $1,886,814 of sales made to customers in the oil and gas industry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$1,702,130 for fiscal 2014. Overall demand for ZERUST® products and services depends heavily on the overall health of the markets in which NTIC sells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including the automotive market in particular.</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fiscal 2015, 14.1% of NTIC’s consolidated net sales were derived from sales of Natur-Tec® products compared to 11.1% during fiscal 2014. Net sales of Natur-Tec® products increased 43.6% to $4,279,785 during fiscal 2015 compared to fiscal 2014 primarily due to finished product sales in North America and finished product sales at NTIC’s majority-owned subsidiary in India, Natur-Tec India Private Limited (Natur-Tec India).</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7" w:name="page48"/>
    <w:bookmarkEnd w:id="47"/>
    <w:p>
      <w:pPr>
        <w:ind w:right="100"/>
        <w:spacing w:after="0" w:line="277" w:lineRule="auto"/>
        <w:rPr>
          <w:sz w:val="20"/>
          <w:szCs w:val="20"/>
          <w:color w:val="auto"/>
        </w:rPr>
      </w:pPr>
      <w:r>
        <w:rPr>
          <w:rFonts w:ascii="Arial" w:cs="Arial" w:eastAsia="Arial" w:hAnsi="Arial"/>
          <w:sz w:val="18"/>
          <w:szCs w:val="18"/>
          <w:color w:val="auto"/>
        </w:rPr>
        <w:t>Cost of goods sold as a percentage of net sales increased to 67.8% during fiscal 2015 compared to 66.4% during fiscal 2014 primarily as a result of increased sales during fiscal 2015 of Natur-Tec® products, which carry lower margins than ZERUST® products.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NTIC’s equity in income from joint ventures increased 0.3% to $5,936,565 during fiscal 2015 compared to $5,920,603 during fiscal 2014. This increase was primarily due to increases in profitability at the joint ventures, partially offset by decreases associated with the anticipated liquidation of Tianjin Zerust and adverse effects of foreign currency exchange rate fluctuations, including in particular the Euro compared to the U.S. dollar. NTIC recognized a 29.8% decrease in fees for services provided to joint ventures during fiscal 2015 compared to fiscal 2014 primarily due to the anticipated liquidation of Tianjin Zerust. Fees for services provided to Tianjin Zerust decreased $1,623,938 to $494,080 during fiscal 2015 compared to $2,118,018 during fiscal 2014. Additionally, there was a decrease in sales at the joint ventures, which were $99,026,251 during fiscal 2015, compared to $118,848,890 during fiscal 2014. This decrease resulted in a corresponding decrease in fees for services provided to joint ventures as such fees are a function of net sales of NTIC’s joint ventures. Net sales of NTIC’s joint ventures decreased also as a result of a significant weakening of the Euro compared to the U.S. dollar and, to a lesser extent, the sale in November 2013 of NTIC’s ownership interest in Mütec GmbH.</w:t>
      </w:r>
    </w:p>
    <w:p>
      <w:pPr>
        <w:spacing w:after="0" w:line="18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NTIC’s total operating expenses increased 11.4% to $18,267,173 during fiscal 2015 compared to $16,392,035 in fiscal 2014. This increase was primarily due to $1,642,258 in expenses related to the formation and establishment of NTIC China and the anticipated liquidation of Tianjin Zerust. Such expenses consisted primarily of legal and personnel expenses associated with the establishment of the subsidiary, the hiring of new personnel and initial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NTIC expenses all costs related to product research and development as incurred. NTIC incurred $4,047,279 of research and development expense during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2015 compared to $4,368,752 during fiscal 2014. These represent net amounts after being reduced by reimbursements related to certain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contracts. Such reimbursements totaled $0 and $45,788 for fiscal 2015 and 2014, respectively. NTIC anticipates that it will spend between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$4,000,000 and $4,400,000 in total during fiscal 2016 on research and development activities related to its new technologies. This estimate is a net range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reduced by anticipated reimbursements related to certain research and development contracts.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income attributable to NTIC decreased 56.4%, to $1,789,571, or $0.39 per diluted common share, for fiscal 2015 compared to $4,106,372, or $0.90 per diluted common share, for fiscal 2014. This decrease was primarily the result of the decrease in income from NTIC’s joint venture operations as a result of the anticipated liquidation of Tianjin Zerust and the establishment of NTIC China.</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remain volatile as a result of the changes in its Chinese operations.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NTIC’s working capital was $15,603,771 at August 31, 2015, including $2,623,981 in cash and cash equivalents and $2,027,441 in available for sale securities, compared to $17,853,311 at August 31, 2014, including $2,477,017 in cash and cash equivalents and $5,519,766 in available for sale securities.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17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i w:val="1"/>
          <w:iCs w:val="1"/>
          <w:color w:val="auto"/>
        </w:rPr>
        <w:t>Cost of Goods Sold</w:t>
      </w:r>
      <w:r>
        <w:rPr>
          <w:rFonts w:ascii="Arial" w:cs="Arial" w:eastAsia="Arial" w:hAnsi="Arial"/>
          <w:sz w:val="16"/>
          <w:szCs w:val="16"/>
          <w:color w:val="auto"/>
        </w:rPr>
        <w:t>. Most of NTIC’s products are manufactured by third parties and its cost of goods sold for those products consists primarily of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invoiced by its third-party vendors. For the portion of products that NTIC manufactures, NTIC’s cost of goods sold for those products consists primarily of</w:t>
      </w:r>
    </w:p>
    <w:p>
      <w:pPr>
        <w:ind w:right="60"/>
        <w:spacing w:after="0" w:line="221" w:lineRule="auto"/>
        <w:rPr>
          <w:sz w:val="20"/>
          <w:szCs w:val="20"/>
          <w:color w:val="auto"/>
        </w:rPr>
      </w:pPr>
      <w:r>
        <w:rPr>
          <w:rFonts w:ascii="Arial" w:cs="Arial" w:eastAsia="Arial" w:hAnsi="Arial"/>
          <w:sz w:val="17"/>
          <w:szCs w:val="17"/>
          <w:color w:val="auto"/>
        </w:rPr>
        <w:t>direct labor, allocated manufacturing overhead, raw materials and components. NTIC’s margins on its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8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Equity in Income from Joint Ventures</w:t>
      </w:r>
      <w:r>
        <w:rPr>
          <w:rFonts w:ascii="Arial" w:cs="Arial" w:eastAsia="Arial" w:hAnsi="Arial"/>
          <w:sz w:val="16"/>
          <w:szCs w:val="16"/>
          <w:color w:val="auto"/>
        </w:rPr>
        <w:t>. NTIC’s equity in income from joint ventures consists of NTIC’s share of equity in income from its joint ventures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Fees for Services Provided To Joint Ventures</w:t>
      </w:r>
      <w:r>
        <w:rPr>
          <w:rFonts w:ascii="Arial" w:cs="Arial" w:eastAsia="Arial" w:hAnsi="Arial"/>
          <w:sz w:val="17"/>
          <w:szCs w:val="17"/>
          <w:color w:val="auto"/>
        </w:rPr>
        <w:t>. NTIC provides certain services to its joint ventures including consulting, legal, travel, insurance, technical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right="40"/>
        <w:spacing w:after="0" w:line="297" w:lineRule="auto"/>
        <w:rPr>
          <w:sz w:val="20"/>
          <w:szCs w:val="20"/>
          <w:color w:val="auto"/>
        </w:rPr>
      </w:pPr>
      <w:r>
        <w:rPr>
          <w:rFonts w:ascii="Arial" w:cs="Arial" w:eastAsia="Arial" w:hAnsi="Arial"/>
          <w:sz w:val="16"/>
          <w:szCs w:val="16"/>
          <w:color w:val="auto"/>
        </w:rPr>
        <w:t>NTIC sponsors a worldwide joint venture conference periodically in which all of NTIC’s joint ventures are invited to participate. It is anticipated that the next joint venture conference will be held next year or the year thereafter.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stock-based compensation, finance, legal, information technology and human resources functions.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benefits, travel, consulting, legal and laboratory supplies and testing expenses.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consists of interest earned on investments, which typically consist of investment-grade, interest-bearing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market accounts.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former term loan with PNC Bank, National Association (PNC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and any borrowings under NTIC’s line of credit with PNC Bank.</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consists of income from activities other than normal business operations, such as foreign exchange gains, rent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 from the sale of non-inventory assets.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 Income tax expense includes federal income taxes, income tax of consolidated entities in foreign jurisdictions, state income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2015 Compared to Fiscal Year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2015 and fiscal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w:t>
            </w:r>
          </w:p>
        </w:tc>
        <w:tc>
          <w:tcPr>
            <w:tcW w:w="1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234"/>
        </w:trPr>
        <w:tc>
          <w:tcPr>
            <w:tcW w:w="53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2015</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1"/>
              </w:rPr>
              <w:t>Net Sales</w:t>
            </w:r>
          </w:p>
        </w:tc>
        <w:tc>
          <w:tcPr>
            <w:tcW w:w="1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2014</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1"/>
              </w:rPr>
              <w:t>Net Sales</w:t>
            </w:r>
          </w:p>
        </w:tc>
        <w:tc>
          <w:tcPr>
            <w:tcW w:w="12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$27,491,392</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$23,601,514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$ 3,889,878</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2,831,301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3,224,594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(393,293)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20,555,932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17,803,153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2,752,779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5,936,565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5,920,603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15,962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5,715,491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8,142,863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(2,427,372)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Selling expenses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5,820,748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5,221,738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599,010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6,531,576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5,393,531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1,138,045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1,867,570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1,408,014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459,556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4,047,279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4,368,752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(321,473)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13.0% to $30,322,693 during fiscal 2015 compared to $26,826,108 during fiscal 2014. NTIC’s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sales to unaffiliated customers excluding NTIC’s joint ventures increased 16.5% to $27,491,392 during fiscal 2015 compared to $23,601,514 during fiscal 2014. These increases were primarily a result of increased demand and sales of ZERUST® rust and corrosion inhibiting packaging products and services and Natur-Tec® products. Net sales to joint ventures decreased 12.2% to $2,831,301 in fiscal 2015 compared to fiscal 2014. This decrease was due primarily to the decrease in sales of the joint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2015 and fiscal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Fiscal 2015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Fiscal 2014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26,042,909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23,845,288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2,197,621</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310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16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4,279,784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2,980,820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1,298,965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30,322,693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3,496,586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2015, 85.9%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9.2% to</w:t>
      </w:r>
    </w:p>
    <w:p>
      <w:pPr>
        <w:ind w:right="280"/>
        <w:spacing w:after="0" w:line="280" w:lineRule="auto"/>
        <w:rPr>
          <w:sz w:val="20"/>
          <w:szCs w:val="20"/>
          <w:color w:val="auto"/>
        </w:rPr>
      </w:pPr>
      <w:r>
        <w:rPr>
          <w:rFonts w:ascii="Arial" w:cs="Arial" w:eastAsia="Arial" w:hAnsi="Arial"/>
          <w:sz w:val="16"/>
          <w:szCs w:val="16"/>
          <w:color w:val="auto"/>
        </w:rPr>
        <w:t>$26,042,909 compared to $23,845,288 during fiscal 2014. This increase was due to increased demand from existing customers and the addition of new customers. NTIC has strategically focused its sales efforts for ZERUST® products and services on customers with sizeable corrosion problems in industry</w:t>
      </w:r>
    </w:p>
    <w:p>
      <w:pPr>
        <w:spacing w:after="0" w:line="1" w:lineRule="exact"/>
        <w:rPr>
          <w:sz w:val="20"/>
          <w:szCs w:val="20"/>
          <w:color w:val="auto"/>
        </w:rPr>
      </w:pPr>
    </w:p>
    <w:p>
      <w:pPr>
        <w:ind w:right="360"/>
        <w:spacing w:after="0" w:line="205" w:lineRule="auto"/>
        <w:rPr>
          <w:sz w:val="20"/>
          <w:szCs w:val="20"/>
          <w:color w:val="auto"/>
        </w:rPr>
      </w:pPr>
      <w:r>
        <w:rPr>
          <w:rFonts w:ascii="Arial" w:cs="Arial" w:eastAsia="Arial" w:hAnsi="Arial"/>
          <w:sz w:val="18"/>
          <w:szCs w:val="18"/>
          <w:color w:val="auto"/>
        </w:rPr>
        <w:t>sectors that offer sizable growth opportunities, including the oil and gas sector. 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fiscal 2015 and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Fiscal 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Fiscal 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21,324,793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18,918,563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2,406,230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2,831,302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3,224,594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(393,292)</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1,886,814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1,702,131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184,683</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4"/>
        </w:trPr>
        <w:tc>
          <w:tcPr>
            <w:tcW w:w="4660" w:type="dxa"/>
            <w:vAlign w:val="bottom"/>
          </w:tcPr>
          <w:p>
            <w:pPr>
              <w:ind w:left="360"/>
              <w:spacing w:after="0"/>
              <w:rPr>
                <w:sz w:val="20"/>
                <w:szCs w:val="20"/>
                <w:color w:val="auto"/>
              </w:rPr>
            </w:pPr>
            <w:r>
              <w:rPr>
                <w:rFonts w:ascii="Arial" w:cs="Arial" w:eastAsia="Arial" w:hAnsi="Arial"/>
                <w:sz w:val="18"/>
                <w:szCs w:val="18"/>
                <w:color w:val="auto"/>
              </w:rPr>
              <w:t>Total ZERUST®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26,042,909</w:t>
            </w:r>
          </w:p>
        </w:tc>
        <w:tc>
          <w:tcPr>
            <w:tcW w:w="1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23,845,288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2,197,621</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ind w:right="40"/>
        <w:spacing w:after="0" w:line="255" w:lineRule="auto"/>
        <w:rPr>
          <w:sz w:val="20"/>
          <w:szCs w:val="20"/>
          <w:color w:val="auto"/>
        </w:rPr>
      </w:pPr>
      <w:r>
        <w:rPr>
          <w:rFonts w:ascii="Arial" w:cs="Arial" w:eastAsia="Arial" w:hAnsi="Arial"/>
          <w:sz w:val="18"/>
          <w:szCs w:val="18"/>
          <w:color w:val="auto"/>
        </w:rPr>
        <w:t>During fiscal 2015, 14.1% of NTIC’s consolidated net sales were derived from sales of Natur-Tec® products, compared to 11.1% during fiscal 2014. Sales of Natur-Tec® products increased 43.6% to $4,279,784 during fiscal 2015 compared to $2,980,820 during fiscal 2014. This increase was due primarily to finished product sales in North America and finished product sales through Natur-Tec India.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15.5% in fiscal 2015 compared to fiscal 2014 primarily as a result of the increase in net sales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Cost of goods sold as a percentage of net sales increased to 67.8% during fiscal 2015 compared to 66.4% during fiscal 2014 primarily as a result of increased sales during fiscal 2015 of Natur-Tec® products, which carry lower margins than other traditional ZERUST® products. NTIC anticipates that due to the change in its China operations, NTIC’s costs of goods sold will increase in future periods compared to the prior fiscal year periods.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Equity in Income from Joint Ventures</w:t>
      </w:r>
      <w:r>
        <w:rPr>
          <w:rFonts w:ascii="Arial" w:cs="Arial" w:eastAsia="Arial" w:hAnsi="Arial"/>
          <w:sz w:val="18"/>
          <w:szCs w:val="18"/>
          <w:color w:val="auto"/>
        </w:rPr>
        <w:t>. NTIC’s equity in income from joint ventures increased 0.3% to $5,936,565 compared to equity in income from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of $5,920,603 during fiscal 2014. This increase was primarily a result of increases in profitability at the joint ventures, partially offset by a decrease in profitability associated with the anticipated liquidation of Tianjin Zerust and adverse effects of foreign exchange rate fluctuations, including in particular the Euro compared to the U.S. dollar. Of the total equity in income from joint ventures, NTIC had equity in income from joint ventures of $4,091,608 attributable to EXCOR during fiscal 2015 compared to $3,950,915 attributable to EXCOR during fiscal 2014. Of the total equity in income of joint ventures, NTIC had equity in income of joint ventures of $132,824 attributable to Tianjin Zerust during fiscal 2015 compared to $626,763 attributable to Tianjin Zerust during fiscal 2014. NTIC had equity in income of all other joint ventures of $1,712,133 during fiscal 2015 compared to $1,342,925 during fiscal 2014. NTIC expects its equity in income of joint ventures to be lower in future periods compared to prior fiscal year periods as a result of the anticipated liquidation of Tianjin Zerust.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$5,715,491 during fiscal 2015 compared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$8,142,863 during fiscal 2014, representing a decrease of 29.8%. This decrease was primarily a result of the anticipated liquidation of Tianjin Zerust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for services provided to joint ventures from Tianjin Zerust decreased $1,623,938 to $494,080 during fiscal 2015 compared to $2,118,018 during fiscal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Additionally, the decrease in fees for services provided to joint ventures was a result of a decrease in total sales at all joint ventures, which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$99,026,251 during fiscal 2015 compared to $118,848,890 during fiscal 2014, a decrease of 16.7%. Net sales of NTIC’s joint ventures decreased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anticipated liquidation of Tianjin Zerust, a significant weakening of the Euro compared to the U.S. dollar and, to a lesser extent, the sale of NTIC’s ownership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in Mütec GmbH. Sales of NTIC’s joint ventures are not included in NTIC’s product sales and are not combined with NTIC’s sales in NTIC’s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or in any description of NTIC’s sales.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the total fee income for services provided to its joint ventures, fees of $873,400 were attributable to EXCOR during fiscal 2015 compared to $1,032,234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EXCOR during fiscal 2014. The decrease in fee income for services provided to joint ventures attributable to EXCOR was primarily the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foreign currency exchange rate fluctuations. Of the total fee income for services provided to its joint ventures, fees of $494,080 were attributable to Tianjin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Zerust during fiscal 2015 compared to $2,118,018 during fiscal 2014. NTIC received fee income for services provided to all of its other joint ventures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$4,348,010 during fiscal 2015 compared to $4,992,611 during fiscal 2014. NTIC anticipates that due to the consolidation of NTIC China, NTIC’s fee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services provided to its joint ventures will decrease in future periods compared to the prior fiscal year periods.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52" w:name="page53"/>
    <w:bookmarkEnd w:id="52"/>
    <w:p>
      <w:pPr>
        <w:ind w:right="16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11.5% in fiscal 2015 compared to fiscal 2014 due to increases in compensation and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lab testing related expenses, commission expenses, travel and related expenses, and consulting expenses. Selling expenses as a percentage of net sales decreased to 19.2% in fiscal 2015 compared to 19.5% in fiscal 2014 primarily due to the increase in net sales as well as certain personnel expenses, partially offset by the increase in selling expenses, as previously described.</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by 21.1% in fiscal 2015 compared to fiscal 2014 due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expenses incurred to establish and operate NTIC China. As a percentage of net sales, general and administrative expenses increased to 21.5% for fiscal 2015 from 20.1% in fiscal 2014 due primarily to the increase in general and administrative expenses, as previously described, partially offset by the increase in net sales.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$1,867,570 during fiscal 2015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$1,408,014 during fiscal 2014, representing an increase of 32.6%. This increase was due primarily to expenses related to the change in NTIC’s Chinese operations during fiscal 2015. NTIC incurred direct expenses during fiscal 2015 related to the anticipated liquidation of Tianjin Zerust and the formation and operation of NTIC China. Such expenses consisted primarily of legal expenses and personnel expenses associated with the establishment of the subsidiary, the hiring of new personnel and initial operations.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7.4% in fiscal 2015 compared to fiscal 2014. This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decreases in personnel and consulting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$34,835 in fiscal 2015 compared to $11,617 in fiscal 2014.</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$20,960 in fiscal 2015 compared to $47,322 in fiscal 2014. This decrease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outstanding debt levels during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decreased to $3,166,034 for fiscal 2015 compared to $6,663,074 for fiscal 2014.</w:t>
      </w: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$648,674 for fiscal 2015 compared to $1,124,662 during fiscal 2014 for an effective rate of 14.4% and 16.9%,</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NTIC’s annual effective income tax rate during fiscal 2015 and 2014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not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$18,483,377 and $20,540,523 at August 31, 2015 and August 31, 2014,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significant changes in the foreign currency translations adjustment was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strengthening of the U.S. dollar compared to the Euro and other foreign currencies during fiscal 2015 compared to fiscal 2014</w:t>
      </w:r>
      <w:r>
        <w:rPr>
          <w:rFonts w:ascii="Arial" w:cs="Arial" w:eastAsia="Arial" w:hAnsi="Arial"/>
          <w:sz w:val="17"/>
          <w:szCs w:val="17"/>
          <w:i w:val="1"/>
          <w:i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2014 Compared to Fiscal Year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fiscal 2014 and fiscal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Fiscal 2014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1"/>
              </w:rPr>
              <w:t>% of Net Sales</w:t>
            </w:r>
          </w:p>
        </w:tc>
        <w:tc>
          <w:tcPr>
            <w:tcW w:w="1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Fiscal 2013</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0"/>
              </w:rPr>
              <w:t>% of Net Sales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 Change</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$ 23,601,514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$ 19,724,205</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3,877,309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3,224,594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2,777,659</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446,935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17,803,153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15,473,212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2,329,941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5,920,603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5,237,711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682,892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8,142,863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789,883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Selling expenses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5,221,738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4,845,676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376,062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5,393,531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4,605,979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787,552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9"/>
              </w:rPr>
              <w:t>Expenses incurred in support of joint ventures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1,408,014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1,387,197</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20,817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4,368,752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3,815,515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553,237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19.2% to $26,826,108 during fiscal 2014 compared to $22,501,864 during fiscal 2013. NTIC’s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net sales to unaffiliated customers excluding NTIC’s joint ventures increased 19.7% to $23,601,514 during fiscal 2014 compared to $19,724,205 during fiscal 2013. These increases were primarily a result of increased demand from existing customers and the addition of new customers. Net sales to joint ventures increased 16.1% to $3,224,594 in fiscal 2014 compared to fiscal 2013. This increase was due primarily to the increase in sales of the joint ventures.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2014 and fiscal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Fiscal 2014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Fiscal 2013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23,845,288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20,457,198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3,388,090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310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2,980,820</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2,044,666</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936,154</w:t>
            </w:r>
          </w:p>
        </w:tc>
        <w:tc>
          <w:tcPr>
            <w:tcW w:w="1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26,826,108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4,324,244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During fiscal 2014, 88.9% of NTIC’s consolidated net sales were derived from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which increased 16.6% to</w:t>
      </w:r>
    </w:p>
    <w:p>
      <w:pPr>
        <w:ind w:right="40"/>
        <w:spacing w:after="0" w:line="311" w:lineRule="auto"/>
        <w:rPr>
          <w:sz w:val="20"/>
          <w:szCs w:val="20"/>
          <w:color w:val="auto"/>
        </w:rPr>
      </w:pPr>
      <w:r>
        <w:rPr>
          <w:rFonts w:ascii="Arial" w:cs="Arial" w:eastAsia="Arial" w:hAnsi="Arial"/>
          <w:sz w:val="16"/>
          <w:szCs w:val="16"/>
          <w:color w:val="auto"/>
        </w:rPr>
        <w:t>$23,845,288 compared to $20,457,198 during fiscal 2013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 The following table sets forth NTIC’s net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for fiscal 2014 and 2013: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Fiscal 2014</w:t>
            </w:r>
          </w:p>
        </w:tc>
        <w:tc>
          <w:tcPr>
            <w:tcW w:w="24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Fiscal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18,918,563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16,695,197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2,223,366</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3,224,594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2,767,103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457,491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1,702,131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994,898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707,233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24"/>
        </w:trPr>
        <w:tc>
          <w:tcPr>
            <w:tcW w:w="470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23,845,288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20,457,198</w:t>
            </w: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3,388,090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r>
    </w:tbl>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2014, 11.1% of NTIC’s consolidated net sales were derived from sales of Natur-Tec® products, compared to 9.1% during fiscal 2013. Sales of Natur-Tec® products increased 45.8% to $2,980,820 during fiscal 2014 compared to $2,044,666 during fiscal 2013. This increase was due primarily to finished product sales both in North America and abroad through Natur-Tec India.</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15.1% in fiscal 2014 compared to fiscal 2013 primarily as a result of the increase in net sales. Cost of goods</w:t>
      </w:r>
      <w:r>
        <w:rPr>
          <w:rFonts w:ascii="Arial" w:cs="Arial" w:eastAsia="Arial" w:hAnsi="Arial"/>
          <w:sz w:val="16"/>
          <w:szCs w:val="16"/>
          <w:i w:val="1"/>
          <w:iCs w:val="1"/>
          <w:color w:val="auto"/>
        </w:rPr>
        <w:t xml:space="preserve"> </w:t>
      </w:r>
      <w:r>
        <w:rPr>
          <w:rFonts w:ascii="Arial" w:cs="Arial" w:eastAsia="Arial" w:hAnsi="Arial"/>
          <w:sz w:val="16"/>
          <w:szCs w:val="16"/>
          <w:color w:val="auto"/>
        </w:rPr>
        <w:t>sold as a percentage of net sales decreased to 66.4% during fiscal 2014 compared to 68.8% during fiscal 2013 primarily as a result of increased sales during</w:t>
      </w:r>
    </w:p>
    <w:p>
      <w:pPr>
        <w:ind w:right="140"/>
        <w:spacing w:after="0" w:line="221" w:lineRule="auto"/>
        <w:rPr>
          <w:sz w:val="20"/>
          <w:szCs w:val="20"/>
          <w:color w:val="auto"/>
        </w:rPr>
      </w:pPr>
      <w:r>
        <w:rPr>
          <w:rFonts w:ascii="Arial" w:cs="Arial" w:eastAsia="Arial" w:hAnsi="Arial"/>
          <w:sz w:val="18"/>
          <w:szCs w:val="18"/>
          <w:color w:val="auto"/>
        </w:rPr>
        <w:t>fiscal 2014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oil and gas industry which carry higher margins than other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increased expenses during fiscal 2013 associated with the production and shipping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to a new customer.</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Equity in Income from Joint Ventures</w:t>
      </w:r>
      <w:r>
        <w:rPr>
          <w:rFonts w:ascii="Arial" w:cs="Arial" w:eastAsia="Arial" w:hAnsi="Arial"/>
          <w:sz w:val="17"/>
          <w:szCs w:val="17"/>
          <w:color w:val="auto"/>
        </w:rPr>
        <w:t>. NTIC’s equity in income from joint ventures increased 13.0% to $5,920,603 compared to equity in income from joint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of $5,237,711 during fiscal 2013. Of the total equity in income from joint ventures, NTIC had equity in income from joint ventures of $3,950,915 attributable to EXCOR during fiscal 2014 compared to $3,507,057 attributable to EXCOR during fiscal 2013. Of the total equity in income from joint ventures, NTIC had equity in income from joint ventures of $626,763 attributable to NTIC’s joint venture in China during fiscal 2014 compared to $579,376 attributable to NTIC’s joint venture in China during fiscal 2013. NTIC had equity in income from all other joint ventures of $1,342,924 during fiscal 2014 compared to $1,151,278 during fiscal 2013. These increases were primarily as a result of increases in sales at the joint ventures, which improved during fiscal 2014 compared to fiscal 2013 primarily as a result of improved economic conditions in Europe.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Fees for Services Provided to Joint Ventures</w:t>
      </w:r>
      <w:r>
        <w:rPr>
          <w:rFonts w:ascii="Arial" w:cs="Arial" w:eastAsia="Arial" w:hAnsi="Arial"/>
          <w:sz w:val="18"/>
          <w:szCs w:val="18"/>
          <w:color w:val="auto"/>
        </w:rPr>
        <w:t>. NTIC recognized fee income for services provided to joint ventures of $8,142,863 during fiscal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$7,352,980 during fiscal 2013, representing an increase of 10.7%. Fee income for services provided to joint ventures are a function of the sales made by NTIC’s joint ventures, which were $118,848,890 during fiscal 2014 compared to $113,189,068 during fiscal 2013, an increase of 5.0%. Sales made by NTIC’s joint ventures during fiscal 2014 improved compared to fiscal 2013 primarily as a result of improved economic conditions in Europe. Total net sales of NTIC’s joint ventures for fiscal 2013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19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Of the total fee income for services provided to its joint ventures, fees of $1,032,234 were attributable to EXCOR during fiscal 2014 compared to $1,004,958 attributable to EXCOR during fiscal 2013. Fees of $2,118,018 were attributable to NTIC’s joint venture in China during fiscal 2014 compared to $2,063,369 during fiscal 2013. NTIC received fee income for services provided to all of its other joint ventures of $4,992,611 during fiscal 2014 compared to $4,284,653 during fiscal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55" w:name="page56"/>
    <w:bookmarkEnd w:id="55"/>
    <w:p>
      <w:pPr>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7.8% in fiscal 2014 compared to fiscal 2013 due to increases in compensation and employee benefits, lab</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related expenses, commission expenses, travel and related expenses, and consulting expenses. Selling expenses as a percentage of net sales decreased to 19.5% in fiscal 2014 compared to 21.5% in fiscal 2013 primarily due to the increase in net sales as well as certain fixed costs, partially offset by the increase in selling expenses, as previously described.</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increased by 17.1% in fiscal 2014 compared to fiscal 2013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consulting expenses to support new business development. As a percentage of net sales, general and administrative expenses decreased to 20.1% for fiscal 2014 from 20.5% in fiscal 2013 due primarily to the increase in net sales as well as certain fixed costs, partially offset by the increase in general and administrative expenses, as previously described.</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$1,408,014 during fiscal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$1,387,197 during fiscal 2013, representing an increase of 1.5%. This increase was due primarily to increased headcount to support anticipated expanding operations and anticipated sales growth.</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14.5% in fiscal 2014 compared to fiscal 2013.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increased spending on headcount and field development associated with the new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$11,617 in fiscal 2014 compared to $34,614 in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$47,322 in fiscal 2014 compared to $52,215 in fiscal 2013.</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NTIC’s other income decreased to $4,393 in fiscal 2014 compared to $670,126 in fiscal 2013 primarily due to the receipt of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during the prior fiscal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$6,663,074 for fiscal 2014 compared to $5,617,501 for fiscal 2013.</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$1,124,662 for fiscal 2014 compared to $864,000 during fiscal 2013 for an effective rate of 16.9% and 15.4%,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Income tax expense was calculated based on management’s estimate of NTIC’s annual effective income tax rate. NTIC’s annual effective income tax rate during fiscal 2014 and fiscal 2013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ind w:right="460"/>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volatility of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strengthening of the U.S. Dollar compared to the Euro and other foreign currencies during fiscal 2014 compared to fiscal 2013</w:t>
      </w:r>
      <w:r>
        <w:rPr>
          <w:rFonts w:ascii="Arial" w:cs="Arial" w:eastAsia="Arial" w:hAnsi="Arial"/>
          <w:sz w:val="17"/>
          <w:szCs w:val="17"/>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2015, NTIC’s working capital was $15,603,771, including $2,623,981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$2,027,441 in available for sale securities, compared to working capital of $17,853,311, including $2,477,017 in cash and cash equivalents as of August 31, 2014 and $5,519,766 in available for sale securities.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August 31, 2015,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August 31, 2015, NTIC was in compliance with all debt covenants.</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January 5, 2015, PNC Bank extended the maturity date of the line of credit from January 7, 2015 to January 7, 2016 under substantially similar terms, and waived a technical covenant default by NTIC to deliver quarterly compliance certificates. It is anticipated that, as historically has been the practice, the line of credit will be renewed each year for one additional year for the immediate foreseeable future.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fiscal 2016, NTIC expects to continue to invest in NTIC China, research and development and in marketing efforts and resources into the application of its corrosion prevention technology into the oil and gas industry and its Natur-Tec® bio-plastics business, the amount of these various investments is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ind w:right="20"/>
        <w:spacing w:after="0" w:line="253" w:lineRule="auto"/>
        <w:rPr>
          <w:sz w:val="20"/>
          <w:szCs w:val="20"/>
          <w:color w:val="auto"/>
        </w:rPr>
      </w:pPr>
      <w:r>
        <w:rPr>
          <w:rFonts w:ascii="Arial" w:cs="Arial" w:eastAsia="Arial" w:hAnsi="Arial"/>
          <w:sz w:val="18"/>
          <w:szCs w:val="18"/>
          <w:i w:val="1"/>
          <w:iCs w:val="1"/>
          <w:color w:val="auto"/>
        </w:rPr>
        <w:t xml:space="preserve">Uses of Cash and Cash Flow. </w:t>
      </w:r>
      <w:r>
        <w:rPr>
          <w:rFonts w:ascii="Arial" w:cs="Arial" w:eastAsia="Arial" w:hAnsi="Arial"/>
          <w:sz w:val="18"/>
          <w:szCs w:val="18"/>
          <w:color w:val="auto"/>
        </w:rPr>
        <w:t>Net cash used in operating activities during fiscal 2015 was $755,544, which resulted principally from NTIC’s equity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joint ventures and increases in receivables, inventories and prepaid expenses and a decrease in accrued liabilities and income taxes payable, partially offset by NTIC’s net income, dividends received from joint ventures, expensing of fair value of stock options vested, depreciation and amortization. Net cash provided by operating activities during fiscal 2014 was $7,422,912, which resulted principally from NTIC’s net income, dividends received from joint ventures, expensing of fair value of stock options vested, depreciation and amortization, partially offset by NTIC’s equity in income from joint ventures and increases in receivables, inventories and prepaid expenses and a decrease in accrued liabilities. Net cash provided by operating activities during fiscal 2013 was $1,910,702, which resulted principally from NTIC’s net income, dividends received from joint ventures, depreciation and amortization, partially offset by NTIC’s equity in income from joint ventures and increases in receivables and inventories and a decrease in accounts payables, accrued liabilities and income taxes payable.</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NTIC experienced an increase in receivables and an increase in inventory as of August 31, 2015 compared to August 31, 2014 due to the increase in sales and a desire to stock more products to shorten lead times and anticipate customer demand. Trade receivables excluding joint ventures as of August 31, 2015 increased $699,088 compared to August 31, 2014, primarily related to miscellaneous differences in the timing of collections and the increase in sales.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trade receivables excluding joint ventures balances as of August 31, 2015 decreased two days to an average of 50 days from balances outstanding from these customers as of August 31, 2014.</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Outstanding trade receivables from joint ventures as of August 31, 2015 decreased $305,909 compared to August 31, 2014 primarily due to the decrease in sales to joint ventures due to the anticipated liquidation of Tianjin Zerust. There was an increase of outstanding balances from trade receivables from joint ventures as of August 31, 2015 of two days from an average of 91 days from balances outstanding from these customers compared to August 31, 2014. The significant average days outstanding of trade receivables from joint ventures as of August 31, 2015 were primarily due to the receivable balance at NTIC’s joint venture in South Korea and Tianjin Zerust. Because of the lack of financial and other information received from Tianjin Zerust, it is possible that if and when financial and other information is received from Tianjin Zerust that NTIC may need to recognize an impairment charge on its receivable from Tianjin Zerust. NTIC estimates that its maximum exposure in terms of an impairment charge on this receivable would be approximately $114,000.</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ind w:right="20"/>
        <w:spacing w:after="0" w:line="308" w:lineRule="auto"/>
        <w:rPr>
          <w:sz w:val="20"/>
          <w:szCs w:val="20"/>
          <w:color w:val="auto"/>
        </w:rPr>
      </w:pPr>
      <w:r>
        <w:rPr>
          <w:rFonts w:ascii="Arial" w:cs="Arial" w:eastAsia="Arial" w:hAnsi="Arial"/>
          <w:sz w:val="17"/>
          <w:szCs w:val="17"/>
          <w:color w:val="auto"/>
        </w:rPr>
        <w:t>Outstanding receivables for services provided to joint ventures as of August 31, 2015 decreased $1,163,737 compared to August 31, 2014, which resulted in a decrease of 18 days of fees receivable outstanding as of August 31, 2015 to an average of 104 days compared to August 31, 2014.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investing activities during fiscal 2015 was $1,901,224, which was primarily the result of cash provided by the sale of available for sale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securities, partially offset by additions to property and equipment and additions to patents. Net cash used in investing activities for fiscal 2014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$7,457,380, which was primarily the result of cash used to purchase available for sale securities, additions to property and equipment and additions to patents.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for fiscal 2013 was $3,025,187, which was comprised of the effect of the NTI Asean consolidation on cash, partially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offset by additions to property and equipment and additions to patents.</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used in financing activities for fiscal 2015 was $874,652, which resulted from a dividend paid to a non-controlling interest, partially offset by proceeds from stock option exercises and NTIC’s employee stock purchase plan. Net cash used in financing activities for fiscal 2014 was $1,814,418, which resulted from a dividend paid to a non-controlling interest and repayment of the bank loan for NTIC’s corporate headquarters building, and partially offset by proceeds from NTIC’s employee stock purchase plan and stock option exercises. Net cash used in financing activities for fiscal 2013 was $1,563,867, which resulted from a dividend received by non-controlling interest and principal payments on the bank loan for NTIC’s corporate headquarters building, partially offset by proceeds from option exercises and NTIC’s employee stock purchase plan.</w:t>
      </w:r>
    </w:p>
    <w:p>
      <w:pPr>
        <w:spacing w:after="0" w:line="17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August 31, 2015, up to $2,975,654 in shares of NTIC common stock remained available for repurchase under NTIC’s stock repurchase program.</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$1,438,919 on capital expenditures during fiscal 2015 which related primarily to the purchase of new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the expansion of its lab capabilities. NTIC expects to spend an aggregate of approximately $200,000 to $400,000 on capital expenditures during fiscal 2016, which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Set forth below is information concerning NTIC’s known contractual obligations as of August 31, 2015 that are fixed and determinable by year starting with the twelve months ending August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Payments Due By Period</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Less than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More than</w:t>
            </w:r>
          </w:p>
        </w:tc>
      </w:tr>
      <w:tr>
        <w:trPr>
          <w:trHeight w:val="234"/>
        </w:trPr>
        <w:tc>
          <w:tcPr>
            <w:tcW w:w="41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ind w:left="22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obligations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2015,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75"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19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2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See Note 16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wholly-owned subsidiary, Northern Technologies Holding Company, LLC, its wholly-owned subsidiary, NTIC (Shanghai) Co., Ltd., and NTIC’s majority-owned subsidiary in Brazil, Zerust Prevenção de Corrosão S.A., NTIC’s majority-owned holding company, NTI Asean LLC, and NTIC’s majority-owned subsidiary in India, Northern Technologies India Private Limited. NTIC’s consolidated financial statements do not include the accounts of any of its joint ventures.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$20,544,238 as of August 31, 2015 and $22,961,989 as of August 31, 2014.</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$40,000 as of August 31, 2015 and August 31, 2014.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(excluding NTIC China, Zerust Brazil, Natur-Tec India, NTI Asean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2015, NTIC had no borrowings under the line of credit.</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95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638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540" w:type="dxa"/>
            <w:vAlign w:val="bottom"/>
            <w:gridSpan w:val="8"/>
          </w:tcPr>
          <w:p>
            <w:pPr>
              <w:spacing w:after="0"/>
              <w:rPr>
                <w:sz w:val="20"/>
                <w:szCs w:val="20"/>
                <w:color w:val="auto"/>
              </w:rPr>
            </w:pPr>
            <w:r>
              <w:rPr>
                <w:rFonts w:ascii="Arial" w:cs="Arial" w:eastAsia="Arial" w:hAnsi="Arial"/>
                <w:sz w:val="18"/>
                <w:szCs w:val="18"/>
                <w:color w:val="auto"/>
              </w:rPr>
              <w:t>The following items are included herein:</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Page</w:t>
            </w:r>
          </w:p>
        </w:tc>
      </w:tr>
      <w:tr>
        <w:trPr>
          <w:trHeight w:val="412"/>
        </w:trPr>
        <w:tc>
          <w:tcPr>
            <w:tcW w:w="954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sz w:val="24"/>
                <w:szCs w:val="24"/>
                <w:color w:val="auto"/>
              </w:rPr>
            </w:pPr>
          </w:p>
        </w:tc>
        <w:tc>
          <w:tcPr>
            <w:tcW w:w="34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Balance Sheets as of August 31, 2015 and 2014</w:t>
              </w:r>
            </w:hyperlink>
          </w:p>
        </w:tc>
        <w:tc>
          <w:tcPr>
            <w:tcW w:w="5100" w:type="dxa"/>
            <w:vAlign w:val="bottom"/>
            <w:gridSpan w:val="5"/>
          </w:tcPr>
          <w:p>
            <w:pPr>
              <w:spacing w:after="0"/>
              <w:rPr>
                <w:sz w:val="17"/>
                <w:szCs w:val="17"/>
                <w:color w:val="auto"/>
              </w:rPr>
            </w:pPr>
          </w:p>
        </w:tc>
        <w:tc>
          <w:tcPr>
            <w:tcW w:w="17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63</w:t>
              </w:r>
            </w:hyperlink>
          </w:p>
        </w:tc>
      </w:tr>
      <w:tr>
        <w:trPr>
          <w:trHeight w:val="196"/>
        </w:trPr>
        <w:tc>
          <w:tcPr>
            <w:tcW w:w="954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years ended August 31, 2015, 2014 and 2013</w:t>
              </w:r>
            </w:hyperlink>
          </w:p>
        </w:tc>
        <w:tc>
          <w:tcPr>
            <w:tcW w:w="188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8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Comprehensive Income (Loss) for the years ended August 31, 2015, 2014 and 2013</w:t>
              </w:r>
            </w:hyperlink>
          </w:p>
        </w:tc>
        <w:tc>
          <w:tcPr>
            <w:tcW w:w="146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65</w:t>
              </w:r>
            </w:hyperlink>
          </w:p>
        </w:tc>
      </w:tr>
      <w:tr>
        <w:trPr>
          <w:trHeight w:val="196"/>
        </w:trPr>
        <w:tc>
          <w:tcPr>
            <w:tcW w:w="6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Equity for the years ended August 31, 2015, 2014 and 2013</w:t>
              </w:r>
            </w:hyperlink>
          </w:p>
        </w:tc>
        <w:tc>
          <w:tcPr>
            <w:tcW w:w="3200" w:type="dxa"/>
            <w:vAlign w:val="bottom"/>
            <w:gridSpan w:val="4"/>
          </w:tcPr>
          <w:p>
            <w:pPr>
              <w:spacing w:after="0"/>
              <w:rPr>
                <w:sz w:val="17"/>
                <w:szCs w:val="17"/>
                <w:color w:val="auto"/>
              </w:rPr>
            </w:pPr>
          </w:p>
        </w:tc>
        <w:tc>
          <w:tcPr>
            <w:tcW w:w="17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66</w:t>
              </w:r>
            </w:hyperlink>
          </w:p>
        </w:tc>
      </w:tr>
      <w:tr>
        <w:trPr>
          <w:trHeight w:val="196"/>
        </w:trPr>
        <w:tc>
          <w:tcPr>
            <w:tcW w:w="67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 for the years ended August 31, 2015, 2014 and 2013</w:t>
              </w:r>
            </w:hyperlink>
          </w:p>
        </w:tc>
        <w:tc>
          <w:tcPr>
            <w:tcW w:w="2840" w:type="dxa"/>
            <w:vAlign w:val="bottom"/>
            <w:gridSpan w:val="2"/>
          </w:tcPr>
          <w:p>
            <w:pPr>
              <w:spacing w:after="0"/>
              <w:rPr>
                <w:sz w:val="17"/>
                <w:szCs w:val="17"/>
                <w:color w:val="auto"/>
              </w:rPr>
            </w:pPr>
          </w:p>
        </w:tc>
        <w:tc>
          <w:tcPr>
            <w:tcW w:w="17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6380" w:type="dxa"/>
            <w:vAlign w:val="bottom"/>
            <w:gridSpan w:val="7"/>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68-89</w:t>
              </w:r>
            </w:hyperlink>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Northern Technologies International Corporation and Subsidiaries as of August 31, 2015 and 2014, and the related consolidated statements of operations, comprehensive income (loss), equity and cash flows for the years ended August 31, 2015, 2014 and 2013. We also have audited Northern Technologies International Corporation and Subsidiaries’ internal control over financial reporting as of August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(2013 framework). These consolidated financial statements are the responsibility of the company’s management. Our responsibility is to express an opinion on these consolidated financial statements and an opinion on the company’s internal control over financial reporting based on our audits.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 the overall consolidated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Northern Technologies International Corporation and Subsidiaries as of August 31, 2015 and 2014 and the results of their operations and their cash flows for the years ended August 31, 2015, 2014 and 2013, in conformity with accounting principles generally accepted in the United States of America. Also in our opinion, Northern Technologies International Corporation and Subsidiaries maintained, in all material respects, effective internal control over financial reporting as of August 31, 2015,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(2013 framework).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 AUGUST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0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August 31, 2015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2014</w:t>
            </w:r>
          </w:p>
        </w:tc>
      </w:tr>
      <w:tr>
        <w:trPr>
          <w:trHeight w:val="224"/>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2,623,981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2,477,017</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2,027,441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5,519,766</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2"/>
        </w:trPr>
        <w:tc>
          <w:tcPr>
            <w:tcW w:w="8060" w:type="dxa"/>
            <w:vAlign w:val="bottom"/>
          </w:tcPr>
          <w:p>
            <w:pPr>
              <w:ind w:left="540"/>
              <w:spacing w:after="0" w:line="201" w:lineRule="exact"/>
              <w:rPr>
                <w:sz w:val="20"/>
                <w:szCs w:val="20"/>
                <w:color w:val="auto"/>
              </w:rPr>
            </w:pPr>
            <w:r>
              <w:rPr>
                <w:rFonts w:ascii="Arial" w:cs="Arial" w:eastAsia="Arial" w:hAnsi="Arial"/>
                <w:sz w:val="18"/>
                <w:szCs w:val="18"/>
                <w:color w:val="auto"/>
                <w:w w:val="96"/>
              </w:rPr>
              <w:t>Trade excluding joint ventures, less allowance for doubtful accounts of $40,000 at both August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8060" w:type="dxa"/>
            <w:vAlign w:val="bottom"/>
          </w:tcPr>
          <w:p>
            <w:pPr>
              <w:ind w:left="720"/>
              <w:spacing w:after="0"/>
              <w:rPr>
                <w:sz w:val="20"/>
                <w:szCs w:val="20"/>
                <w:color w:val="auto"/>
              </w:rPr>
            </w:pPr>
            <w:r>
              <w:rPr>
                <w:rFonts w:ascii="Arial" w:cs="Arial" w:eastAsia="Arial" w:hAnsi="Arial"/>
                <w:sz w:val="18"/>
                <w:szCs w:val="18"/>
                <w:color w:val="auto"/>
              </w:rPr>
              <w:t>2015 and 2014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4,027,167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3,596,247</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951,286</w:t>
            </w: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1,449,162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2,612,899</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7,468,441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5,961,399</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411,226</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789,364</w:t>
            </w:r>
          </w:p>
        </w:tc>
      </w:tr>
      <w:tr>
        <w:trPr>
          <w:trHeight w:val="21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19,275,612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22,319,966</w:t>
            </w: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joint ventures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Investments at carrying value (Note 8)</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Patents and trademarks,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Total other assets</w:t>
      </w:r>
    </w:p>
    <w:p>
      <w:pPr>
        <w:spacing w:after="0" w:line="23"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7,293,163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6,477,987</w:t>
            </w:r>
          </w:p>
        </w:tc>
      </w:tr>
      <w:tr>
        <w:trPr>
          <w:trHeight w:val="6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20,544,238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22,961,989</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1,883,668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1,176,012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943,279</w:t>
            </w: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1,262,219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1,197,700</w:t>
            </w:r>
          </w:p>
        </w:tc>
      </w:tr>
      <w:tr>
        <w:trPr>
          <w:trHeight w:val="230"/>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130,736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156,854</w:t>
            </w:r>
          </w:p>
        </w:tc>
      </w:tr>
      <w:tr>
        <w:trPr>
          <w:trHeight w:val="210"/>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24,996,873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25,259,822</w:t>
            </w: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51,565,648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54,057,775</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-1448435</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-1156970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-882650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-608330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-325120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2,101,175</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2,225,029</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Payroll and related benefits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1,056,257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1,847,246</w:t>
            </w:r>
          </w:p>
        </w:tc>
      </w:tr>
      <w:tr>
        <w:trPr>
          <w:trHeight w:val="230"/>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514,409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394,380</w:t>
            </w:r>
          </w:p>
        </w:tc>
      </w:tr>
      <w:tr>
        <w:trPr>
          <w:trHeight w:val="210"/>
        </w:trPr>
        <w:tc>
          <w:tcPr>
            <w:tcW w:w="806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3,671,841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4,466,655</w:t>
            </w:r>
          </w:p>
        </w:tc>
      </w:tr>
      <w:tr>
        <w:trPr>
          <w:trHeight w:val="216"/>
        </w:trPr>
        <w:tc>
          <w:tcPr>
            <w:tcW w:w="8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COMMITMENTS AND CONTINGENCIES (Note 18)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060" w:type="dxa"/>
            <w:vAlign w:val="bottom"/>
          </w:tcPr>
          <w:p>
            <w:pPr>
              <w:ind w:left="540"/>
              <w:spacing w:after="0"/>
              <w:rPr>
                <w:sz w:val="20"/>
                <w:szCs w:val="20"/>
                <w:color w:val="auto"/>
              </w:rPr>
            </w:pPr>
            <w:r>
              <w:rPr>
                <w:rFonts w:ascii="Arial" w:cs="Arial" w:eastAsia="Arial" w:hAnsi="Arial"/>
                <w:sz w:val="18"/>
                <w:szCs w:val="18"/>
                <w:color w:val="auto"/>
              </w:rPr>
              <w:t>4,539,045 and 4,504,552, respectively</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90,781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90,092</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13,441,264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12,676,546</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34,522,871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32,733,300</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(3,180,811)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253,925</w:t>
            </w:r>
          </w:p>
        </w:tc>
      </w:tr>
      <w:tr>
        <w:trPr>
          <w:trHeight w:val="210"/>
        </w:trPr>
        <w:tc>
          <w:tcPr>
            <w:tcW w:w="8060" w:type="dxa"/>
            <w:vAlign w:val="bottom"/>
          </w:tcPr>
          <w:p>
            <w:pPr>
              <w:ind w:left="540"/>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44,874,105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45,753,863</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3,019,702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3,837,257</w:t>
            </w:r>
          </w:p>
        </w:tc>
      </w:tr>
      <w:tr>
        <w:trPr>
          <w:trHeight w:val="210"/>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47,893,807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49,591,120</w:t>
            </w:r>
          </w:p>
        </w:tc>
      </w:tr>
      <w:tr>
        <w:trPr>
          <w:trHeight w:val="223"/>
        </w:trPr>
        <w:tc>
          <w:tcPr>
            <w:tcW w:w="8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51,565,648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54,057,775</w:t>
            </w:r>
          </w:p>
        </w:tc>
      </w:tr>
      <w:tr>
        <w:trPr>
          <w:trHeight w:val="20"/>
        </w:trPr>
        <w:tc>
          <w:tcPr>
            <w:tcW w:w="8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27,491,392</w:t>
            </w:r>
          </w:p>
        </w:tc>
        <w:tc>
          <w:tcPr>
            <w:tcW w:w="60" w:type="dxa"/>
            <w:vAlign w:val="bottom"/>
          </w:tcPr>
          <w:p>
            <w:pPr>
              <w:spacing w:after="0"/>
              <w:rPr>
                <w:sz w:val="18"/>
                <w:szCs w:val="18"/>
                <w:color w:val="auto"/>
              </w:rPr>
            </w:pP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23,601,514</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19,724,205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2,831,301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3,224,594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2,777,659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4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30,322,693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26,826,108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22,501,864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20,555,932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17,803,153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15,473,212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9,766,761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9,022,955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7,028,652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4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5,936,565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5,920,603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5,237,711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5,715,491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8,142,863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4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11,652,056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14,063,466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12,590,691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5,820,748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5,221,738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6,531,576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5,393,531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4,605,979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incurred in support of joint ventures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1,867,570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1,408,014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4,047,279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4,368,752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3,815,515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18,267,173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16,392,035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14,654,367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3,151,644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6,694,386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4,964,976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670,126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3,166,034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6,663,074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5,617,501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648,674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1,124,662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2,517,360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5,538,412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727,789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1,432,040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1,789,571</w:t>
            </w: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4,106,372</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24"/>
                <w:szCs w:val="24"/>
                <w:color w:val="auto"/>
              </w:rPr>
            </w:pP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0.38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4,521,788</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4,454,836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4,421,636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4,649,060</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4,579,498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4,475,895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63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2,517,360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5,538,412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4,753,501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(LOSS) INCOME – FOREIGN CURRENCY</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TRANSLATION ADJUSTMENT</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(1,318,345)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5,488,949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4,810,410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COMPREHENSIVE (LOSS) INCOME ATTRIBUTABLE TO NON-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CONTROLLING INTERESTS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326,820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1,444,813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1,404,938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COMPREHENSIVE (LOSS) INCOME ATTRIBUTABLE TO NTIC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(1,645,165)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4,044,136</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3,405,472</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NORTHERN TECHNOLOGIES INTERNATIONAL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 YEARS ENDED AUGUST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880" w:type="dxa"/>
            <w:vAlign w:val="bottom"/>
            <w:gridSpan w:val="4"/>
          </w:tcPr>
          <w:p>
            <w:pPr>
              <w:ind w:left="30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Paid-in</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Retained</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0"/>
              </w:rPr>
              <w:t>Comprehensive</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Controlling</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Earnings</w:t>
            </w:r>
          </w:p>
        </w:tc>
        <w:tc>
          <w:tcPr>
            <w:tcW w:w="12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Interests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AT AUGUST 31, 2012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4,403,656</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$ 88,073</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5"/>
              </w:rPr>
              <w:t>$ 11,130,966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$25,260,034</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277,583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187,913</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$36,944,569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22,171</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207,910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employee stock purchase plan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6,209</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306,451</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Effect of subsidiary consolidation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3,960,920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(1,752,842)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(1,752,842)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38,578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1,404,938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4,810,410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BALANCE AT AUGUST 31, 2013</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4,432,036</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$ 88,641</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$ 11,701,942</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$28,626,928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316,161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3,800,929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$44,534,601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69,184</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478,076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employee stock purchase plan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3,332</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454,015</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(1,440,000)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31,515</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4,106,372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(62,236)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1,444,813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5,488,949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4,504,552</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$ 90,092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$12,676,546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$32,733,300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253,925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3,837,257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$49,591,120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32,874</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235,432</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employee stock purchase plan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3,206</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Stock option expense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495,683</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by non-controlling interest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(1,160,000)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15,625</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5"/>
              </w:rPr>
              <w:t>(3,434,736)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4,539,045</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$ 90,781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13,441,264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34,522,871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5"/>
              </w:rPr>
              <w:t>(3,180,811)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3,019,702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$47,893,807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AUGUST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2,517,360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5,538,412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4,753,501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Adjustments to reconcile net income to net cash (used in) provided by operating</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495,683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454,015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530,449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87,663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(5,936,565)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(5,920,603)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(5,237,711)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2,983,338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7,431,306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131,777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allowance on doubtful accounts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Gain on sale of equipment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31,708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Trade, joint ventures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305,909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1,163,737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(258,329)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150,764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365,797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31,667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(755,544)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7,422,912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1,910,702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joint venture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(1,438,919)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(1,602,441)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subsidiary consolidation on cash</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(6,019,766)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available for sale securities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3,492,325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1,901,224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by non-controlling interest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36,956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57,981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236,089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(874,651)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(1,814,418)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146,964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(1,837,239)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2,477,017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4,314,258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2,623,981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2,477,017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AUGUST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Northern Technologies International Corporation and Subsidiaries (the Company) develops and markets proprietary environmentally</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products and services in over 60 countries either directly or via a network of joint ventures, independent distributors and agents. The Company’s</w:t>
      </w:r>
    </w:p>
    <w:p>
      <w:pPr>
        <w:ind w:right="60"/>
        <w:spacing w:after="0" w:line="264" w:lineRule="auto"/>
        <w:rPr>
          <w:sz w:val="20"/>
          <w:szCs w:val="20"/>
          <w:color w:val="auto"/>
        </w:rPr>
      </w:pPr>
      <w:r>
        <w:rPr>
          <w:rFonts w:ascii="Arial" w:cs="Arial" w:eastAsia="Arial" w:hAnsi="Arial"/>
          <w:sz w:val="16"/>
          <w:szCs w:val="16"/>
          <w:color w:val="auto"/>
        </w:rPr>
        <w:t>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compostable (fully biodegradable) polymer resins and finished products under the Natur-Tec® brand. These products are intended to reduce the Company’s customers’ carbon footprint and provide environmentally sound disposal options. The Company’s two operating segments are ZERUST and Nature-Tec.</w:t>
      </w:r>
    </w:p>
    <w:p>
      <w:pPr>
        <w:spacing w:after="0" w:line="184"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The Company participates, either directly or indirectly, in 19 active joint venture arrangements in North America, Europe and Asia. Each of these joint ventures generally manufactures and markets products in the geographic territory to which it is assigned. While most of the Company’s joint ventures</w:t>
      </w:r>
    </w:p>
    <w:p>
      <w:pPr>
        <w:ind w:right="20"/>
        <w:spacing w:after="0" w:line="224" w:lineRule="auto"/>
        <w:rPr>
          <w:sz w:val="20"/>
          <w:szCs w:val="20"/>
          <w:color w:val="auto"/>
        </w:rPr>
      </w:pPr>
      <w:r>
        <w:rPr>
          <w:rFonts w:ascii="Arial" w:cs="Arial" w:eastAsia="Arial" w:hAnsi="Arial"/>
          <w:sz w:val="18"/>
          <w:szCs w:val="18"/>
          <w:color w:val="auto"/>
        </w:rPr>
        <w:t>exclusively sell rust and corrosion inhibiting products, some of the joint ventures also sell the Company’s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NTIC evaluates its voting and variable interests in entities on a qualitative and quantitative basis. NTIC consolidates entities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wholly-owned subsidiaries, Northern Technologies Holding Company, LLC, NTIC (Shanghai) Co., Ltd. (NTIC China), Northern Technologies India Private Limited (Natur-Tec India), NTIC’s majority-owned subsidiary in Brazil, Zerust Prevenção de Corrosão S.A.(Zerust Brazil) and NTIC’s majority-owned holding company, NTI Asean LLC (NTI Asean). NTIC’s consolidated financial statements do not include the accounts of any of its joint ventures.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 The Company owns 85% of Zerust Brazil, 60% of NTI Asean, and 90% of Natur-Tec India. The remaining ownership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non-controlling interests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the Company maintains control.</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Reclassification - </w:t>
      </w:r>
      <w:r>
        <w:rPr>
          <w:rFonts w:ascii="Arial" w:cs="Arial" w:eastAsia="Arial" w:hAnsi="Arial"/>
          <w:sz w:val="16"/>
          <w:szCs w:val="16"/>
          <w:color w:val="auto"/>
        </w:rPr>
        <w:t>Certain amounts reported in the consolidated financial statements for the previous reporting periods have been reclassified to conform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period presentation. Beginning in the second quarter of fiscal 2015, the Company reclassified dividends received from equity method from investing cash flows to operating cash flows on the consolidated statements of cash flows for all periods presented. The classification reflects the continued profitability and returns of those profits to its owners, including the Company. The reclassification did not impact net income or equity.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2" w:name="page73"/>
    <w:bookmarkEnd w:id="72"/>
    <w:p>
      <w:pPr>
        <w:ind w:right="6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from the sale of its products when persuasive evidence of an arrangement exists, the product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delivered, the price is fixed and determinable and collection of the resulting receivable is reasonably assured. These criteria are met when risk of loss and title pass to the customer, distributor or joint venture entity. Sales and use taxes charged to customers are reported on a net basis.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Trade Receivable </w:t>
      </w:r>
      <w:r>
        <w:rPr>
          <w:rFonts w:ascii="Arial" w:cs="Arial" w:eastAsia="Arial" w:hAnsi="Arial"/>
          <w:sz w:val="17"/>
          <w:szCs w:val="17"/>
          <w:color w:val="auto"/>
        </w:rPr>
        <w:t>– Payment terms for the Company’s unaffiliated customers are determined based on credit risk and vary by customer.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$40,000 at August 31, 2015 and 2014.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following table is a tabular rollforward for the allowance for doubtful accounts: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August 31, 2012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60" w:type="dxa"/>
            <w:vAlign w:val="bottom"/>
          </w:tcPr>
          <w:p>
            <w:pPr>
              <w:ind w:left="360"/>
              <w:spacing w:after="0"/>
              <w:rPr>
                <w:sz w:val="20"/>
                <w:szCs w:val="20"/>
                <w:color w:val="auto"/>
              </w:rPr>
            </w:pPr>
            <w:r>
              <w:rPr>
                <w:rFonts w:ascii="Arial" w:cs="Arial" w:eastAsia="Arial" w:hAnsi="Arial"/>
                <w:sz w:val="18"/>
                <w:szCs w:val="18"/>
                <w:color w:val="auto"/>
              </w:rPr>
              <w:t>Bad debts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provision</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August 31, 2013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Adjustment to provision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(87,000)</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August 31, 2014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60" w:type="dxa"/>
            <w:vAlign w:val="bottom"/>
          </w:tcPr>
          <w:p>
            <w:pPr>
              <w:ind w:left="360"/>
              <w:spacing w:after="0"/>
              <w:rPr>
                <w:sz w:val="20"/>
                <w:szCs w:val="20"/>
                <w:color w:val="auto"/>
              </w:rPr>
            </w:pPr>
            <w:r>
              <w:rPr>
                <w:rFonts w:ascii="Arial" w:cs="Arial" w:eastAsia="Arial" w:hAnsi="Arial"/>
                <w:sz w:val="18"/>
                <w:szCs w:val="18"/>
                <w:color w:val="auto"/>
              </w:rPr>
              <w:t>Bad debts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provision</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August 31, 2015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Trade Receivables from Joint Ventures </w:t>
      </w:r>
      <w:r>
        <w:rPr>
          <w:rFonts w:ascii="Arial" w:cs="Arial" w:eastAsia="Arial" w:hAnsi="Arial"/>
          <w:sz w:val="17"/>
          <w:szCs w:val="17"/>
          <w:color w:val="auto"/>
        </w:rPr>
        <w:t>– Trade receivables from joint ventures arise from sales of products the Company makes to its joint ventures.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terms 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an allowance for doubtful accounts related to its joint venture receivables is not necessary at August 31, 2015 or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3" w:name="page74"/>
    <w:bookmarkEnd w:id="73"/>
    <w:p>
      <w:pPr>
        <w:spacing w:after="0" w:line="272" w:lineRule="auto"/>
        <w:rPr>
          <w:sz w:val="20"/>
          <w:szCs w:val="20"/>
          <w:color w:val="auto"/>
        </w:rPr>
      </w:pPr>
      <w:r>
        <w:rPr>
          <w:rFonts w:ascii="Arial" w:cs="Arial" w:eastAsia="Arial" w:hAnsi="Arial"/>
          <w:sz w:val="17"/>
          <w:szCs w:val="17"/>
          <w:i w:val="1"/>
          <w:iCs w:val="1"/>
          <w:color w:val="auto"/>
        </w:rPr>
        <w:t xml:space="preserve">Fees for Services Provided to Joint Ventures – </w:t>
      </w:r>
      <w:r>
        <w:rPr>
          <w:rFonts w:ascii="Arial" w:cs="Arial" w:eastAsia="Arial" w:hAnsi="Arial"/>
          <w:sz w:val="17"/>
          <w:szCs w:val="17"/>
          <w:color w:val="auto"/>
        </w:rPr>
        <w:t>The Company provides services to its joint ventures including consulting, legal, travel, insurance, technical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Available for Sale Securities </w:t>
      </w:r>
      <w:r>
        <w:rPr>
          <w:rFonts w:ascii="Arial" w:cs="Arial" w:eastAsia="Arial" w:hAnsi="Arial"/>
          <w:sz w:val="18"/>
          <w:szCs w:val="18"/>
          <w:color w:val="auto"/>
        </w:rPr>
        <w:t>– Available for sale securities are recorded at fair value. Unrealized holding gains and losses on available for sale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7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Buildings and improvements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Machinery and equipment (years)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recorded at cost and are adjusted for dividends, distributed and undistributed earnings and losses, changes in foreign currency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have positive equity as of August 31, 2015 and 2014.</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4" w:name="page75"/>
    <w:bookmarkEnd w:id="74"/>
    <w:p>
      <w:pPr>
        <w:ind w:right="40"/>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utilizes the liability method of accounting for income taxes which requires an asset and liability approach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reporting for income taxes.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would make an adjustment to the deferred tax asset valuation allowance, which would reduce the provision for income taxes.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Foreign Currency Translation (Accumulated Other Comprehensive Income (Loss)) </w:t>
      </w:r>
      <w:r>
        <w:rPr>
          <w:rFonts w:ascii="Arial" w:cs="Arial" w:eastAsia="Arial" w:hAnsi="Arial"/>
          <w:sz w:val="17"/>
          <w:szCs w:val="17"/>
          <w:color w:val="auto"/>
        </w:rPr>
        <w:t>- The functional currency of NTIC China, Zerust Brazil, Natur-Tec India</w:t>
      </w:r>
      <w:r>
        <w:rPr>
          <w:rFonts w:ascii="Arial" w:cs="Arial" w:eastAsia="Arial" w:hAnsi="Arial"/>
          <w:sz w:val="17"/>
          <w:szCs w:val="17"/>
          <w:i w:val="1"/>
          <w:iCs w:val="1"/>
          <w:color w:val="auto"/>
        </w:rPr>
        <w:t xml:space="preserve"> </w:t>
      </w:r>
      <w:r>
        <w:rPr>
          <w:rFonts w:ascii="Arial" w:cs="Arial" w:eastAsia="Arial" w:hAnsi="Arial"/>
          <w:sz w:val="17"/>
          <w:szCs w:val="17"/>
          <w:color w:val="auto"/>
        </w:rPr>
        <w:t>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(excluding NTIC China, Zerust Brazil, Natur-Tec India, NTI Asean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from joint ventures reflected in the Company’s consolidated statements of operations.</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carrying value of cash and cash equivalents, available for sale securities, short-term accounts and notes receivable,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payable, trade accounts payables, and other accrued expenses approximate fair value because of the short maturity of those instruments. The fair value of the Company’s former long-term debt approximated the carrying values based upon current market rates of interest.</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 The costs related to product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are the net amount after being reduced by reimbursements related to certain research and development contracts. The Company accrues proceeds received under such contracts and offsets research and development expenses incurred in equal installments over the timelines associated with completion of the contracts’ specific objectives and milestones.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The Company issues new shares of common stock upon the exercise of stock options.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 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 if any.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NTI ASEAN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 Asean is an entity that holds investments in eight entities operating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6" w:name="page77"/>
    <w:bookmarkEnd w:id="76"/>
    <w:p>
      <w:pPr>
        <w:jc w:val="both"/>
        <w:ind w:right="40"/>
        <w:spacing w:after="0" w:line="264" w:lineRule="auto"/>
        <w:rPr>
          <w:sz w:val="20"/>
          <w:szCs w:val="20"/>
          <w:color w:val="auto"/>
        </w:rPr>
      </w:pPr>
      <w:r>
        <w:rPr>
          <w:rFonts w:ascii="Arial" w:cs="Arial" w:eastAsia="Arial" w:hAnsi="Arial"/>
          <w:sz w:val="18"/>
          <w:szCs w:val="18"/>
          <w:color w:val="auto"/>
        </w:rPr>
        <w:t>Prior to September 1, 2012, the Company owned 50% of the equity and voting rights of NTI Asean and accounted for its investment using the equity method, as its ownership was considered to be less than a majority. On September 1, 2012, the Company obtained an additional 10% ownership interest in NTI Asean in exchange for a license agreement, and thereafter holds 60% of the equity and voting rights of NTI Asean.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ectPr>
          <w:pgSz w:w="11900" w:h="16838" w:orient="portrait"/>
          <w:cols w:equalWidth="0" w:num="1">
            <w:col w:w="11420"/>
          </w:cols>
          <w:pgMar w:left="240" w:top="692" w:right="239" w:bottom="1440" w:gutter="0" w:footer="0" w:header="0"/>
        </w:sectPr>
      </w:pPr>
    </w:p>
    <w:p>
      <w:pPr>
        <w:spacing w:after="0" w:line="1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assets acquired (liabilities assumed):</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Accounts receivables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in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Value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760" w:hanging="76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1,613,000</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1,342,000</w:t>
      </w:r>
    </w:p>
    <w:p>
      <w:pPr>
        <w:spacing w:after="0" w:line="32"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4,967,000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03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8" w:lineRule="exact"/>
        <w:rPr>
          <w:sz w:val="20"/>
          <w:szCs w:val="20"/>
          <w:color w:val="auto"/>
        </w:rPr>
      </w:pPr>
    </w:p>
    <w:p>
      <w:pPr>
        <w:ind w:left="760" w:hanging="760"/>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7,922,000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033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580"/>
          </w:cols>
          <w:pgMar w:left="240" w:top="692" w:right="239" w:bottom="1440" w:gutter="0" w:footer="0" w:header="0"/>
          <w:type w:val="continuous"/>
        </w:sectPr>
      </w:pP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Purchase price: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non-controlling interest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Value of previously held interest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consisted of the following:</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jc w:val="both"/>
        <w:ind w:left="1520"/>
        <w:spacing w:after="0"/>
        <w:tabs>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-121920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724662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jc w:val="both"/>
        <w:ind w:left="1520"/>
        <w:spacing w:after="0"/>
        <w:tabs>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31750</wp:posOffset>
            </wp:positionV>
            <wp:extent cx="10033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August 31, 2015</w:t>
      </w:r>
      <w:r>
        <w:rPr>
          <w:sz w:val="20"/>
          <w:szCs w:val="20"/>
          <w:color w:val="auto"/>
        </w:rPr>
        <w:tab/>
      </w:r>
      <w:r>
        <w:rPr>
          <w:rFonts w:ascii="Arial" w:cs="Arial" w:eastAsia="Arial" w:hAnsi="Arial"/>
          <w:sz w:val="16"/>
          <w:szCs w:val="16"/>
          <w:b w:val="1"/>
          <w:bCs w:val="1"/>
          <w:color w:val="auto"/>
        </w:rPr>
        <w:t>August 31, 2014</w:t>
      </w:r>
    </w:p>
    <w:p>
      <w:pPr>
        <w:spacing w:after="0" w:line="45" w:lineRule="exact"/>
        <w:rPr>
          <w:sz w:val="20"/>
          <w:szCs w:val="20"/>
          <w:color w:val="auto"/>
        </w:rPr>
      </w:pPr>
    </w:p>
    <w:p>
      <w:pPr>
        <w:sectPr>
          <w:pgSz w:w="11900" w:h="16838" w:orient="portrait"/>
          <w:cols w:equalWidth="0" w:num="2">
            <w:col w:w="7600" w:space="720"/>
            <w:col w:w="31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0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Production materials</w:t>
            </w: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line="192" w:lineRule="exact"/>
              <w:rPr>
                <w:sz w:val="20"/>
                <w:szCs w:val="20"/>
                <w:color w:val="auto"/>
              </w:rPr>
            </w:pPr>
            <w:r>
              <w:rPr>
                <w:rFonts w:ascii="Arial" w:cs="Arial" w:eastAsia="Arial" w:hAnsi="Arial"/>
                <w:sz w:val="18"/>
                <w:szCs w:val="18"/>
                <w:color w:val="auto"/>
              </w:rPr>
              <w:t>1,445,014</w:t>
            </w:r>
          </w:p>
        </w:tc>
        <w:tc>
          <w:tcPr>
            <w:tcW w:w="24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line="192" w:lineRule="exact"/>
              <w:rPr>
                <w:sz w:val="20"/>
                <w:szCs w:val="20"/>
                <w:color w:val="auto"/>
              </w:rPr>
            </w:pPr>
            <w:r>
              <w:rPr>
                <w:rFonts w:ascii="Arial" w:cs="Arial" w:eastAsia="Arial" w:hAnsi="Arial"/>
                <w:sz w:val="18"/>
                <w:szCs w:val="18"/>
                <w:color w:val="auto"/>
              </w:rPr>
              <w:t>1,242,649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6,023,427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4,718,750</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7,468,441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5,961,399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August 31, 2015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6,180,089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5,695,268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4,090,619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3,713,145</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10,581,073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9,718,778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(3,287,910)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(3,240,791)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7,293,163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6,477,987</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6. PATENTS AND TRADEMARKS, NET</w:t>
            </w: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August 31, 2015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2,440,022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2,287,840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(1,177,803)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(1,090,140)</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1,262,219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1,197,700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77" w:name="page78"/>
    <w:bookmarkEnd w:id="77"/>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was $87,663, $86,652 and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$71,405 for the years ended August 31, 2015, 2014 and 2013, respectively. Amortization expense is estimated to approximate $80,000 in each of the next five fiscal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JOINT VENTURES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Financial information of the Company’s joint venture in Germany, Excor Korrosionsschutz – Technologien und Produkte GmbH (EXCOR), China, Tianjin-Zerust Anticorrosion Co., Ltd. (Tianjin Zerust) (See Note 8), Finland and India for the periods for which it was accounted for under the equity method and all of the Company’s other joint ventures, are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EXCOR</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49,295,116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22,620,323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4,035,396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1,415,816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52,853,938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24,606,880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4,328,196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2,197,047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21,721,815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12,288,383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3,360,142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1,030,718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1,215,139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155,168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39,350,417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21,246,738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3,142,310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13,376,908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share of joint ventures’ equity</w:t>
            </w: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20,544,238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11,571,361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1,482,342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840,263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6,650,272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of joint ventures’ undistributed earnings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18,483,377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11,540,456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617,520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820,263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5,505,138</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Fiscal Year Ended August 31, 2015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EXCOR</w:t>
            </w: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99,026,251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36,872,664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7,000,715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3,557,252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51,595,620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48,397,318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19,993,763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3,292,243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1,858,310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11,849,107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8,201,659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2,145,369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share of equity in income from joint ventures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5,936,565</w:t>
            </w: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4,091,608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492,379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263,749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1,088,829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August 31, 2014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Tianjin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Zerust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61,491,957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24,361,157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9,774,680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27,356,120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65,466,964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26,652,165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9,793,803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29,020,996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17,542,634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3,512,143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4,438,380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9,592,111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1,929,488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868,377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1,061,111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45,994,842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23,140,022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4,487,046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18,367,775</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22,961,989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11,570,013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2,243,524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9,148,452</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20,540,523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11,539,108</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2,193,524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6,807,891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1"/>
              </w:rPr>
              <w:t>Fiscal Year Ended August 31, 2014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Tianjin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Zerust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118,848,890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39,944,812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15,920,685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62,983,393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56,960,918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21,045,091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7,463,168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28,452,659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11,842,338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7,906,693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1,274,487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2,661,158</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joint ventures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5,920,603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3,950,915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626,763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1,342,925</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1"/>
              </w:rPr>
              <w:t>Fiscal Year Ended August 31, 2013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Tianjin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Zerust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113,189,068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36,476,544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15,161,289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61,551,235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52,058,609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19,470,322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7,153,395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25,434,891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10,650,542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7,009,897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1,157,995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2,482,650</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income from joint ventures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5,237,711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3,507,057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579,376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1,151,278</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2, 2015, the Company announced that, effective as of December 31, 2014, the Company terminated its joint venture agreements with its previous joint venture in China, Tianjin Zerust, and began the process of liquidating the joint venture entity. Since December 31, 2014, the Company has conducted business in China through a wholly-owned subsidiary, NTIC (Shanghai) Co. Ltd. As of December 31, 2014, the Company started recognizing Tianjin Zerust based on its carrying value instead of the equity method since the Company no longer expects to significantly affect the joint venture’s operations or decision making. See Note 8.</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Because of the lack of financial and other information received from Tianjin Zerust, it is possible that receipt of future financial and other information from Tianjin Zerust may impact the realization of NTIC’s investment in and realization of a receivable from Tianjin Zerust. The last time the Company received financial information from Tianjin Zerust was through November 2014. NTIC as of August 31, 2015, does not believe there are any triggering events that would require an impairment test. NTIC’s current net investment is approximately $1.1 million, which is 60% of its investment in Tianjin Zerust, which was $1,883,668 as of August 31, 2015. The Company will continue to evaluate the realization of this asset on an ongoing basis and adjust if necessary.</w:t>
      </w:r>
    </w:p>
    <w:p>
      <w:pPr>
        <w:spacing w:after="0" w:line="15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did not make any joint venture investments during fiscal 2015. On May 31, 2014, NTI Asean purchased the other 50% ownership interest in its joint venture in Singapore for $110,988. The Company did not make any other joint venture investments during fiscal 2014.</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30, 2013, the Company agreed to sell its indirect ownership interest in Mütec GmbH (Mütec), the Company’s former joint venture in Germany which manufactures proprietary electronic sensing instruments. In connection with the transaction, the owner of Mütec borrowed $168,000 from the Company to be repaid over four years with no interest. As of August 31, 2015 and August 31, 2014, $125,891 and $156,854 was due to the Company related to this transaction.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8. CHINA OPERATIONS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accumulated other comprehensive income. Any declines in the fair value are reflected as adjustments to the carrying value. No such adjustments were recorded during fiscal 2015.</w:t>
      </w:r>
    </w:p>
    <w:p>
      <w:pPr>
        <w:sectPr>
          <w:pgSz w:w="11900" w:h="16838" w:orient="portrait"/>
          <w:cols w:equalWidth="0" w:num="1">
            <w:col w:w="11400"/>
          </w:cols>
          <w:pgMar w:left="240" w:top="688" w:right="2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Tianjin Zerust is as follows: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Equity method investment – August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 fiscal year 2015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translation gains 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Investment at carrying value – August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Investment</w:t>
      </w:r>
    </w:p>
    <w:p>
      <w:pPr>
        <w:spacing w:after="0" w:line="27" w:lineRule="exact"/>
        <w:rPr>
          <w:sz w:val="20"/>
          <w:szCs w:val="20"/>
          <w:color w:val="auto"/>
        </w:rPr>
      </w:pPr>
    </w:p>
    <w:p>
      <w:pPr>
        <w:ind w:left="760" w:hanging="760"/>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2,243,524</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132,824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(492,680)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033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 w:lineRule="exact"/>
        <w:rPr>
          <w:sz w:val="20"/>
          <w:szCs w:val="20"/>
          <w:color w:val="auto"/>
        </w:rPr>
      </w:pPr>
    </w:p>
    <w:p>
      <w:pPr>
        <w:ind w:left="760" w:hanging="76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1,883,668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0033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0033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560"/>
          </w:cols>
          <w:pgMar w:left="240" w:top="688" w:right="259" w:bottom="1440" w:gutter="0" w:footer="0" w:header="0"/>
          <w:type w:val="continuous"/>
        </w:sectPr>
      </w:pP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incurred expenses of $1,642,258 during fiscal 2015 related to the termination of the joint venture agreement with Tianjin Zerust, the initiation of the liquidation of Tianjin Zerust and the formation and initial operation of NTIC China. Such expenses consisted primarily of legal expenses and personnel expenses associated with the establishment of the subsidiary and the hiring of new personnel. These expenses are recorded as operating expenses on the consolidated statements of operations and are partially off-set by the gross margin contribution from sales of NTIC China.</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lack of financial and other information received from Tianjin Zerust, it is possible that if and when financial and other information is received from Tianjin Zerust that the Company may need to recognize an impairment charge on its investment in Tianjin Zerust. The Company estimates that its maximum exposure in terms of an impairment charge would be approximately $1,130,200 on its investment in Tianjin Zerust, or 60% of the entire investment at carrying value, which was $1,883,668 as of August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CORPORATE DEBT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a revolving line of credit with PNC Bank of $3,000,000. No amounts were outstanding under the line of credit as of both August 31, 2015 and August 31, 2014.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The line of credit matures on January 7, 2016</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August 31, 2015, the Company was in compliance with all debt covenants.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January 15, 2015, the Company’s Board of Directors authorized the repurchase of up to $3,000,000 in shares of common stock through open market purchases or unsolicited or solicited privately negotiated transactions. This program has no expiration date but may be terminated by the Company’s Board of Directors at any time. As of August 31, 2015, up to $2,975,654 in shares of common stock remained available for repurchase under the stock repurchase program. During fiscal 2015, the Company repurchased and retired 1,587 shares of its common stock at a price of $15.34 per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 options to purchase shares of common stock were exercised during fiscal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1100"/>
              <w:spacing w:after="0"/>
              <w:rPr>
                <w:sz w:val="20"/>
                <w:szCs w:val="20"/>
                <w:color w:val="auto"/>
              </w:rPr>
            </w:pPr>
            <w:r>
              <w:rPr>
                <w:rFonts w:ascii="Arial" w:cs="Arial" w:eastAsia="Arial" w:hAnsi="Arial"/>
                <w:sz w:val="18"/>
                <w:szCs w:val="18"/>
                <w:b w:val="1"/>
                <w:bCs w:val="1"/>
                <w:color w:val="auto"/>
              </w:rPr>
              <w:t>Options</w:t>
            </w:r>
          </w:p>
        </w:tc>
        <w:tc>
          <w:tcPr>
            <w:tcW w:w="580" w:type="dxa"/>
            <w:vAlign w:val="bottom"/>
          </w:tcPr>
          <w:p>
            <w:pPr>
              <w:spacing w:after="0"/>
              <w:rPr>
                <w:sz w:val="18"/>
                <w:szCs w:val="18"/>
                <w:color w:val="auto"/>
              </w:rPr>
            </w:pPr>
          </w:p>
        </w:tc>
        <w:tc>
          <w:tcPr>
            <w:tcW w:w="224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880" w:type="dxa"/>
            <w:vAlign w:val="bottom"/>
            <w:gridSpan w:val="2"/>
          </w:tcPr>
          <w:p>
            <w:pPr>
              <w:ind w:left="1040"/>
              <w:spacing w:after="0"/>
              <w:rPr>
                <w:sz w:val="20"/>
                <w:szCs w:val="20"/>
                <w:color w:val="auto"/>
              </w:rPr>
            </w:pPr>
            <w:r>
              <w:rPr>
                <w:rFonts w:ascii="Arial" w:cs="Arial" w:eastAsia="Arial" w:hAnsi="Arial"/>
                <w:sz w:val="18"/>
                <w:szCs w:val="18"/>
                <w:b w:val="1"/>
                <w:bCs w:val="1"/>
                <w:color w:val="auto"/>
              </w:rPr>
              <w:t>Exercised</w:t>
            </w:r>
          </w:p>
        </w:tc>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18,000</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1"/>
              </w:rPr>
              <w:t>9.76</w:t>
            </w:r>
          </w:p>
        </w:tc>
      </w:tr>
      <w:tr>
        <w:trPr>
          <w:trHeight w:val="216"/>
        </w:trPr>
        <w:tc>
          <w:tcPr>
            <w:tcW w:w="2840" w:type="dxa"/>
            <w:vAlign w:val="bottom"/>
          </w:tcPr>
          <w:p>
            <w:pPr>
              <w:jc w:val="center"/>
              <w:spacing w:after="0"/>
              <w:rPr>
                <w:sz w:val="20"/>
                <w:szCs w:val="20"/>
                <w:color w:val="auto"/>
              </w:rPr>
            </w:pPr>
            <w:r>
              <w:rPr>
                <w:rFonts w:ascii="Arial" w:cs="Arial" w:eastAsia="Arial" w:hAnsi="Arial"/>
                <w:sz w:val="18"/>
                <w:szCs w:val="18"/>
                <w:color w:val="auto"/>
                <w:w w:val="87"/>
              </w:rPr>
              <w:t>18,000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jc w:val="center"/>
              <w:ind w:right="430"/>
              <w:spacing w:after="0"/>
              <w:rPr>
                <w:sz w:val="20"/>
                <w:szCs w:val="20"/>
                <w:color w:val="auto"/>
              </w:rPr>
            </w:pPr>
            <w:r>
              <w:rPr>
                <w:rFonts w:ascii="Arial" w:cs="Arial" w:eastAsia="Arial" w:hAnsi="Arial"/>
                <w:sz w:val="18"/>
                <w:szCs w:val="18"/>
                <w:color w:val="auto"/>
                <w:w w:val="91"/>
              </w:rPr>
              <w:t>7.65</w:t>
            </w:r>
          </w:p>
        </w:tc>
      </w:tr>
      <w:tr>
        <w:trPr>
          <w:trHeight w:val="216"/>
        </w:trPr>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2,333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88"/>
              </w:rPr>
              <w:t>10.20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2015 was $297,696.</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45,067 shares of its common stock to various employees and directors during fiscal 2015. The weighted average per share exercise price of the stock options is $20.10, which was equal to the fair market value of the Company’s common stock on the date of grant.</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2014, the Company did not purchase or retire any shares of its common stock. The following stock options to purchase shares of common stock were exercised during fiscal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1100"/>
              <w:spacing w:after="0"/>
              <w:rPr>
                <w:sz w:val="20"/>
                <w:szCs w:val="20"/>
                <w:color w:val="auto"/>
              </w:rPr>
            </w:pPr>
            <w:r>
              <w:rPr>
                <w:rFonts w:ascii="Arial" w:cs="Arial" w:eastAsia="Arial" w:hAnsi="Arial"/>
                <w:sz w:val="18"/>
                <w:szCs w:val="18"/>
                <w:b w:val="1"/>
                <w:bCs w:val="1"/>
                <w:color w:val="auto"/>
              </w:rPr>
              <w:t>Options</w:t>
            </w:r>
          </w:p>
        </w:tc>
        <w:tc>
          <w:tcPr>
            <w:tcW w:w="580" w:type="dxa"/>
            <w:vAlign w:val="bottom"/>
          </w:tcPr>
          <w:p>
            <w:pPr>
              <w:spacing w:after="0"/>
              <w:rPr>
                <w:sz w:val="18"/>
                <w:szCs w:val="18"/>
                <w:color w:val="auto"/>
              </w:rPr>
            </w:pPr>
          </w:p>
        </w:tc>
        <w:tc>
          <w:tcPr>
            <w:tcW w:w="2240" w:type="dxa"/>
            <w:vAlign w:val="bottom"/>
          </w:tcPr>
          <w:p>
            <w:pPr>
              <w:ind w:left="50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2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Exercised</w:t>
            </w:r>
          </w:p>
        </w:tc>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60,000</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1"/>
              </w:rPr>
              <w:t>7.65</w:t>
            </w:r>
          </w:p>
        </w:tc>
      </w:tr>
      <w:tr>
        <w:trPr>
          <w:trHeight w:val="230"/>
        </w:trPr>
        <w:tc>
          <w:tcPr>
            <w:tcW w:w="2840" w:type="dxa"/>
            <w:vAlign w:val="bottom"/>
          </w:tcPr>
          <w:p>
            <w:pPr>
              <w:jc w:val="center"/>
              <w:spacing w:after="0"/>
              <w:rPr>
                <w:sz w:val="20"/>
                <w:szCs w:val="20"/>
                <w:color w:val="auto"/>
              </w:rPr>
            </w:pPr>
            <w:r>
              <w:rPr>
                <w:rFonts w:ascii="Arial" w:cs="Arial" w:eastAsia="Arial" w:hAnsi="Arial"/>
                <w:sz w:val="18"/>
                <w:szCs w:val="18"/>
                <w:color w:val="auto"/>
                <w:w w:val="87"/>
              </w:rPr>
              <w:t>14,000</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tcPr>
          <w:p>
            <w:pPr>
              <w:jc w:val="center"/>
              <w:ind w:right="430"/>
              <w:spacing w:after="0"/>
              <w:rPr>
                <w:sz w:val="20"/>
                <w:szCs w:val="20"/>
                <w:color w:val="auto"/>
              </w:rPr>
            </w:pPr>
            <w:r>
              <w:rPr>
                <w:rFonts w:ascii="Arial" w:cs="Arial" w:eastAsia="Arial" w:hAnsi="Arial"/>
                <w:sz w:val="18"/>
                <w:szCs w:val="18"/>
                <w:color w:val="auto"/>
                <w:w w:val="91"/>
              </w:rPr>
              <w:t>8.57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2014 was $890,955.</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56,373 shares of its common stock to various employees and directors during fiscal 2014. The weighted average per share exercise price of the stock options is $14.83, which was equal to the fair market value of the Company’s common stock on the date of grant.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2013, the Company did not purchase or retire any shares of its common stock. The following stock options to purchase shares of common stock were exercised during fiscal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ind w:left="1100"/>
              <w:spacing w:after="0"/>
              <w:rPr>
                <w:sz w:val="20"/>
                <w:szCs w:val="20"/>
                <w:color w:val="auto"/>
              </w:rPr>
            </w:pPr>
            <w:r>
              <w:rPr>
                <w:rFonts w:ascii="Arial" w:cs="Arial" w:eastAsia="Arial" w:hAnsi="Arial"/>
                <w:sz w:val="18"/>
                <w:szCs w:val="18"/>
                <w:b w:val="1"/>
                <w:bCs w:val="1"/>
                <w:color w:val="auto"/>
              </w:rPr>
              <w:t>Options</w:t>
            </w:r>
          </w:p>
        </w:tc>
        <w:tc>
          <w:tcPr>
            <w:tcW w:w="580" w:type="dxa"/>
            <w:vAlign w:val="bottom"/>
          </w:tcPr>
          <w:p>
            <w:pPr>
              <w:spacing w:after="0"/>
              <w:rPr>
                <w:sz w:val="18"/>
                <w:szCs w:val="18"/>
                <w:color w:val="auto"/>
              </w:rPr>
            </w:pPr>
          </w:p>
        </w:tc>
        <w:tc>
          <w:tcPr>
            <w:tcW w:w="224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880" w:type="dxa"/>
            <w:vAlign w:val="bottom"/>
            <w:gridSpan w:val="2"/>
          </w:tcPr>
          <w:p>
            <w:pPr>
              <w:ind w:left="1040"/>
              <w:spacing w:after="0"/>
              <w:rPr>
                <w:sz w:val="20"/>
                <w:szCs w:val="20"/>
                <w:color w:val="auto"/>
              </w:rPr>
            </w:pPr>
            <w:r>
              <w:rPr>
                <w:rFonts w:ascii="Arial" w:cs="Arial" w:eastAsia="Arial" w:hAnsi="Arial"/>
                <w:sz w:val="18"/>
                <w:szCs w:val="18"/>
                <w:b w:val="1"/>
                <w:bCs w:val="1"/>
                <w:color w:val="auto"/>
              </w:rPr>
              <w:t>Exercised</w:t>
            </w:r>
          </w:p>
        </w:tc>
        <w:tc>
          <w:tcPr>
            <w:tcW w:w="580" w:type="dxa"/>
            <w:vAlign w:val="bottom"/>
          </w:tcPr>
          <w:p>
            <w:pPr>
              <w:spacing w:after="0"/>
              <w:rPr>
                <w:sz w:val="20"/>
                <w:szCs w:val="20"/>
                <w:color w:val="auto"/>
              </w:rPr>
            </w:pPr>
          </w:p>
        </w:tc>
        <w:tc>
          <w:tcPr>
            <w:tcW w:w="224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25,140</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1"/>
              </w:rPr>
              <w:t>9.95</w:t>
            </w:r>
          </w:p>
        </w:tc>
      </w:tr>
      <w:tr>
        <w:trPr>
          <w:trHeight w:val="216"/>
        </w:trPr>
        <w:tc>
          <w:tcPr>
            <w:tcW w:w="28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jc w:val="center"/>
              <w:ind w:right="430"/>
              <w:spacing w:after="0"/>
              <w:rPr>
                <w:sz w:val="20"/>
                <w:szCs w:val="20"/>
                <w:color w:val="auto"/>
              </w:rPr>
            </w:pPr>
            <w:r>
              <w:rPr>
                <w:rFonts w:ascii="Arial" w:cs="Arial" w:eastAsia="Arial" w:hAnsi="Arial"/>
                <w:sz w:val="18"/>
                <w:szCs w:val="18"/>
                <w:color w:val="auto"/>
                <w:w w:val="88"/>
              </w:rPr>
              <w:t>12.84</w:t>
            </w:r>
          </w:p>
        </w:tc>
      </w:tr>
      <w:tr>
        <w:trPr>
          <w:trHeight w:val="216"/>
        </w:trPr>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1"/>
              </w:rPr>
              <w:t>8.57</w:t>
            </w:r>
          </w:p>
        </w:tc>
      </w:tr>
      <w:tr>
        <w:trPr>
          <w:trHeight w:val="216"/>
        </w:trPr>
        <w:tc>
          <w:tcPr>
            <w:tcW w:w="2840" w:type="dxa"/>
            <w:vAlign w:val="bottom"/>
          </w:tcPr>
          <w:p>
            <w:pPr>
              <w:jc w:val="center"/>
              <w:spacing w:after="0"/>
              <w:rPr>
                <w:sz w:val="20"/>
                <w:szCs w:val="20"/>
                <w:color w:val="auto"/>
              </w:rPr>
            </w:pPr>
            <w:r>
              <w:rPr>
                <w:rFonts w:ascii="Arial" w:cs="Arial" w:eastAsia="Arial" w:hAnsi="Arial"/>
                <w:sz w:val="18"/>
                <w:szCs w:val="18"/>
                <w:color w:val="auto"/>
                <w:w w:val="88"/>
              </w:rPr>
              <w:t>1,734</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jc w:val="center"/>
              <w:ind w:right="430"/>
              <w:spacing w:after="0"/>
              <w:rPr>
                <w:sz w:val="20"/>
                <w:szCs w:val="20"/>
                <w:color w:val="auto"/>
              </w:rPr>
            </w:pPr>
            <w:r>
              <w:rPr>
                <w:rFonts w:ascii="Arial" w:cs="Arial" w:eastAsia="Arial" w:hAnsi="Arial"/>
                <w:sz w:val="18"/>
                <w:szCs w:val="18"/>
                <w:color w:val="auto"/>
                <w:w w:val="91"/>
              </w:rPr>
              <w:t>7.65</w:t>
            </w:r>
          </w:p>
        </w:tc>
      </w:tr>
      <w:tr>
        <w:trPr>
          <w:trHeight w:val="216"/>
        </w:trPr>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1"/>
              </w:rPr>
              <w:t>9.76</w:t>
            </w:r>
          </w:p>
        </w:tc>
      </w:tr>
      <w:tr>
        <w:trPr>
          <w:trHeight w:val="230"/>
        </w:trPr>
        <w:tc>
          <w:tcPr>
            <w:tcW w:w="2840" w:type="dxa"/>
            <w:vAlign w:val="bottom"/>
          </w:tcPr>
          <w:p>
            <w:pPr>
              <w:jc w:val="center"/>
              <w:spacing w:after="0"/>
              <w:rPr>
                <w:sz w:val="20"/>
                <w:szCs w:val="20"/>
                <w:color w:val="auto"/>
              </w:rPr>
            </w:pPr>
            <w:r>
              <w:rPr>
                <w:rFonts w:ascii="Arial" w:cs="Arial" w:eastAsia="Arial" w:hAnsi="Arial"/>
                <w:sz w:val="18"/>
                <w:szCs w:val="18"/>
                <w:color w:val="auto"/>
                <w:w w:val="93"/>
              </w:rPr>
              <w:t>666</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tcPr>
          <w:p>
            <w:pPr>
              <w:jc w:val="center"/>
              <w:ind w:right="430"/>
              <w:spacing w:after="0"/>
              <w:rPr>
                <w:sz w:val="20"/>
                <w:szCs w:val="20"/>
                <w:color w:val="auto"/>
              </w:rPr>
            </w:pPr>
            <w:r>
              <w:rPr>
                <w:rFonts w:ascii="Arial" w:cs="Arial" w:eastAsia="Arial" w:hAnsi="Arial"/>
                <w:sz w:val="18"/>
                <w:szCs w:val="18"/>
                <w:color w:val="auto"/>
                <w:w w:val="91"/>
              </w:rPr>
              <w:t>7.75</w:t>
            </w: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total intrinsic value of the options exercised during fiscal 2013 was $45,533.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Options to purchase shares of common stock of 45,067 and 22,000 were excluded from the computation of common share equivalents for fiscal 2015, 2014 and 2013, respectively, as the exercise prices of such options were greater than market price of a share of common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The following is a reconciliation of the earnings per share computation: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August 31,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August 31, 2014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August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1,789,571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4,106,372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3,366,894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Basic-weighted shares outstanding</w:t>
            </w:r>
          </w:p>
        </w:tc>
        <w:tc>
          <w:tcPr>
            <w:tcW w:w="16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4,521,788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4,454,836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4,421,636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127,272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124,662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Diluted – weighted shares outstanding</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4,649,060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4,579,498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4,475,895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 these plans.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August 31, 2015, only stock options and stock bonuses had been granted under the 2007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fair value of option grants is determined at date of grant, using the Black-Scholes option pricing model with the assumptions listed below. The volatility factor used in the Black-Scholes option pricing model is based on historical stock price fluctuations and the risk-free interest rate is based on U.S. treasury rates appropriate for the expected term. Dividend yield and expected volatility are estimated using historical amounts that are anticipated to be consistent with current values. Expected life of the option is based on the life of the option agreements. Based on these valuations, the Company recognized compensation expense of $495,683, $454,015 and $306,451 during fiscal 2015, 2014 and 2013, respectively, related to the options that vested during such time period. As of August 31, 2015, the total compensation cost for non-vested options not yet recognized in the Company’s consolidated statements of operations was $259,585. Stock-based compensation expense of $179,785 and $79,800 is expected to be recognized during fiscal 2016 and 2017, based on outstanding options as of August 31, 2015. Future option grants will impact the compensation expense recognized. Stock-based compensation expense is included in general and administrative expense on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will continue to review this estimate in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ind w:left="160"/>
              <w:spacing w:after="0"/>
              <w:rPr>
                <w:sz w:val="20"/>
                <w:szCs w:val="20"/>
                <w:color w:val="auto"/>
              </w:rPr>
            </w:pPr>
            <w:r>
              <w:rPr>
                <w:rFonts w:ascii="Arial" w:cs="Arial" w:eastAsia="Arial" w:hAnsi="Arial"/>
                <w:sz w:val="18"/>
                <w:szCs w:val="18"/>
                <w:b w:val="1"/>
                <w:bCs w:val="1"/>
                <w:color w:val="auto"/>
              </w:rPr>
              <w:t>August 31, 2015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August 31, 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August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48.0%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0.71%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6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6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August 31, 2012</w:t>
            </w:r>
          </w:p>
        </w:tc>
        <w:tc>
          <w:tcPr>
            <w:tcW w:w="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203,873</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118,294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Outstanding at August 31, 2013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260,627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granted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terminated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45,067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Options terminated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Outstanding at August 31, 2015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241,734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677,475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Exercisable at August 31, 2015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160,453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577,528</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4" w:name="page85"/>
    <w:bookmarkEnd w:id="84"/>
    <w:p>
      <w:pPr>
        <w:ind w:right="20"/>
        <w:spacing w:after="0" w:line="342" w:lineRule="auto"/>
        <w:rPr>
          <w:sz w:val="20"/>
          <w:szCs w:val="20"/>
          <w:color w:val="auto"/>
        </w:rPr>
      </w:pPr>
      <w:r>
        <w:rPr>
          <w:rFonts w:ascii="Arial" w:cs="Arial" w:eastAsia="Arial" w:hAnsi="Arial"/>
          <w:sz w:val="16"/>
          <w:szCs w:val="16"/>
          <w:color w:val="auto"/>
        </w:rPr>
        <w:t>The weighted average per share fair value of options granted during fiscal 2015, 2014 and 2013 was $11.58, $8.57, and $5.53, respectively. The weighted average remaining contractual life of the options outstanding as of August 31, 2015, 2014 and 2013 was 6.60 years, 5.92 and 4.52 years,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business segment information in fiscal 2015, 2014 and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Fiscal 2015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Fiscal 2014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Fiscal 2013</w:t>
            </w:r>
          </w:p>
        </w:tc>
      </w:tr>
      <w:tr>
        <w:trPr>
          <w:trHeight w:val="237"/>
        </w:trPr>
        <w:tc>
          <w:tcPr>
            <w:tcW w:w="64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26,042,909</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23,845,288</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20,457,198</w:t>
            </w:r>
          </w:p>
        </w:tc>
      </w:tr>
      <w:tr>
        <w:trPr>
          <w:trHeight w:val="270"/>
        </w:trPr>
        <w:tc>
          <w:tcPr>
            <w:tcW w:w="640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2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4,279,784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2,980,820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2,044,666</w:t>
            </w: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30,322,693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26,826,108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r>
      <w:tr>
        <w:trPr>
          <w:trHeight w:val="432"/>
        </w:trPr>
        <w:tc>
          <w:tcPr>
            <w:tcW w:w="8040" w:type="dxa"/>
            <w:vAlign w:val="bottom"/>
            <w:gridSpan w:val="3"/>
          </w:tcPr>
          <w:p>
            <w:pPr>
              <w:spacing w:after="0"/>
              <w:rPr>
                <w:sz w:val="20"/>
                <w:szCs w:val="20"/>
                <w:color w:val="auto"/>
              </w:rPr>
            </w:pPr>
            <w:r>
              <w:rPr>
                <w:rFonts w:ascii="Arial" w:cs="Arial" w:eastAsia="Arial" w:hAnsi="Arial"/>
                <w:sz w:val="18"/>
                <w:szCs w:val="18"/>
                <w:color w:val="auto"/>
                <w:w w:val="93"/>
              </w:rPr>
              <w:t>The following table sets forth the Company’s cost of goods sold for fiscal 2015, 2014 and 2013 by segment: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Fiscal 2015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Fiscal 2014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Fiscal 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7"/>
        </w:trPr>
        <w:tc>
          <w:tcPr>
            <w:tcW w:w="6400" w:type="dxa"/>
            <w:vAlign w:val="bottom"/>
          </w:tcPr>
          <w:p>
            <w:pPr>
              <w:ind w:left="180"/>
              <w:spacing w:after="0" w:line="256" w:lineRule="exact"/>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14,399,456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12,941,234</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11,408,604</w:t>
            </w:r>
          </w:p>
        </w:tc>
      </w:tr>
      <w:tr>
        <w:trPr>
          <w:trHeight w:val="257"/>
        </w:trPr>
        <w:tc>
          <w:tcPr>
            <w:tcW w:w="6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Natur-Tec</w:t>
            </w:r>
            <w:r>
              <w:rPr>
                <w:rFonts w:ascii="Arial" w:cs="Arial" w:eastAsia="Arial" w:hAnsi="Arial"/>
                <w:sz w:val="29"/>
                <w:szCs w:val="29"/>
                <w:color w:val="auto"/>
                <w:vertAlign w:val="superscript"/>
              </w:rPr>
              <w:t>®</w:t>
            </w: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3,232,353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2,234,736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1,731,398</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2,924,124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2,627,183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2,333,210</w:t>
            </w:r>
          </w:p>
        </w:tc>
      </w:tr>
      <w:tr>
        <w:trPr>
          <w:trHeight w:val="21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cost of goods sold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20,555,932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17,803,153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15,473,212</w:t>
            </w:r>
          </w:p>
        </w:tc>
      </w:tr>
    </w:tbl>
    <w:p>
      <w:pPr>
        <w:spacing w:after="0" w:line="229" w:lineRule="exact"/>
        <w:rPr>
          <w:sz w:val="20"/>
          <w:szCs w:val="20"/>
          <w:color w:val="auto"/>
        </w:rPr>
      </w:pPr>
    </w:p>
    <w:p>
      <w:pPr>
        <w:ind w:left="300" w:right="440" w:hanging="292"/>
        <w:spacing w:after="0" w:line="277"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Net sales by geographic location were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Fiscal Year Ended August 31,</w:t>
            </w:r>
          </w:p>
        </w:tc>
        <w:tc>
          <w:tcPr>
            <w:tcW w:w="1180" w:type="dxa"/>
            <w:vAlign w:val="bottom"/>
            <w:tcBorders>
              <w:bottom w:val="single" w:sz="8" w:color="auto"/>
            </w:tcBorders>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19,329,979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17,908,563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16,027,619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Outside the U.S.A. to:</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3,240,980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3,348,158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2,952,612</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7,751,734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5,569,387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3,521,633</w:t>
            </w:r>
          </w:p>
        </w:tc>
      </w:tr>
      <w:tr>
        <w:trPr>
          <w:trHeight w:val="223"/>
        </w:trPr>
        <w:tc>
          <w:tcPr>
            <w:tcW w:w="6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30,322,693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26,826,108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2015, 2014 and 2013, respectively,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 of Total Fees</w:t>
            </w:r>
          </w:p>
        </w:tc>
      </w:tr>
      <w:tr>
        <w:trPr>
          <w:trHeight w:val="216"/>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for Services</w:t>
            </w:r>
          </w:p>
        </w:tc>
      </w:tr>
      <w:tr>
        <w:trPr>
          <w:trHeight w:val="216"/>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r>
      <w:tr>
        <w:trPr>
          <w:trHeight w:val="216"/>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Ventures in Fiscal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Ventures in Fiscal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Ventures in Fiscal</w:t>
            </w:r>
          </w:p>
        </w:tc>
      </w:tr>
      <w:tr>
        <w:trPr>
          <w:trHeight w:val="234"/>
        </w:trPr>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2015</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2014</w:t>
            </w:r>
          </w:p>
        </w:tc>
        <w:tc>
          <w:tcPr>
            <w:tcW w:w="10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Fiscal 2013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873,400</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1,032,234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1,004,958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600,255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652,291</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525,282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599,108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669,522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723,977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Thailand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554,881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604,316</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621,807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494,080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2,118,018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2,063,369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412,608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508,705</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496,897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396,514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385,294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Sweden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323,610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440,117</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415,547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277,548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364,918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Czech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229,185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288,367</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210,827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192,539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315,916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393,307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Finland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281,620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355,391</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321,256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480,143</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407,775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339,628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5,715,491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8,142,863</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7,352,980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18"/>
        </w:trPr>
        <w:tc>
          <w:tcPr>
            <w:tcW w:w="2340" w:type="dxa"/>
            <w:vAlign w:val="bottom"/>
          </w:tcPr>
          <w:p>
            <w:pPr>
              <w:spacing w:after="0"/>
              <w:rPr>
                <w:sz w:val="20"/>
                <w:szCs w:val="20"/>
                <w:color w:val="auto"/>
              </w:rPr>
            </w:pPr>
            <w:r>
              <w:rPr>
                <w:rFonts w:ascii="Arial" w:cs="Arial" w:eastAsia="Arial" w:hAnsi="Arial"/>
                <w:sz w:val="18"/>
                <w:szCs w:val="18"/>
                <w:color w:val="auto"/>
                <w:w w:val="91"/>
              </w:rPr>
              <w:t>See note 7 for additional details</w:t>
            </w:r>
          </w:p>
        </w:tc>
        <w:tc>
          <w:tcPr>
            <w:tcW w:w="6100" w:type="dxa"/>
            <w:vAlign w:val="bottom"/>
            <w:gridSpan w:val="11"/>
          </w:tcPr>
          <w:p>
            <w:pPr>
              <w:jc w:val="right"/>
              <w:ind w:right="450"/>
              <w:spacing w:after="0"/>
              <w:rPr>
                <w:sz w:val="20"/>
                <w:szCs w:val="20"/>
                <w:color w:val="auto"/>
              </w:rPr>
            </w:pPr>
            <w:r>
              <w:rPr>
                <w:rFonts w:ascii="Arial" w:cs="Arial" w:eastAsia="Arial" w:hAnsi="Arial"/>
                <w:sz w:val="18"/>
                <w:szCs w:val="18"/>
                <w:color w:val="auto"/>
                <w:w w:val="92"/>
              </w:rPr>
              <w:t>on geographical information regarding equity in income from joint ventures.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5480" w:type="dxa"/>
            <w:vAlign w:val="bottom"/>
            <w:gridSpan w:val="6"/>
          </w:tcPr>
          <w:p>
            <w:pPr>
              <w:spacing w:after="0"/>
              <w:rPr>
                <w:sz w:val="20"/>
                <w:szCs w:val="20"/>
                <w:color w:val="auto"/>
              </w:rPr>
            </w:pPr>
            <w:r>
              <w:rPr>
                <w:rFonts w:ascii="Arial" w:cs="Arial" w:eastAsia="Arial" w:hAnsi="Arial"/>
                <w:sz w:val="18"/>
                <w:szCs w:val="18"/>
                <w:color w:val="auto"/>
                <w:w w:val="93"/>
              </w:rPr>
              <w:t>The geographical distribution of key financial statement data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4"/>
              </w:rPr>
              <w:t>At August 31, 2015</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At August 31, 2014</w:t>
            </w:r>
          </w:p>
        </w:tc>
      </w:tr>
      <w:tr>
        <w:trPr>
          <w:trHeight w:val="210"/>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115,726</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24,766</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7,184,623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6,337,495</w:t>
            </w:r>
          </w:p>
        </w:tc>
      </w:tr>
      <w:tr>
        <w:trPr>
          <w:trHeight w:val="223"/>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7,293,163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6,477,987</w:t>
            </w:r>
          </w:p>
        </w:tc>
      </w:tr>
      <w:tr>
        <w:trPr>
          <w:trHeight w:val="20"/>
        </w:trPr>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Fiscal Year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Fiscal Year Ended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6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August 31, 2015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August 31, 2014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August 31, 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2,623,938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3,079,695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2,394,486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967,241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581,535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1,070,422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North America</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25,661,092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23,164,878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20,107,378</w:t>
            </w:r>
          </w:p>
        </w:tc>
      </w:tr>
      <w:tr>
        <w:trPr>
          <w:trHeight w:val="223"/>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30,322,693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26,826,108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22,501,864</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RESEARCH AND DEVELOPMENT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incurred $4,047,279, $4,368,752 and $3,815,515 of expense during fiscal 2015, 2014 and 2013, respectively, in connection with its research and development activities. These amounts are net of reimbursements related to certain research and development contracts. Such reimbursements totaled $0, $45,788 and $274,728 for fiscal 2015, 2014 and 2013, respectively. The net fees are accounted for in the “Research and Development Expenses” section of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$214,008, $188,207 and $175,016 for fiscal 2015,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2015, 2014 and 2013, the Company made consulting payments of $100,000 per year to Bioplastic Polymers LLC, an entity owned by Ramani Narayan, Ph.D., a director of the Company, and paid royalties of $21,327, $14,388, and $10,244, respectively, based on net sales of the Company’s bioplastics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August 31, 2015, 2014 and 2013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Fiscal Year Ended August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400" w:type="dxa"/>
            <w:vAlign w:val="bottom"/>
          </w:tcPr>
          <w:p>
            <w:pPr>
              <w:ind w:left="30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30"/>
        </w:trPr>
        <w:tc>
          <w:tcPr>
            <w:tcW w:w="64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731,000</w:t>
            </w:r>
          </w:p>
        </w:tc>
      </w:tr>
      <w:tr>
        <w:trPr>
          <w:trHeight w:val="210"/>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118,000</w:t>
            </w:r>
          </w:p>
        </w:tc>
      </w:tr>
      <w:tr>
        <w:trPr>
          <w:trHeight w:val="216"/>
        </w:trPr>
        <w:tc>
          <w:tcPr>
            <w:tcW w:w="6400" w:type="dxa"/>
            <w:vAlign w:val="bottom"/>
          </w:tcPr>
          <w:p>
            <w:pPr>
              <w:ind w:left="30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7,000</w:t>
            </w:r>
          </w:p>
        </w:tc>
      </w:tr>
      <w:tr>
        <w:trPr>
          <w:trHeight w:val="230"/>
        </w:trPr>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144,000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125,000</w:t>
            </w:r>
          </w:p>
        </w:tc>
      </w:tr>
      <w:tr>
        <w:trPr>
          <w:trHeight w:val="223"/>
        </w:trPr>
        <w:tc>
          <w:tcPr>
            <w:tcW w:w="6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649,000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1,124,000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7" w:name="page88"/>
    <w:bookmarkEnd w:id="87"/>
    <w:p>
      <w:pPr>
        <w:ind w:right="12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2015, 2014 and 2013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Fiscal Year Ended August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1,076,000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1,470,000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3,285,000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1,732,000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996,000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 tax credit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(1,937,000)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(2,524,000)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1,379,000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687,000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1,635,000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99,000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partnership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89,000</w:t>
            </w:r>
          </w:p>
        </w:tc>
      </w:tr>
      <w:tr>
        <w:trPr>
          <w:trHeight w:val="223"/>
        </w:trPr>
        <w:tc>
          <w:tcPr>
            <w:tcW w:w="6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649,000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1,124,000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864,000</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$18,483,377, $20,540,523 and $22,281,510 at August 31, 2015, 2014 and 2013, respectively. During fiscal 2015, the Company recorded deferred income tax expense of $79,000 representing foreign withholding taxes to be paid with respect to the portion of the cumulative undistributed earnings of foreign joint ventures that it determined were not essentially permanent in duration.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U.S. income tax liability after the application of foreign tax credits.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tax effect of the temporary differences and tax carryforwards comprising the net deferred taxes shown on the consolidated balance sheets at August 31, 2015 and 2014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August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Accrued bonus</w:t>
            </w:r>
          </w:p>
        </w:tc>
        <w:tc>
          <w:tcPr>
            <w:tcW w:w="29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174,000</w:t>
            </w:r>
          </w:p>
        </w:tc>
        <w:tc>
          <w:tcPr>
            <w:tcW w:w="5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Allowance for doubtful accounts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Inventory costs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other</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Other accrued expenses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joint venture expenses</w:t>
            </w:r>
          </w:p>
        </w:tc>
        <w:tc>
          <w:tcPr>
            <w:tcW w:w="26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w:t>
            </w:r>
          </w:p>
        </w:tc>
        <w:tc>
          <w:tcPr>
            <w:tcW w:w="2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424,100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789,600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Noncurrent:</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Property and equipment</w:t>
            </w:r>
          </w:p>
        </w:tc>
        <w:tc>
          <w:tcPr>
            <w:tcW w:w="2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5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Goodwill</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19,400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1,103,800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Nonqualified stock options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308,900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Capital loss carryforward</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tax credit carryforward</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4,654,800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Investment in foreign joint ventures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credit</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2,224,600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New hire retention credit</w:t>
            </w:r>
          </w:p>
        </w:tc>
        <w:tc>
          <w:tcPr>
            <w:tcW w:w="2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8,065,900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7,055,100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noncurrent</w:t>
            </w:r>
          </w:p>
        </w:tc>
        <w:tc>
          <w:tcPr>
            <w:tcW w:w="26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1,176,000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8" w:name="page89"/>
    <w:bookmarkEnd w:id="88"/>
    <w:p>
      <w:pPr>
        <w:spacing w:after="0" w:line="279" w:lineRule="auto"/>
        <w:rPr>
          <w:sz w:val="20"/>
          <w:szCs w:val="20"/>
          <w:color w:val="auto"/>
        </w:rPr>
      </w:pPr>
      <w:r>
        <w:rPr>
          <w:rFonts w:ascii="Arial" w:cs="Arial" w:eastAsia="Arial" w:hAnsi="Arial"/>
          <w:sz w:val="17"/>
          <w:szCs w:val="17"/>
          <w:color w:val="auto"/>
        </w:rPr>
        <w:t>At August 31, 2015, the Company had foreign tax credit carryforwards of approximately $4,654,800, of which approximately $187,400 will expire if not utilized by August 31, 2016. In addition, the Company had federal and state tax credit carryforwards of $2,235,200 at August 31, 2015 which begin to expire in fiscal 2019. These federal and state tax credit carryforwards consist primarily of federal and Minnesota research and development credit carryforwards. The Company also has foreign net operating loss carryforwards of $26,800 at August 31, 2015 which begin to expire in fiscal 2020.</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August 31, 2015, the Company recorded a valuation allowance of $4,654,800 with respect to the foreign tax credit carryforwards. In addition, the Company has recorded a valuation allowance of $2,335,100 with respect to federal and state tax credit carryforwards.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August 31, 2014, the Company recorded a valuation allowance of $4,141,100 with respect to the foreign tax credit carryforwards. In addition, the Company has recorded a valuation allowance of $1,919,800 with respect to federal and state tax credit carryforwards.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federal and Minnesota research and development credit carryforwards, and capital loss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table is a tabular rollforward for the valuation allowance:</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31, 2012</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4,933,100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Adjustment to valuation allowance</w:t>
            </w:r>
          </w:p>
        </w:tc>
        <w:tc>
          <w:tcPr>
            <w:tcW w:w="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31, 2013</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6,086,100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Adjustment to valuation allowance</w:t>
            </w:r>
          </w:p>
        </w:tc>
        <w:tc>
          <w:tcPr>
            <w:tcW w:w="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31, 2014</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6,113,400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Adjustment to valuation allowance</w:t>
            </w:r>
          </w:p>
        </w:tc>
        <w:tc>
          <w:tcPr>
            <w:tcW w:w="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August 31, 2015</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6,889,900</w:t>
            </w: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w w:val="97"/>
              </w:rPr>
              <w:t>Fiscal Year Ended August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balance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8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Gross unrecognized tax benefits – ending balance</w:t>
            </w:r>
          </w:p>
        </w:tc>
        <w:tc>
          <w:tcPr>
            <w:tcW w:w="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There was no liability for the payment of interest and penalties at both August 31, 2015 and August 31,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2015, the Company is no longer subject to federal, state, local, or foreign examinations by tax authorities for years prior to August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18, 2015, the Compensation Committee of the Board of Directors of the Company approved the material terms of an annual bonus plan for the Company’s executive officers as well as certain officers and employees for the fiscal year ending August 31, 2016. For fiscal 2016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2016 compared to a pre-established target EBITOI for fiscal 2016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0" w:name="page91"/>
    <w:bookmarkEnd w:id="90"/>
    <w:p>
      <w:pPr>
        <w:spacing w:after="0" w:line="254" w:lineRule="auto"/>
        <w:rPr>
          <w:sz w:val="20"/>
          <w:szCs w:val="20"/>
          <w:color w:val="auto"/>
        </w:rPr>
      </w:pPr>
      <w:r>
        <w:rPr>
          <w:rFonts w:ascii="Arial" w:cs="Arial" w:eastAsia="Arial" w:hAnsi="Arial"/>
          <w:sz w:val="18"/>
          <w:szCs w:val="18"/>
          <w:color w:val="auto"/>
        </w:rPr>
        <w:t>On August 19, 2014, the Compensation Committee of the Board of Directors of the Company approved the material terms of an annual bonus plan for the Company’s executive officers as well as certain officers and employees for the fiscal year ending August 31, 2015. For fiscal 2015 as in past years, the total amount available under the bonus plan for all plan participants, including executive officers, was dependent upon the Company’s Adjusted EBITOI. Each plan participant’s percentage of the overall bonus pool was based upon the number of plan participants, the individual’s annual base salary and the individual’s position and level of responsibility within the company. In the case of each of the Company’s executive officer participants, 75% of the amount of their individual bonus payout was determined based upon the Company’s actual EBITOI for fiscal 2015 compared to a pre-established target EBITOI for fiscal 2015 and 25% of the payout was determined based upon such executive officer’s achievement of certain pre-established individual performance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Accrued bonuses as of August 31, 2015 and 2014 were $620,000 and $1,460,000, respectively.</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Four joint ventures (consisting of the Company’s joint venture in Korea, India, Thailand and Tianjin Zerust) accounted for 67.0% of the Company’s trade joint venture receivables at August 31, 2015. Three joint ventures (consisting of the Company’s joint ventures in Korea, Thailand and Tianjin Zerust) accounted for 62.9% of the Company’s trade joint venture receivables at August 31, 2014.</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23, 2015, the Company and NTI Asean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(Tianjin Zerust). The lawsuit alleges, among other things, that Mr. Meng Tao and Xu Hui have engaged in self-dealing, usurped business opportunities, and received economic benefits that were required to go to Tianjin Zerust. As of August 31, 2015, the Company is not able to reasonably estimate the amount of any recovery to NTI Asean, if any. 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August 31, 2015,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19. STATEMENTS OF CASH FLOWS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consists of:</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tcPr>
          <w:p>
            <w:pPr>
              <w:jc w:val="center"/>
              <w:ind w:right="465"/>
              <w:spacing w:after="0"/>
              <w:rPr>
                <w:sz w:val="20"/>
                <w:szCs w:val="20"/>
                <w:color w:val="auto"/>
              </w:rPr>
            </w:pPr>
            <w:r>
              <w:rPr>
                <w:rFonts w:ascii="Arial" w:cs="Arial" w:eastAsia="Arial" w:hAnsi="Arial"/>
                <w:sz w:val="18"/>
                <w:szCs w:val="18"/>
                <w:b w:val="1"/>
                <w:bCs w:val="1"/>
                <w:color w:val="auto"/>
                <w:w w:val="90"/>
              </w:rPr>
              <w:t>Fiscal Year Ended</w:t>
            </w:r>
          </w:p>
        </w:tc>
        <w:tc>
          <w:tcPr>
            <w:tcW w:w="1240" w:type="dxa"/>
            <w:vAlign w:val="bottom"/>
          </w:tcPr>
          <w:p>
            <w:pPr>
              <w:spacing w:after="0"/>
              <w:rPr>
                <w:sz w:val="24"/>
                <w:szCs w:val="24"/>
                <w:color w:val="auto"/>
              </w:rPr>
            </w:pPr>
          </w:p>
        </w:tc>
      </w:tr>
      <w:tr>
        <w:trPr>
          <w:trHeight w:val="234"/>
        </w:trPr>
        <w:tc>
          <w:tcPr>
            <w:tcW w:w="64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665"/>
              <w:spacing w:after="0"/>
              <w:rPr>
                <w:sz w:val="20"/>
                <w:szCs w:val="20"/>
                <w:color w:val="auto"/>
              </w:rPr>
            </w:pPr>
            <w:r>
              <w:rPr>
                <w:rFonts w:ascii="Arial" w:cs="Arial" w:eastAsia="Arial" w:hAnsi="Arial"/>
                <w:sz w:val="18"/>
                <w:szCs w:val="18"/>
                <w:b w:val="1"/>
                <w:bCs w:val="1"/>
                <w:color w:val="auto"/>
                <w:w w:val="89"/>
              </w:rPr>
              <w:t>August 31,</w:t>
            </w:r>
          </w:p>
        </w:tc>
        <w:tc>
          <w:tcPr>
            <w:tcW w:w="124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20,960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52,215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issued for sale of joint venture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20. FAIR VALUE MEASUREMENTS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182"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quoted prices in active markets for identical assets or liabilities.</w:t>
      </w:r>
    </w:p>
    <w:p>
      <w:pPr>
        <w:spacing w:after="0" w:line="117" w:lineRule="exact"/>
        <w:rPr>
          <w:sz w:val="20"/>
          <w:szCs w:val="20"/>
          <w:color w:val="auto"/>
        </w:rPr>
      </w:pPr>
    </w:p>
    <w:p>
      <w:pPr>
        <w:ind w:left="1080" w:hanging="898"/>
        <w:spacing w:after="0" w:line="308" w:lineRule="auto"/>
        <w:tabs>
          <w:tab w:leader="none" w:pos="10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38" w:lineRule="exact"/>
        <w:rPr>
          <w:sz w:val="20"/>
          <w:szCs w:val="20"/>
          <w:color w:val="auto"/>
        </w:rPr>
      </w:pPr>
    </w:p>
    <w:p>
      <w:pPr>
        <w:ind w:left="180"/>
        <w:spacing w:after="0"/>
        <w:tabs>
          <w:tab w:leader="none" w:pos="10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are unobservable for the asset or liability.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That Are Measured at Fair Value on a Recurring Basis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205"/>
              <w:spacing w:after="0"/>
              <w:rPr>
                <w:sz w:val="20"/>
                <w:szCs w:val="20"/>
                <w:color w:val="auto"/>
              </w:rPr>
            </w:pPr>
            <w:r>
              <w:rPr>
                <w:rFonts w:ascii="Arial" w:cs="Arial" w:eastAsia="Arial" w:hAnsi="Arial"/>
                <w:sz w:val="18"/>
                <w:szCs w:val="18"/>
                <w:b w:val="1"/>
                <w:bCs w:val="1"/>
                <w:color w:val="auto"/>
              </w:rPr>
              <w:t>Fair Value Measurements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August 31, 2015</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2,027,441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2,027,441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1"/>
              </w:rPr>
              <w:t>Fair Value Measurements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August 31, 2014</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for sale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5,519,766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5,519,766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assets that are classified as Level 1 securities include cash equivalents and as of August 31, 2015, available for sale securities. These are valued using quoted market prices in an active market.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2015 or August 31, 2014. When a determination is made to classify an asset or liability within Level 3, the determination is based upon the significance of the unobservable inputs to the overall fair value measurement.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Fiscal Quarter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November 30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May 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August 31</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7,214,095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6,728,709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8,277,575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8,102,314</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2,407,484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2,070,969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2,682,368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2,605,940</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1,647,780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139,149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1,183,180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195,925</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197,614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153,196</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1,464,096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(58,465)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1,069,000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42,729</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455,831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38,214</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 (loss) attributable to NTIC</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1,008,265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(128,644)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905,435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4,515</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 (loss) per share: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4480" w:type="dxa"/>
            <w:vAlign w:val="bottom"/>
          </w:tcPr>
          <w:p>
            <w:pPr>
              <w:ind w:left="4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w w:val="92"/>
              </w:rPr>
              <w:t>Weighted average common shares assumed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4,518,973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4,522,514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4,525,109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4,529,251</w:t>
            </w:r>
          </w:p>
        </w:tc>
      </w:tr>
      <w:tr>
        <w:trPr>
          <w:trHeight w:val="230"/>
        </w:trPr>
        <w:tc>
          <w:tcPr>
            <w:tcW w:w="4480" w:type="dxa"/>
            <w:vAlign w:val="bottom"/>
          </w:tcPr>
          <w:p>
            <w:pPr>
              <w:ind w:left="4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4,659,621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4,522,514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4,594,992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4,585,196</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Fiscal Quarter Ended</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November 30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May 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August 31</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Fiscal year 2014: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6,309,100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6,219,008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6,920,820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7,377,180</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2,251,498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2,453,213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1,502,418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1,643,828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1,759,537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1,757,291</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259,759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305,623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1,304,418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1,384,069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1,398,257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1,451,668</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445,832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209,143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 attributable to NTIC</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858,586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1,025,044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980,217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1,242,527</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16"/>
        </w:trPr>
        <w:tc>
          <w:tcPr>
            <w:tcW w:w="4480" w:type="dxa"/>
            <w:vAlign w:val="bottom"/>
          </w:tcPr>
          <w:p>
            <w:pPr>
              <w:ind w:left="4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16"/>
        </w:trPr>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w w:val="92"/>
              </w:rPr>
              <w:t>Weighted average common shares assumed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4,434,770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4,434,837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4,461,880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4,487,478</w:t>
            </w:r>
          </w:p>
        </w:tc>
      </w:tr>
      <w:tr>
        <w:trPr>
          <w:trHeight w:val="230"/>
        </w:trPr>
        <w:tc>
          <w:tcPr>
            <w:tcW w:w="4480" w:type="dxa"/>
            <w:vAlign w:val="bottom"/>
          </w:tcPr>
          <w:p>
            <w:pPr>
              <w:ind w:left="4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4,552,669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4,579,603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4,590,344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4,592,208</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spacing w:after="0"/>
        <w:tabs>
          <w:tab w:leader="none" w:pos="700" w:val="left"/>
        </w:tabs>
        <w:rPr>
          <w:sz w:val="20"/>
          <w:szCs w:val="20"/>
          <w:color w:val="auto"/>
        </w:rPr>
      </w:pPr>
      <w:r>
        <w:rPr>
          <w:rFonts w:ascii="Arial" w:cs="Arial" w:eastAsia="Arial" w:hAnsi="Arial"/>
          <w:sz w:val="18"/>
          <w:szCs w:val="18"/>
          <w:b w:val="1"/>
          <w:bCs w:val="1"/>
          <w:color w:val="auto"/>
        </w:rPr>
        <w:t>Item9.</w:t>
        <w:tab/>
        <w:t>CHANGES IN AND DISAGREEMENTS WITH ACCOUNTANTS ON ACCOUNTING AND FINANCIAL DISCLOSURE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2015.</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 of Baker Tilly Virchow Krause, LLP, NTIC’s independent registered public accounting firm, regarding the effectiveness of NTIC’s internal control over financial reporting is included in this report in “Part II. Item 8, Financial Statements and Supplementary Data” under “Report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2015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information in the “Stock Ownership—Section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fourth quarter of fiscal 2015, NTIC made no material changes to the procedures by which stockholders may recommend nominees to NTIC’s Board of Directors, as described in NTIC’s most recent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95" w:name="page96"/>
    <w:bookmarkEnd w:id="95"/>
    <w:p>
      <w:pPr>
        <w:ind w:left="720" w:hanging="719"/>
        <w:spacing w:after="0" w:line="282" w:lineRule="auto"/>
        <w:tabs>
          <w:tab w:leader="none" w:pos="700" w:val="left"/>
        </w:tabs>
        <w:rPr>
          <w:sz w:val="20"/>
          <w:szCs w:val="20"/>
          <w:color w:val="auto"/>
        </w:rPr>
      </w:pPr>
      <w:r>
        <w:rPr>
          <w:rFonts w:ascii="Arial" w:cs="Arial" w:eastAsia="Arial" w:hAnsi="Arial"/>
          <w:sz w:val="18"/>
          <w:szCs w:val="18"/>
          <w:b w:val="1"/>
          <w:bCs w:val="1"/>
          <w:color w:val="auto"/>
        </w:rPr>
        <w:t>Item12.</w:t>
        <w:tab/>
        <w:t>SECURITY OWNERSHIP OF CERTAIN BENEFICIAL OWNERS AND MANAGEMENT AND RELATED STOCKHOLDER MATTERS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following table summarizes outstanding options and other awards under NTIC’s equity compensation plans as of August 31, 2015. NTIC’s equity compensation plans as of August 31, 2015 were the Northern Technologies International Corporation Amended and Restated 2007 Stock Incentive Plan and the Northern Technologies International Corporation Employee Stock Purchase Plan. 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and other awards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1460" w:type="dxa"/>
            <w:vAlign w:val="bottom"/>
          </w:tcPr>
          <w:p>
            <w:pPr>
              <w:jc w:val="center"/>
              <w:ind w:left="104"/>
              <w:spacing w:after="0"/>
              <w:rPr>
                <w:sz w:val="20"/>
                <w:szCs w:val="20"/>
                <w:color w:val="auto"/>
              </w:rPr>
            </w:pPr>
            <w:r>
              <w:rPr>
                <w:rFonts w:ascii="Arial" w:cs="Arial" w:eastAsia="Arial" w:hAnsi="Arial"/>
                <w:sz w:val="18"/>
                <w:szCs w:val="18"/>
                <w:b w:val="1"/>
                <w:bCs w:val="1"/>
                <w:color w:val="auto"/>
                <w:w w:val="90"/>
              </w:rPr>
              <w:t>(c)</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Future Issuance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Weighted-Average</w:t>
            </w:r>
          </w:p>
        </w:tc>
        <w:tc>
          <w:tcPr>
            <w:tcW w:w="1460" w:type="dxa"/>
            <w:vAlign w:val="bottom"/>
          </w:tcPr>
          <w:p>
            <w:pPr>
              <w:jc w:val="center"/>
              <w:ind w:left="84"/>
              <w:spacing w:after="0"/>
              <w:rPr>
                <w:sz w:val="20"/>
                <w:szCs w:val="20"/>
                <w:color w:val="auto"/>
              </w:rPr>
            </w:pPr>
            <w:r>
              <w:rPr>
                <w:rFonts w:ascii="Arial" w:cs="Arial" w:eastAsia="Arial" w:hAnsi="Arial"/>
                <w:sz w:val="18"/>
                <w:szCs w:val="18"/>
                <w:b w:val="1"/>
                <w:bCs w:val="1"/>
                <w:color w:val="auto"/>
                <w:w w:val="94"/>
              </w:rPr>
              <w:t>Under Equity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Exercise Price of</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Options, Warrants</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reflected in column</w:t>
            </w:r>
          </w:p>
        </w:tc>
        <w:tc>
          <w:tcPr>
            <w:tcW w:w="0" w:type="dxa"/>
            <w:vAlign w:val="bottom"/>
          </w:tcPr>
          <w:p>
            <w:pPr>
              <w:spacing w:after="0"/>
              <w:rPr>
                <w:sz w:val="1"/>
                <w:szCs w:val="1"/>
                <w:color w:val="auto"/>
              </w:rPr>
            </w:pPr>
          </w:p>
        </w:tc>
      </w:tr>
      <w:tr>
        <w:trPr>
          <w:trHeight w:val="234"/>
        </w:trPr>
        <w:tc>
          <w:tcPr>
            <w:tcW w:w="6200" w:type="dxa"/>
            <w:vAlign w:val="bottom"/>
            <w:gridSpan w:val="2"/>
          </w:tcPr>
          <w:p>
            <w:pPr>
              <w:ind w:left="2500"/>
              <w:spacing w:after="0"/>
              <w:rPr>
                <w:sz w:val="20"/>
                <w:szCs w:val="20"/>
                <w:color w:val="auto"/>
              </w:rPr>
            </w:pPr>
            <w:r>
              <w:rPr>
                <w:rFonts w:ascii="Arial" w:cs="Arial" w:eastAsia="Arial" w:hAnsi="Arial"/>
                <w:sz w:val="18"/>
                <w:szCs w:val="18"/>
                <w:b w:val="1"/>
                <w:bCs w:val="1"/>
                <w:color w:val="auto"/>
              </w:rPr>
              <w:t>Plan Category</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 Rights</w:t>
            </w:r>
          </w:p>
        </w:tc>
        <w:tc>
          <w:tcPr>
            <w:tcW w:w="1460" w:type="dxa"/>
            <w:vAlign w:val="bottom"/>
          </w:tcPr>
          <w:p>
            <w:pPr>
              <w:jc w:val="center"/>
              <w:ind w:left="104"/>
              <w:spacing w:after="0"/>
              <w:rPr>
                <w:sz w:val="20"/>
                <w:szCs w:val="20"/>
                <w:color w:val="auto"/>
              </w:rPr>
            </w:pPr>
            <w:r>
              <w:rPr>
                <w:rFonts w:ascii="Arial" w:cs="Arial" w:eastAsia="Arial" w:hAnsi="Arial"/>
                <w:sz w:val="18"/>
                <w:szCs w:val="18"/>
                <w:b w:val="1"/>
                <w:bCs w:val="1"/>
                <w:color w:val="auto"/>
                <w:w w:val="99"/>
              </w:rPr>
              <w:t>(a))</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
        </w:trPr>
        <w:tc>
          <w:tcPr>
            <w:tcW w:w="6080" w:type="dxa"/>
            <w:vAlign w:val="bottom"/>
            <w:tcBorders>
              <w:top w:val="single" w:sz="8" w:color="auto"/>
            </w:tcBorders>
            <w:shd w:val="clear" w:color="auto" w:fill="CCEEFF"/>
          </w:tcPr>
          <w:p>
            <w:pPr>
              <w:ind w:left="100"/>
              <w:spacing w:after="0" w:line="9" w:lineRule="exact"/>
              <w:rPr>
                <w:sz w:val="20"/>
                <w:szCs w:val="20"/>
                <w:color w:val="auto"/>
              </w:rPr>
            </w:pPr>
            <w:r>
              <w:rPr>
                <w:rFonts w:ascii="Arial" w:cs="Arial" w:eastAsia="Arial" w:hAnsi="Arial"/>
                <w:sz w:val="1"/>
                <w:szCs w:val="1"/>
                <w:color w:val="auto"/>
              </w:rPr>
              <w:t>Equity compensation plans approved by security holders</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jc w:val="right"/>
              <w:ind w:right="268"/>
              <w:spacing w:after="0" w:line="9" w:lineRule="exact"/>
              <w:rPr>
                <w:sz w:val="20"/>
                <w:szCs w:val="20"/>
                <w:color w:val="auto"/>
              </w:rPr>
            </w:pPr>
            <w:r>
              <w:rPr>
                <w:rFonts w:ascii="Arial" w:cs="Arial" w:eastAsia="Arial" w:hAnsi="Arial"/>
                <w:sz w:val="1"/>
                <w:szCs w:val="1"/>
                <w:color w:val="auto"/>
              </w:rPr>
              <w:t>241,743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jc w:val="right"/>
              <w:spacing w:after="0" w:line="9" w:lineRule="exact"/>
              <w:rPr>
                <w:sz w:val="20"/>
                <w:szCs w:val="20"/>
                <w:color w:val="auto"/>
              </w:rPr>
            </w:pPr>
            <w:r>
              <w:rPr>
                <w:rFonts w:ascii="Arial" w:cs="Arial" w:eastAsia="Arial" w:hAnsi="Arial"/>
                <w:sz w:val="1"/>
                <w:szCs w:val="1"/>
                <w:color w:val="auto"/>
              </w:rPr>
              <w:t>$</w:t>
            </w:r>
          </w:p>
        </w:tc>
        <w:tc>
          <w:tcPr>
            <w:tcW w:w="1440" w:type="dxa"/>
            <w:vAlign w:val="bottom"/>
            <w:tcBorders>
              <w:top w:val="single" w:sz="8" w:color="auto"/>
            </w:tcBorders>
            <w:shd w:val="clear" w:color="auto" w:fill="CCEEFF"/>
          </w:tcPr>
          <w:p>
            <w:pPr>
              <w:jc w:val="right"/>
              <w:ind w:right="34"/>
              <w:spacing w:after="0" w:line="9" w:lineRule="exact"/>
              <w:rPr>
                <w:sz w:val="20"/>
                <w:szCs w:val="20"/>
                <w:color w:val="auto"/>
              </w:rPr>
            </w:pPr>
            <w:r>
              <w:rPr>
                <w:rFonts w:ascii="Arial" w:cs="Arial" w:eastAsia="Arial" w:hAnsi="Arial"/>
                <w:sz w:val="1"/>
                <w:szCs w:val="1"/>
                <w:color w:val="auto"/>
              </w:rPr>
              <w:t>12.13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jc w:val="right"/>
              <w:spacing w:after="0" w:line="9" w:lineRule="exact"/>
              <w:rPr>
                <w:sz w:val="20"/>
                <w:szCs w:val="20"/>
                <w:color w:val="auto"/>
              </w:rPr>
            </w:pPr>
            <w:r>
              <w:rPr>
                <w:rFonts w:ascii="Arial" w:cs="Arial" w:eastAsia="Arial" w:hAnsi="Arial"/>
                <w:sz w:val="1"/>
                <w:szCs w:val="1"/>
                <w:color w:val="auto"/>
              </w:rPr>
              <w:t>325,005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line="20" w:lineRule="exact"/>
              <w:rPr>
                <w:sz w:val="1"/>
                <w:szCs w:val="1"/>
                <w:color w:val="auto"/>
              </w:rPr>
            </w:pPr>
          </w:p>
        </w:tc>
      </w:tr>
      <w:tr>
        <w:trPr>
          <w:trHeight w:val="201"/>
        </w:trPr>
        <w:tc>
          <w:tcPr>
            <w:tcW w:w="6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00"/>
              <w:spacing w:after="0"/>
              <w:rPr>
                <w:sz w:val="20"/>
                <w:szCs w:val="20"/>
                <w:color w:val="auto"/>
              </w:rPr>
            </w:pPr>
            <w:r>
              <w:rPr>
                <w:rFonts w:ascii="Arial" w:cs="Arial" w:eastAsia="Arial" w:hAnsi="Arial"/>
                <w:sz w:val="18"/>
                <w:szCs w:val="18"/>
                <w:color w:val="auto"/>
              </w:rPr>
              <w:t>Equity compensation plans not approved by security holders</w:t>
            </w:r>
          </w:p>
        </w:tc>
        <w:tc>
          <w:tcPr>
            <w:tcW w:w="1780" w:type="dxa"/>
            <w:vAlign w:val="bottom"/>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
        </w:trPr>
        <w:tc>
          <w:tcPr>
            <w:tcW w:w="6200" w:type="dxa"/>
            <w:vAlign w:val="bottom"/>
            <w:tcBorders>
              <w:top w:val="single" w:sz="8" w:color="CCEEFF"/>
            </w:tcBorders>
            <w:gridSpan w:val="2"/>
            <w:shd w:val="clear" w:color="auto" w:fill="CCEEFF"/>
          </w:tcPr>
          <w:p>
            <w:pPr>
              <w:ind w:left="540"/>
              <w:spacing w:after="0" w:line="9" w:lineRule="exact"/>
              <w:rPr>
                <w:sz w:val="20"/>
                <w:szCs w:val="20"/>
                <w:color w:val="auto"/>
              </w:rPr>
            </w:pPr>
            <w:r>
              <w:rPr>
                <w:rFonts w:ascii="Arial" w:cs="Arial" w:eastAsia="Arial" w:hAnsi="Arial"/>
                <w:sz w:val="1"/>
                <w:szCs w:val="1"/>
                <w:b w:val="1"/>
                <w:bCs w:val="1"/>
                <w:color w:val="auto"/>
              </w:rPr>
              <w:t>Total</w:t>
            </w:r>
          </w:p>
        </w:tc>
        <w:tc>
          <w:tcPr>
            <w:tcW w:w="1780" w:type="dxa"/>
            <w:vAlign w:val="bottom"/>
            <w:tcBorders>
              <w:top w:val="single" w:sz="8" w:color="auto"/>
            </w:tcBorders>
            <w:shd w:val="clear" w:color="auto" w:fill="CCEEFF"/>
          </w:tcPr>
          <w:p>
            <w:pPr>
              <w:jc w:val="right"/>
              <w:ind w:right="268"/>
              <w:spacing w:after="0" w:line="9" w:lineRule="exact"/>
              <w:rPr>
                <w:sz w:val="20"/>
                <w:szCs w:val="20"/>
                <w:color w:val="auto"/>
              </w:rPr>
            </w:pPr>
            <w:r>
              <w:rPr>
                <w:rFonts w:ascii="Arial" w:cs="Arial" w:eastAsia="Arial" w:hAnsi="Arial"/>
                <w:sz w:val="1"/>
                <w:szCs w:val="1"/>
                <w:color w:val="auto"/>
              </w:rPr>
              <w:t>241,743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jc w:val="right"/>
              <w:spacing w:after="0" w:line="9" w:lineRule="exact"/>
              <w:rPr>
                <w:sz w:val="20"/>
                <w:szCs w:val="20"/>
                <w:color w:val="auto"/>
              </w:rPr>
            </w:pPr>
            <w:r>
              <w:rPr>
                <w:rFonts w:ascii="Arial" w:cs="Arial" w:eastAsia="Arial" w:hAnsi="Arial"/>
                <w:sz w:val="1"/>
                <w:szCs w:val="1"/>
                <w:color w:val="auto"/>
              </w:rPr>
              <w:t>$</w:t>
            </w:r>
          </w:p>
        </w:tc>
        <w:tc>
          <w:tcPr>
            <w:tcW w:w="1440" w:type="dxa"/>
            <w:vAlign w:val="bottom"/>
            <w:tcBorders>
              <w:top w:val="single" w:sz="8" w:color="auto"/>
            </w:tcBorders>
            <w:shd w:val="clear" w:color="auto" w:fill="CCEEFF"/>
          </w:tcPr>
          <w:p>
            <w:pPr>
              <w:jc w:val="right"/>
              <w:ind w:right="34"/>
              <w:spacing w:after="0" w:line="9" w:lineRule="exact"/>
              <w:rPr>
                <w:sz w:val="20"/>
                <w:szCs w:val="20"/>
                <w:color w:val="auto"/>
              </w:rPr>
            </w:pPr>
            <w:r>
              <w:rPr>
                <w:rFonts w:ascii="Arial" w:cs="Arial" w:eastAsia="Arial" w:hAnsi="Arial"/>
                <w:sz w:val="1"/>
                <w:szCs w:val="1"/>
                <w:color w:val="auto"/>
              </w:rPr>
              <w:t>12.13</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jc w:val="right"/>
              <w:spacing w:after="0" w:line="9" w:lineRule="exact"/>
              <w:rPr>
                <w:sz w:val="20"/>
                <w:szCs w:val="20"/>
                <w:color w:val="auto"/>
              </w:rPr>
            </w:pPr>
            <w:r>
              <w:rPr>
                <w:rFonts w:ascii="Arial" w:cs="Arial" w:eastAsia="Arial" w:hAnsi="Arial"/>
                <w:sz w:val="1"/>
                <w:szCs w:val="1"/>
                <w:color w:val="auto"/>
              </w:rPr>
              <w:t>325,005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line="20" w:lineRule="exact"/>
              <w:rPr>
                <w:sz w:val="1"/>
                <w:szCs w:val="1"/>
                <w:color w:val="auto"/>
              </w:rPr>
            </w:pPr>
          </w:p>
        </w:tc>
      </w:tr>
      <w:tr>
        <w:trPr>
          <w:trHeight w:val="201"/>
        </w:trPr>
        <w:tc>
          <w:tcPr>
            <w:tcW w:w="6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660" w:right="20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2015 under the Northern Technologies International Corporation Amended and Restated 2007 Stock Incentive Plan.</w:t>
      </w:r>
    </w:p>
    <w:p>
      <w:pPr>
        <w:spacing w:after="0" w:line="170" w:lineRule="exact"/>
        <w:rPr>
          <w:rFonts w:ascii="Arial" w:cs="Arial" w:eastAsia="Arial" w:hAnsi="Arial"/>
          <w:sz w:val="18"/>
          <w:szCs w:val="18"/>
          <w:color w:val="auto"/>
        </w:rPr>
      </w:pPr>
    </w:p>
    <w:p>
      <w:pPr>
        <w:ind w:left="660" w:right="100" w:hanging="652"/>
        <w:spacing w:after="0" w:line="23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or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03"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includes 265,793 shares remaining available at August 31, 2015 for future issuance under Northern Technologies International Corporation Amended and Restated 2007 Stock Incentive Plan and 59,212 shares available at August 31, 2015 for future issuance under the Northern Technologies International Corporation Employee Stock Purchase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3-09 of Regulation S-X, NTIC intends to file an amendment to this report to include the audited financial statements and related notes of Excor Korrosionsschutz – Technologien und Produkte GmbHA (“EXCOR”), an unconsolidated joint venture in which NTIC holds a 50% equity ownership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financial statement schedules are omitted because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 The Exhibit Index indicates each management contract or compensatory plan or arrangement required to be filed as an exhibit to this report.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320" w:type="dxa"/>
            <w:vAlign w:val="bottom"/>
            <w:gridSpan w:val="3"/>
          </w:tcPr>
          <w:p>
            <w:pPr>
              <w:ind w:left="180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392"/>
        </w:trPr>
        <w:tc>
          <w:tcPr>
            <w:tcW w:w="3240" w:type="dxa"/>
            <w:vAlign w:val="bottom"/>
          </w:tcPr>
          <w:p>
            <w:pPr>
              <w:spacing w:after="0"/>
              <w:rPr>
                <w:sz w:val="20"/>
                <w:szCs w:val="20"/>
                <w:color w:val="auto"/>
              </w:rPr>
            </w:pPr>
            <w:r>
              <w:rPr>
                <w:rFonts w:ascii="Arial" w:cs="Arial" w:eastAsia="Arial" w:hAnsi="Arial"/>
                <w:sz w:val="18"/>
                <w:szCs w:val="18"/>
                <w:color w:val="auto"/>
              </w:rPr>
              <w:t>November 13, 2015</w:t>
            </w:r>
          </w:p>
        </w:tc>
        <w:tc>
          <w:tcPr>
            <w:tcW w:w="7320" w:type="dxa"/>
            <w:vAlign w:val="bottom"/>
            <w:gridSpan w:val="3"/>
          </w:tcPr>
          <w:p>
            <w:pPr>
              <w:ind w:left="1800"/>
              <w:spacing w:after="0"/>
              <w:rPr>
                <w:sz w:val="20"/>
                <w:szCs w:val="20"/>
                <w:color w:val="auto"/>
              </w:rPr>
            </w:pPr>
            <w:r>
              <w:rPr>
                <w:rFonts w:ascii="Arial" w:cs="Arial" w:eastAsia="Arial" w:hAnsi="Arial"/>
                <w:sz w:val="18"/>
                <w:szCs w:val="18"/>
                <w:color w:val="auto"/>
              </w:rPr>
              <w:t>By: /s/ G. Patrick Lynch</w:t>
            </w:r>
          </w:p>
        </w:tc>
      </w:tr>
      <w:tr>
        <w:trPr>
          <w:trHeight w:val="222"/>
        </w:trPr>
        <w:tc>
          <w:tcPr>
            <w:tcW w:w="3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 Patrick Lynch</w:t>
            </w:r>
          </w:p>
        </w:tc>
        <w:tc>
          <w:tcPr>
            <w:tcW w:w="230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spacing w:after="0"/>
              <w:rPr>
                <w:sz w:val="20"/>
                <w:szCs w:val="20"/>
                <w:color w:val="auto"/>
              </w:rPr>
            </w:pPr>
          </w:p>
        </w:tc>
        <w:tc>
          <w:tcPr>
            <w:tcW w:w="4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Title</w:t>
            </w:r>
          </w:p>
        </w:tc>
        <w:tc>
          <w:tcPr>
            <w:tcW w:w="1020" w:type="dxa"/>
            <w:vAlign w:val="bottom"/>
          </w:tcPr>
          <w:p>
            <w:pPr>
              <w:spacing w:after="0"/>
              <w:rPr>
                <w:sz w:val="20"/>
                <w:szCs w:val="20"/>
                <w:color w:val="auto"/>
              </w:rPr>
            </w:pPr>
          </w:p>
        </w:tc>
        <w:tc>
          <w:tcPr>
            <w:tcW w:w="2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Date</w:t>
            </w:r>
          </w:p>
        </w:tc>
      </w:tr>
      <w:tr>
        <w:trPr>
          <w:trHeight w:val="385"/>
        </w:trPr>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/s/ G. Patrick Lynch</w:t>
            </w:r>
          </w:p>
        </w:tc>
        <w:tc>
          <w:tcPr>
            <w:tcW w:w="2420" w:type="dxa"/>
            <w:vAlign w:val="bottom"/>
            <w:gridSpan w:val="7"/>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 and 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G. Patrick Lynch</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/s/ Matthew C. Wolsfeld, CPA</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Corporate Secretary</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21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Matthew C. Wolsfeld, CPA</w:t>
            </w:r>
          </w:p>
        </w:tc>
        <w:tc>
          <w:tcPr>
            <w:tcW w:w="1720" w:type="dxa"/>
            <w:vAlign w:val="bottom"/>
            <w:gridSpan w:val="3"/>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/s/ Richard J. Nigon</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J. Nigon</w:t>
            </w:r>
          </w:p>
        </w:tc>
        <w:tc>
          <w:tcPr>
            <w:tcW w:w="2460" w:type="dxa"/>
            <w:vAlign w:val="bottom"/>
            <w:gridSpan w:val="8"/>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/s/ Barbara D. Colwell</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16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Barbara D. Colwell</w:t>
            </w:r>
          </w:p>
        </w:tc>
        <w:tc>
          <w:tcPr>
            <w:tcW w:w="2280" w:type="dxa"/>
            <w:vAlign w:val="bottom"/>
            <w:gridSpan w:val="6"/>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/s/ Soo Keong Koh</w:t>
            </w: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Soo Keong Koh</w:t>
            </w:r>
          </w:p>
        </w:tc>
        <w:tc>
          <w:tcPr>
            <w:tcW w:w="2520" w:type="dxa"/>
            <w:vAlign w:val="bottom"/>
            <w:gridSpan w:val="9"/>
          </w:tcPr>
          <w:p>
            <w:pPr>
              <w:spacing w:after="0"/>
              <w:rPr>
                <w:sz w:val="20"/>
                <w:szCs w:val="20"/>
                <w:color w:val="auto"/>
              </w:rPr>
            </w:pP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/s/ Sunggyu Lee, Ph.D.</w:t>
            </w:r>
          </w:p>
        </w:tc>
        <w:tc>
          <w:tcPr>
            <w:tcW w:w="2220" w:type="dxa"/>
            <w:vAlign w:val="bottom"/>
            <w:gridSpan w:val="5"/>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Sunggyu Lee, Ph.D.</w:t>
            </w: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19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Ramani Narayan, Ph.D.</w:t>
            </w:r>
          </w:p>
        </w:tc>
        <w:tc>
          <w:tcPr>
            <w:tcW w:w="1960" w:type="dxa"/>
            <w:vAlign w:val="bottom"/>
            <w:gridSpan w:val="4"/>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Ramani Narayan, Ph.D.</w:t>
            </w: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100" w:type="dxa"/>
            <w:vAlign w:val="bottom"/>
          </w:tcPr>
          <w:p>
            <w:pPr>
              <w:spacing w:after="0"/>
              <w:rPr>
                <w:sz w:val="24"/>
                <w:szCs w:val="24"/>
                <w:color w:val="auto"/>
              </w:rPr>
            </w:pPr>
          </w:p>
        </w:tc>
        <w:tc>
          <w:tcPr>
            <w:tcW w:w="23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9"/>
              </w:rPr>
              <w:t>/s/ Konstantin von Falkenhausen</w:t>
            </w:r>
          </w:p>
        </w:tc>
        <w:tc>
          <w:tcPr>
            <w:tcW w:w="1540" w:type="dxa"/>
            <w:vAlign w:val="bottom"/>
            <w:gridSpan w:val="2"/>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
              <w:spacing w:after="0"/>
              <w:rPr>
                <w:sz w:val="20"/>
                <w:szCs w:val="20"/>
                <w:color w:val="auto"/>
              </w:rPr>
            </w:pPr>
            <w:r>
              <w:rPr>
                <w:rFonts w:ascii="Arial" w:cs="Arial" w:eastAsia="Arial" w:hAnsi="Arial"/>
                <w:sz w:val="18"/>
                <w:szCs w:val="18"/>
                <w:color w:val="auto"/>
              </w:rPr>
              <w:t>November 13, 2015</w:t>
            </w:r>
          </w:p>
        </w:tc>
      </w:tr>
      <w:tr>
        <w:trPr>
          <w:trHeight w:val="237"/>
        </w:trPr>
        <w:tc>
          <w:tcPr>
            <w:tcW w:w="100" w:type="dxa"/>
            <w:vAlign w:val="bottom"/>
          </w:tcPr>
          <w:p>
            <w:pPr>
              <w:spacing w:after="0"/>
              <w:rPr>
                <w:sz w:val="20"/>
                <w:szCs w:val="20"/>
                <w:color w:val="auto"/>
              </w:rPr>
            </w:pPr>
          </w:p>
        </w:tc>
        <w:tc>
          <w:tcPr>
            <w:tcW w:w="3900" w:type="dxa"/>
            <w:vAlign w:val="bottom"/>
            <w:gridSpan w:val="10"/>
          </w:tcPr>
          <w:p>
            <w:pPr>
              <w:spacing w:after="0"/>
              <w:rPr>
                <w:sz w:val="20"/>
                <w:szCs w:val="20"/>
                <w:color w:val="auto"/>
              </w:rPr>
            </w:pPr>
            <w:r>
              <w:rPr>
                <w:rFonts w:ascii="Arial" w:cs="Arial" w:eastAsia="Arial" w:hAnsi="Arial"/>
                <w:sz w:val="18"/>
                <w:szCs w:val="18"/>
                <w:color w:val="auto"/>
              </w:rPr>
              <w:t>Konstantin von Falkenhausen</w:t>
            </w:r>
          </w:p>
        </w:tc>
        <w:tc>
          <w:tcPr>
            <w:tcW w:w="4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9" w:name="page100"/>
    <w:bookmarkEnd w:id="99"/>
    <w:p>
      <w:pPr>
        <w:jc w:val="center"/>
        <w:ind w:left="560" w:right="2080"/>
        <w:spacing w:after="0" w:line="243" w:lineRule="auto"/>
        <w:rPr>
          <w:sz w:val="20"/>
          <w:szCs w:val="20"/>
          <w:color w:val="auto"/>
        </w:rPr>
      </w:pPr>
      <w:r>
        <w:rPr>
          <w:rFonts w:ascii="Arial" w:cs="Arial" w:eastAsia="Arial" w:hAnsi="Arial"/>
          <w:sz w:val="22"/>
          <w:szCs w:val="22"/>
          <w:b w:val="1"/>
          <w:bCs w:val="1"/>
          <w:color w:val="auto"/>
        </w:rPr>
        <w:t>NORTHERN TECHNOLOGIES INTERNATIONAL CORPORATION EXHIBIT INDEX TO ANNUAL REPORT ON FORM 10-K FOR THE FISCAL YEAR ENDED AUGUST 31,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Item No.</w:t>
            </w:r>
          </w:p>
        </w:tc>
        <w:tc>
          <w:tcPr>
            <w:tcW w:w="516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w:t>
            </w:r>
          </w:p>
        </w:tc>
        <w:tc>
          <w:tcPr>
            <w:tcW w:w="6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95"/>
        </w:trPr>
        <w:tc>
          <w:tcPr>
            <w:tcW w:w="1040" w:type="dxa"/>
            <w:vAlign w:val="bottom"/>
            <w:tcBorders>
              <w:top w:val="single" w:sz="8" w:color="auto"/>
            </w:tcBorders>
          </w:tcPr>
          <w:p>
            <w:pPr>
              <w:jc w:val="center"/>
              <w:ind w:left="250"/>
              <w:spacing w:after="0" w:line="195" w:lineRule="exact"/>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Restated Certificate of Incorporation of Northern Technologies</w:t>
            </w:r>
          </w:p>
        </w:tc>
        <w:tc>
          <w:tcPr>
            <w:tcW w:w="64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3.1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International Corporation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Quarterly Report on Form 10-Q for the fiscal quarter</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ended February 28, 2009 (File No. 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7"/>
              </w:rPr>
              <w:t>3.2</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Northern Technologies</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3.1 to NTIC’s Current</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International Corporation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Report on Form 8-K as filed with the Securities and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Exchange Commission on November 24, 2008 (File No.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9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7"/>
              </w:rPr>
              <w:t>4.1</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Specimen Stock Certificate Representing Common Stock of</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4.1 to NTIC’s</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Northern Technologies International Corporation</w:t>
            </w:r>
          </w:p>
        </w:tc>
        <w:tc>
          <w:tcPr>
            <w:tcW w:w="6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Registration Statement on Form 10 (File No. 001-19331)</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10.1</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Northern Technologies International Corporation Amended and</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Restated 2007 Stock Incentive Plan*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Current Report on Form 8-K as filed with the Securities</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and Exchange Commission on January 24, 2011 (File No.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9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10.2</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Form of Incentive Stock Option Agreement for Northern</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10.2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Technologies International Corporation Amended and Restated</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Current Report on Form 8-K as filed with the Securities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2007 Stock Incentive Plan*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and Exchange Commission on January 24, 2011 (File No.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9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10.3</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9"/>
              </w:rPr>
              <w:t>Form of Non-Statutory Stock Option Agreement for Northern</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10.3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Technologies International Corporation Amended and Restated</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Current Report on Form 8-K as filed with the Securities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2007 Stock Incentive Plan*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and Exchange Commission on January 24, 2011 (File No.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9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10.4</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Form of Restricted Stock Agreement for Northern Technologies</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10.4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8"/>
              </w:rPr>
              <w:t>International Corporation Amended and Restated 2007 Stock</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Current Report on Form 8-K as filed with the Securities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Incentive Plan*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and Exchange Commission on January 24, 2011 (File No.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90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001-11038)</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10.5</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Northern Technologies International Corporation Employee Stock</w:t>
            </w:r>
          </w:p>
        </w:tc>
        <w:tc>
          <w:tcPr>
            <w:tcW w:w="6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10.11 to NTIC’s</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Purchase Plan*</w:t>
            </w:r>
          </w:p>
        </w:tc>
        <w:tc>
          <w:tcPr>
            <w:tcW w:w="6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Annual Report on Form 10-KSB for the fiscal year ended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2"/>
              </w:rPr>
              <w:t>August 31, 2006 (File No. 001-11038)</w:t>
            </w:r>
          </w:p>
        </w:tc>
      </w:tr>
    </w:tbl>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00"/>
          </w:cols>
          <w:pgMar w:left="240" w:top="679" w:right="5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Item No.</w:t>
            </w:r>
          </w:p>
        </w:tc>
        <w:tc>
          <w:tcPr>
            <w:tcW w:w="516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w:t>
            </w:r>
          </w:p>
        </w:tc>
      </w:tr>
      <w:tr>
        <w:trPr>
          <w:trHeight w:val="195"/>
        </w:trPr>
        <w:tc>
          <w:tcPr>
            <w:tcW w:w="1040" w:type="dxa"/>
            <w:vAlign w:val="bottom"/>
            <w:tcBorders>
              <w:top w:val="single" w:sz="8" w:color="auto"/>
            </w:tcBorders>
          </w:tcPr>
          <w:p>
            <w:pPr>
              <w:jc w:val="center"/>
              <w:ind w:left="250"/>
              <w:spacing w:after="0" w:line="195" w:lineRule="exact"/>
              <w:rPr>
                <w:sz w:val="20"/>
                <w:szCs w:val="20"/>
                <w:color w:val="auto"/>
              </w:rPr>
            </w:pPr>
            <w:r>
              <w:rPr>
                <w:rFonts w:ascii="Arial" w:cs="Arial" w:eastAsia="Arial" w:hAnsi="Arial"/>
                <w:sz w:val="18"/>
                <w:szCs w:val="18"/>
                <w:color w:val="auto"/>
                <w:w w:val="85"/>
              </w:rPr>
              <w:t>10.6</w:t>
            </w:r>
          </w:p>
        </w:tc>
        <w:tc>
          <w:tcPr>
            <w:tcW w:w="34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Material Terms of Northern Technologies International</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Corporation Annual Bonus Plan*</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10.7</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Form of Indemnification Agreement between Northern</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9"/>
              </w:rPr>
              <w:t>Technologies International Corporation and its Directors and</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Officers*</w:t>
            </w:r>
          </w:p>
        </w:tc>
      </w:tr>
      <w:tr>
        <w:trPr>
          <w:trHeight w:val="634"/>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10.8</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Agreement dated as of May 25, 2009 between Northern</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Technologies International Corporation and Sunggyu Lee, Ph.D.*</w:t>
            </w:r>
          </w:p>
        </w:tc>
      </w:tr>
      <w:tr>
        <w:trPr>
          <w:trHeight w:val="634"/>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5"/>
              </w:rPr>
              <w:t>10.9</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Description of Non-Employee Director Compensation</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Arrangements*</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93"/>
              </w:rPr>
              <w:t>10.10</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8"/>
              </w:rPr>
              <w:t>Executive Employment Agreement dated as of November 18,</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2011 between Northern Technologies International Corporation</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and G. Patrick Lynch*</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84"/>
              </w:rPr>
              <w:t>10.11</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Confidential Information, Inventions Assignment, Noncompetition</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3"/>
              </w:rPr>
              <w:t>and Non-Solicitation Agreement dated as of November 18, 2011</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between Northern Technologies International Corporation and G.</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Patrick Lynch*</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93"/>
              </w:rPr>
              <w:t>10.12</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8"/>
              </w:rPr>
              <w:t>Executive Employment Agreement dated as of November 18,</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5"/>
              </w:rPr>
              <w:t>2011 between Northern Technologies International Corporation</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and Matthew C. Wolsfeld*</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93"/>
              </w:rPr>
              <w:t>10.13</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Confidential Information, Inventions Assignment, Noncompetition</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3"/>
              </w:rPr>
              <w:t>and Non-Solicitation Agreement dated as of November 18, 2011</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7"/>
              </w:rPr>
              <w:t>between Northern Technologies International Corporation and</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Matthew C. Wolsfeld*</w:t>
            </w:r>
          </w:p>
        </w:tc>
      </w:tr>
      <w:tr>
        <w:trPr>
          <w:trHeight w:val="418"/>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93"/>
              </w:rPr>
              <w:t>10.14</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0"/>
              </w:rPr>
              <w:t>Amended and Restated Committed Line of Credit Note dated as of</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3"/>
              </w:rPr>
              <w:t>January 10, 2011 issued by Northern Technologies International</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Corporation to PNC Bank, National Association</w:t>
            </w:r>
          </w:p>
        </w:tc>
      </w:tr>
      <w:tr>
        <w:trPr>
          <w:trHeight w:val="742"/>
        </w:trPr>
        <w:tc>
          <w:tcPr>
            <w:tcW w:w="1040" w:type="dxa"/>
            <w:vAlign w:val="bottom"/>
          </w:tcPr>
          <w:p>
            <w:pPr>
              <w:jc w:val="center"/>
              <w:ind w:left="250"/>
              <w:spacing w:after="0"/>
              <w:rPr>
                <w:sz w:val="20"/>
                <w:szCs w:val="20"/>
                <w:color w:val="auto"/>
              </w:rPr>
            </w:pPr>
            <w:r>
              <w:rPr>
                <w:rFonts w:ascii="Arial" w:cs="Arial" w:eastAsia="Arial" w:hAnsi="Arial"/>
                <w:sz w:val="18"/>
                <w:szCs w:val="18"/>
                <w:color w:val="auto"/>
                <w:w w:val="93"/>
              </w:rPr>
              <w:t>10.15</w:t>
            </w: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2"/>
              </w:rPr>
              <w:t>Loan Agreement dated as of January 10, 2011 between Northern</w:t>
            </w:r>
          </w:p>
        </w:tc>
      </w:tr>
      <w:tr>
        <w:trPr>
          <w:trHeight w:val="216"/>
        </w:trPr>
        <w:tc>
          <w:tcPr>
            <w:tcW w:w="104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w w:val="94"/>
              </w:rPr>
              <w:t>Technologies International Corporation and PNC Bank, National</w:t>
            </w:r>
          </w:p>
        </w:tc>
      </w:tr>
      <w:tr>
        <w:trPr>
          <w:trHeight w:val="230"/>
        </w:trPr>
        <w:tc>
          <w:tcPr>
            <w:tcW w:w="1040" w:type="dxa"/>
            <w:vAlign w:val="bottom"/>
          </w:tcPr>
          <w:p>
            <w:pPr>
              <w:spacing w:after="0"/>
              <w:rPr>
                <w:sz w:val="20"/>
                <w:szCs w:val="20"/>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Association</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-130810</wp:posOffset>
            </wp:positionV>
            <wp:extent cx="2701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60"/>
        <w:spacing w:after="0" w:line="259"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November 24, 2008 (File No. 001-11038)</w:t>
      </w:r>
    </w:p>
    <w:p>
      <w:pPr>
        <w:spacing w:after="0" w:line="187" w:lineRule="exact"/>
        <w:rPr>
          <w:sz w:val="20"/>
          <w:szCs w:val="20"/>
          <w:color w:val="auto"/>
        </w:rPr>
      </w:pPr>
    </w:p>
    <w:p>
      <w:pPr>
        <w:jc w:val="center"/>
        <w:ind w:left="180"/>
        <w:spacing w:after="0" w:line="312" w:lineRule="auto"/>
        <w:rPr>
          <w:sz w:val="20"/>
          <w:szCs w:val="20"/>
          <w:color w:val="auto"/>
        </w:rPr>
      </w:pPr>
      <w:r>
        <w:rPr>
          <w:rFonts w:ascii="Arial" w:cs="Arial" w:eastAsia="Arial" w:hAnsi="Arial"/>
          <w:sz w:val="16"/>
          <w:szCs w:val="16"/>
          <w:color w:val="auto"/>
        </w:rPr>
        <w:t>Incorporated by reference to Exhibit 10.2 to NTIC’s Quarterly Report on Form 10-Q for the fiscal quarter ended February 28, 2009 (File No. 001-11038)</w:t>
      </w:r>
    </w:p>
    <w:p>
      <w:pPr>
        <w:spacing w:after="0" w:line="14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left="120"/>
        <w:spacing w:after="0" w:line="286" w:lineRule="auto"/>
        <w:rPr>
          <w:sz w:val="20"/>
          <w:szCs w:val="20"/>
          <w:color w:val="auto"/>
        </w:rPr>
      </w:pPr>
      <w:r>
        <w:rPr>
          <w:rFonts w:ascii="Arial" w:cs="Arial" w:eastAsia="Arial" w:hAnsi="Arial"/>
          <w:sz w:val="17"/>
          <w:szCs w:val="17"/>
          <w:color w:val="auto"/>
        </w:rPr>
        <w:t>Incorporated by reference to Exhibit 10.13 to NTIC’s Annual Report on Form 10-K for the fiscal year ended August 31, 2011 (File No. 001-11038)</w:t>
      </w:r>
    </w:p>
    <w:p>
      <w:pPr>
        <w:spacing w:after="0" w:line="166" w:lineRule="exact"/>
        <w:rPr>
          <w:sz w:val="20"/>
          <w:szCs w:val="20"/>
          <w:color w:val="auto"/>
        </w:rPr>
      </w:pPr>
    </w:p>
    <w:p>
      <w:pPr>
        <w:jc w:val="center"/>
        <w:ind w:left="120"/>
        <w:spacing w:after="0" w:line="286" w:lineRule="auto"/>
        <w:rPr>
          <w:sz w:val="20"/>
          <w:szCs w:val="20"/>
          <w:color w:val="auto"/>
        </w:rPr>
      </w:pPr>
      <w:r>
        <w:rPr>
          <w:rFonts w:ascii="Arial" w:cs="Arial" w:eastAsia="Arial" w:hAnsi="Arial"/>
          <w:sz w:val="17"/>
          <w:szCs w:val="17"/>
          <w:color w:val="auto"/>
        </w:rPr>
        <w:t>Incorporated by reference to Exhibit 10.14 to NTIC’s Annual Report on Form 10-K for the fiscal year ended August 31, 2011 (File No. 001-11038)</w:t>
      </w:r>
    </w:p>
    <w:p>
      <w:pPr>
        <w:spacing w:after="0" w:line="382" w:lineRule="exact"/>
        <w:rPr>
          <w:sz w:val="20"/>
          <w:szCs w:val="20"/>
          <w:color w:val="auto"/>
        </w:rPr>
      </w:pPr>
    </w:p>
    <w:p>
      <w:pPr>
        <w:jc w:val="center"/>
        <w:ind w:left="120"/>
        <w:spacing w:after="0" w:line="286" w:lineRule="auto"/>
        <w:rPr>
          <w:sz w:val="20"/>
          <w:szCs w:val="20"/>
          <w:color w:val="auto"/>
        </w:rPr>
      </w:pPr>
      <w:r>
        <w:rPr>
          <w:rFonts w:ascii="Arial" w:cs="Arial" w:eastAsia="Arial" w:hAnsi="Arial"/>
          <w:sz w:val="17"/>
          <w:szCs w:val="17"/>
          <w:color w:val="auto"/>
        </w:rPr>
        <w:t>Incorporated by reference to Exhibit 10.15 to NTIC’s Annual Report on Form 10-K for the fiscal year ended August 31, 2011 (File No. 001-11038)</w:t>
      </w:r>
    </w:p>
    <w:p>
      <w:pPr>
        <w:spacing w:after="0" w:line="166" w:lineRule="exact"/>
        <w:rPr>
          <w:sz w:val="20"/>
          <w:szCs w:val="20"/>
          <w:color w:val="auto"/>
        </w:rPr>
      </w:pPr>
    </w:p>
    <w:p>
      <w:pPr>
        <w:jc w:val="center"/>
        <w:ind w:left="120"/>
        <w:spacing w:after="0" w:line="286" w:lineRule="auto"/>
        <w:rPr>
          <w:sz w:val="20"/>
          <w:szCs w:val="20"/>
          <w:color w:val="auto"/>
        </w:rPr>
      </w:pPr>
      <w:r>
        <w:rPr>
          <w:rFonts w:ascii="Arial" w:cs="Arial" w:eastAsia="Arial" w:hAnsi="Arial"/>
          <w:sz w:val="17"/>
          <w:szCs w:val="17"/>
          <w:color w:val="auto"/>
        </w:rPr>
        <w:t>Incorporated by reference to Exhibit 10.16 to NTIC’s Annual Report on Form 10-K for the fiscal year ended August 31, 2011 (File No. 001-11038)</w:t>
      </w:r>
    </w:p>
    <w:p>
      <w:pPr>
        <w:spacing w:after="0" w:line="38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10.2 to NTIC’s Current Report on Form 8-K as filed with the Securities and Exchange Commission on January 12, 2011 (File No. 001-11038)</w:t>
      </w:r>
    </w:p>
    <w:p>
      <w:pPr>
        <w:spacing w:after="0" w:line="29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Incorporated by reference to Exhibit 10.6 to NTIC’s Current Report on Form 8-K as filed with the Securities and Exchange Commission on January 12, 2011 (File No. 001-11038)</w:t>
      </w:r>
    </w:p>
    <w:p>
      <w:pPr>
        <w:sectPr>
          <w:pgSz w:w="11900" w:h="16838" w:orient="portrait"/>
          <w:cols w:equalWidth="0" w:num="2">
            <w:col w:w="6200" w:space="680"/>
            <w:col w:w="4180"/>
          </w:cols>
          <w:pgMar w:left="240" w:top="688" w:right="599" w:bottom="1440" w:gutter="0" w:footer="0" w:header="0"/>
        </w:sectPr>
      </w:pPr>
    </w:p>
    <w:bookmarkStart w:id="101" w:name="page102"/>
    <w:bookmarkEnd w:id="101"/>
    <w:p>
      <w:pPr>
        <w:spacing w:after="0"/>
        <w:tabs>
          <w:tab w:leader="none" w:pos="1160" w:val="left"/>
        </w:tabs>
        <w:rPr>
          <w:sz w:val="20"/>
          <w:szCs w:val="20"/>
          <w:color w:val="auto"/>
        </w:rPr>
      </w:pPr>
      <w:r>
        <w:rPr>
          <w:rFonts w:ascii="Arial" w:cs="Arial" w:eastAsia="Arial" w:hAnsi="Arial"/>
          <w:sz w:val="18"/>
          <w:szCs w:val="18"/>
          <w:b w:val="1"/>
          <w:bCs w:val="1"/>
          <w:color w:val="auto"/>
        </w:rPr>
        <w:t>Item No.</w:t>
      </w:r>
      <w:r>
        <w:rPr>
          <w:sz w:val="20"/>
          <w:szCs w:val="20"/>
          <w:color w:val="auto"/>
        </w:rPr>
        <w:tab/>
      </w:r>
      <w:r>
        <w:rPr>
          <w:rFonts w:ascii="Arial" w:cs="Arial" w:eastAsia="Arial" w:hAnsi="Arial"/>
          <w:sz w:val="17"/>
          <w:szCs w:val="17"/>
          <w:b w:val="1"/>
          <w:bCs w:val="1"/>
          <w:color w:val="auto"/>
        </w:rPr>
        <w:t>Item</w:t>
      </w:r>
    </w:p>
    <w:p>
      <w:pPr>
        <w:spacing w:after="0" w:line="27" w:lineRule="exact"/>
        <w:rPr>
          <w:sz w:val="20"/>
          <w:szCs w:val="20"/>
          <w:color w:val="auto"/>
        </w:rPr>
      </w:pPr>
    </w:p>
    <w:p>
      <w:pPr>
        <w:ind w:left="1180" w:hanging="884"/>
        <w:spacing w:after="0" w:line="263" w:lineRule="auto"/>
        <w:tabs>
          <w:tab w:leader="none" w:pos="11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Waiver and First Amendment to Loan Documents dated as of January 10, 2012 between Northern Technologies International Corporation and PNC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-431165</wp:posOffset>
            </wp:positionV>
            <wp:extent cx="39274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379" w:lineRule="exact"/>
        <w:rPr>
          <w:sz w:val="20"/>
          <w:szCs w:val="20"/>
          <w:color w:val="auto"/>
        </w:rPr>
      </w:pPr>
    </w:p>
    <w:p>
      <w:pPr>
        <w:ind w:left="1180" w:right="20" w:hanging="884"/>
        <w:spacing w:after="0" w:line="264" w:lineRule="auto"/>
        <w:tabs>
          <w:tab w:leader="none" w:pos="11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Waiver and Second Amendment to Loan Documents dated December 11, 2012 between Northern Technologies International Corporation and PNC Bank, National Association</w:t>
      </w:r>
    </w:p>
    <w:p>
      <w:pPr>
        <w:spacing w:after="0" w:line="397" w:lineRule="exact"/>
        <w:rPr>
          <w:sz w:val="20"/>
          <w:szCs w:val="20"/>
          <w:color w:val="auto"/>
        </w:rPr>
      </w:pPr>
    </w:p>
    <w:p>
      <w:pPr>
        <w:ind w:left="1180" w:right="380" w:hanging="884"/>
        <w:spacing w:after="0" w:line="342"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Letter dated December 31, 2013 to Northern Technologies International Corporation from PNC Bank, National Association</w:t>
      </w:r>
    </w:p>
    <w:p>
      <w:pPr>
        <w:spacing w:after="0" w:line="340" w:lineRule="exact"/>
        <w:rPr>
          <w:sz w:val="20"/>
          <w:szCs w:val="20"/>
          <w:color w:val="auto"/>
        </w:rPr>
      </w:pPr>
    </w:p>
    <w:p>
      <w:pPr>
        <w:ind w:left="1180" w:right="380" w:hanging="884"/>
        <w:spacing w:after="0" w:line="342" w:lineRule="auto"/>
        <w:tabs>
          <w:tab w:leader="none" w:pos="11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Letter dated January 8, 2015 to Northern Technologies International Corporation from PNC Bank, National Association</w:t>
      </w:r>
    </w:p>
    <w:p>
      <w:pPr>
        <w:spacing w:after="0" w:line="340" w:lineRule="exact"/>
        <w:rPr>
          <w:sz w:val="20"/>
          <w:szCs w:val="20"/>
          <w:color w:val="auto"/>
        </w:rPr>
      </w:pPr>
    </w:p>
    <w:p>
      <w:pPr>
        <w:jc w:val="both"/>
        <w:ind w:left="1180" w:right="300" w:hanging="884"/>
        <w:spacing w:after="0" w:line="264"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Purchase and Sale Agreement dated as of July 14, 2014 between Northern Technologies International Corporation and Glenwillow Holdings, LLC</w:t>
      </w:r>
    </w:p>
    <w:p>
      <w:pPr>
        <w:spacing w:after="0" w:line="397"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225"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Baker Tilly Virchow Krause, LLP</w:t>
      </w:r>
    </w:p>
    <w:p>
      <w:pPr>
        <w:spacing w:after="0" w:line="225" w:lineRule="exact"/>
        <w:rPr>
          <w:sz w:val="20"/>
          <w:szCs w:val="20"/>
          <w:color w:val="auto"/>
        </w:rPr>
      </w:pPr>
    </w:p>
    <w:p>
      <w:pPr>
        <w:ind w:left="1180" w:right="280" w:hanging="838"/>
        <w:spacing w:after="0" w:line="264"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President and Chief Executive Officer Pursuant to SEC Rule 13a-14(a), as adopted pursuant to Section 302 of the Sarbanes-Oxley Act of 2002</w:t>
      </w:r>
    </w:p>
    <w:p>
      <w:pPr>
        <w:spacing w:after="0" w:line="181" w:lineRule="exact"/>
        <w:rPr>
          <w:sz w:val="20"/>
          <w:szCs w:val="20"/>
          <w:color w:val="auto"/>
        </w:rPr>
      </w:pPr>
    </w:p>
    <w:p>
      <w:pPr>
        <w:ind w:left="1180" w:right="220" w:hanging="838"/>
        <w:spacing w:after="0" w:line="264" w:lineRule="auto"/>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 Rule 13a-14(a), as adopted pursuant to Section 302 of the Sarbanes-Oxley Act of 2002</w:t>
      </w:r>
    </w:p>
    <w:p>
      <w:pPr>
        <w:spacing w:after="0" w:line="390"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7620</wp:posOffset>
            </wp:positionV>
            <wp:extent cx="72466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jc w:val="center"/>
        <w:ind w:left="160"/>
        <w:spacing w:after="0" w:line="311" w:lineRule="auto"/>
        <w:rPr>
          <w:sz w:val="20"/>
          <w:szCs w:val="20"/>
          <w:color w:val="auto"/>
        </w:rPr>
      </w:pPr>
      <w:r>
        <w:rPr>
          <w:rFonts w:ascii="Arial" w:cs="Arial" w:eastAsia="Arial" w:hAnsi="Arial"/>
          <w:sz w:val="16"/>
          <w:szCs w:val="16"/>
          <w:color w:val="auto"/>
        </w:rPr>
        <w:t>Incorporated by reference to Exhibit 10.6 to NTIC’s Quarterly Report on Form 10-Q for the fiscal quarter ended November 30, 2011 (File No. 001-11038)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-453390</wp:posOffset>
            </wp:positionV>
            <wp:extent cx="2701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44" w:lineRule="exact"/>
        <w:rPr>
          <w:sz w:val="20"/>
          <w:szCs w:val="20"/>
          <w:color w:val="auto"/>
        </w:rPr>
      </w:pPr>
    </w:p>
    <w:p>
      <w:pPr>
        <w:jc w:val="center"/>
        <w:ind w:left="160"/>
        <w:spacing w:after="0" w:line="312" w:lineRule="auto"/>
        <w:rPr>
          <w:sz w:val="20"/>
          <w:szCs w:val="20"/>
          <w:color w:val="auto"/>
        </w:rPr>
      </w:pPr>
      <w:r>
        <w:rPr>
          <w:rFonts w:ascii="Arial" w:cs="Arial" w:eastAsia="Arial" w:hAnsi="Arial"/>
          <w:sz w:val="16"/>
          <w:szCs w:val="16"/>
          <w:color w:val="auto"/>
        </w:rPr>
        <w:t>Incorporated by reference to Exhibit 10.1 to NTIC’s Quarterly Report on Form 10-Q for the fiscal quarter ended November 30, 2012 (File No. 001-11038)</w:t>
      </w:r>
    </w:p>
    <w:p>
      <w:pPr>
        <w:spacing w:after="0" w:line="363" w:lineRule="exact"/>
        <w:rPr>
          <w:sz w:val="20"/>
          <w:szCs w:val="20"/>
          <w:color w:val="auto"/>
        </w:rPr>
      </w:pPr>
    </w:p>
    <w:p>
      <w:pPr>
        <w:jc w:val="center"/>
        <w:ind w:left="160"/>
        <w:spacing w:after="0" w:line="312" w:lineRule="auto"/>
        <w:rPr>
          <w:sz w:val="20"/>
          <w:szCs w:val="20"/>
          <w:color w:val="auto"/>
        </w:rPr>
      </w:pPr>
      <w:r>
        <w:rPr>
          <w:rFonts w:ascii="Arial" w:cs="Arial" w:eastAsia="Arial" w:hAnsi="Arial"/>
          <w:sz w:val="16"/>
          <w:szCs w:val="16"/>
          <w:color w:val="auto"/>
        </w:rPr>
        <w:t>Incorporated by reference to Exhibit 10.1 to NTIC’s Quarterly Report on Form 10-Q for the fiscal quarter ended February 28, 2014 (File No. 001-11038)</w:t>
      </w:r>
    </w:p>
    <w:p>
      <w:pPr>
        <w:spacing w:after="0" w:line="147" w:lineRule="exact"/>
        <w:rPr>
          <w:sz w:val="20"/>
          <w:szCs w:val="20"/>
          <w:color w:val="auto"/>
        </w:rPr>
      </w:pPr>
    </w:p>
    <w:p>
      <w:pPr>
        <w:jc w:val="center"/>
        <w:ind w:left="160"/>
        <w:spacing w:after="0" w:line="312" w:lineRule="auto"/>
        <w:rPr>
          <w:sz w:val="20"/>
          <w:szCs w:val="20"/>
          <w:color w:val="auto"/>
        </w:rPr>
      </w:pPr>
      <w:r>
        <w:rPr>
          <w:rFonts w:ascii="Arial" w:cs="Arial" w:eastAsia="Arial" w:hAnsi="Arial"/>
          <w:sz w:val="16"/>
          <w:szCs w:val="16"/>
          <w:color w:val="auto"/>
        </w:rPr>
        <w:t>Incorporated by reference to Exhibit 10.1 to NTIC’s Quarterly Report on Form 10-Q for the fiscal quarter ended February 28, 2015 (File No. 001-11038)</w:t>
      </w:r>
    </w:p>
    <w:p>
      <w:pPr>
        <w:spacing w:after="0" w:line="147" w:lineRule="exact"/>
        <w:rPr>
          <w:sz w:val="20"/>
          <w:szCs w:val="20"/>
          <w:color w:val="auto"/>
        </w:rPr>
      </w:pPr>
    </w:p>
    <w:p>
      <w:pPr>
        <w:jc w:val="center"/>
        <w:ind w:left="60"/>
        <w:spacing w:after="0" w:line="259"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July 15, 2014 (File No. 001-11038)</w:t>
      </w:r>
    </w:p>
    <w:p>
      <w:pPr>
        <w:spacing w:after="0" w:line="18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14.1 to NTIC’s Annual Report on Form 10-KSB for the fiscal year ended August 31, 2004 (File No. 001-11038)</w:t>
      </w:r>
    </w:p>
    <w:p>
      <w:pPr>
        <w:spacing w:after="0" w:line="18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200" w:space="500"/>
            <w:col w:w="4140"/>
          </w:cols>
          <w:pgMar w:left="440" w:top="688" w:right="619" w:bottom="1440" w:gutter="0" w:footer="0" w:header="0"/>
        </w:sectPr>
      </w:pPr>
    </w:p>
    <w:bookmarkStart w:id="102" w:name="page103"/>
    <w:bookmarkEnd w:id="102"/>
    <w:p>
      <w:pPr>
        <w:ind w:left="200"/>
        <w:spacing w:after="0"/>
        <w:tabs>
          <w:tab w:leader="none" w:pos="1360" w:val="left"/>
        </w:tabs>
        <w:rPr>
          <w:sz w:val="20"/>
          <w:szCs w:val="20"/>
          <w:color w:val="auto"/>
        </w:rPr>
      </w:pPr>
      <w:r>
        <w:rPr>
          <w:rFonts w:ascii="Arial" w:cs="Arial" w:eastAsia="Arial" w:hAnsi="Arial"/>
          <w:sz w:val="18"/>
          <w:szCs w:val="18"/>
          <w:b w:val="1"/>
          <w:bCs w:val="1"/>
          <w:color w:val="auto"/>
        </w:rPr>
        <w:t>Item No.</w:t>
      </w:r>
      <w:r>
        <w:rPr>
          <w:sz w:val="20"/>
          <w:szCs w:val="20"/>
          <w:color w:val="auto"/>
        </w:rPr>
        <w:tab/>
      </w:r>
      <w:r>
        <w:rPr>
          <w:rFonts w:ascii="Arial" w:cs="Arial" w:eastAsia="Arial" w:hAnsi="Arial"/>
          <w:sz w:val="17"/>
          <w:szCs w:val="17"/>
          <w:b w:val="1"/>
          <w:bCs w:val="1"/>
          <w:color w:val="auto"/>
        </w:rPr>
        <w:t>Item</w:t>
      </w:r>
    </w:p>
    <w:p>
      <w:pPr>
        <w:spacing w:after="0" w:line="27" w:lineRule="exact"/>
        <w:rPr>
          <w:sz w:val="20"/>
          <w:szCs w:val="20"/>
          <w:color w:val="auto"/>
        </w:rPr>
      </w:pPr>
    </w:p>
    <w:p>
      <w:pPr>
        <w:jc w:val="both"/>
        <w:ind w:left="1380" w:right="1180" w:hanging="838"/>
        <w:spacing w:after="0" w:line="263" w:lineRule="auto"/>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President and Chief Executive Officer Pursuant to Rule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39274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163" w:lineRule="exact"/>
        <w:rPr>
          <w:sz w:val="20"/>
          <w:szCs w:val="20"/>
          <w:color w:val="auto"/>
        </w:rPr>
      </w:pPr>
    </w:p>
    <w:p>
      <w:pPr>
        <w:ind w:left="1380" w:right="1380" w:hanging="838"/>
        <w:spacing w:after="0" w:line="264" w:lineRule="auto"/>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Rule 18 U.S.C. Section 1350, as adopted pursuant to Section 906 of the Sarbanes-Oxley Act of 2002</w:t>
      </w:r>
    </w:p>
    <w:p>
      <w:pPr>
        <w:spacing w:after="0" w:line="181" w:lineRule="exact"/>
        <w:rPr>
          <w:sz w:val="20"/>
          <w:szCs w:val="20"/>
          <w:color w:val="auto"/>
        </w:rPr>
      </w:pPr>
    </w:p>
    <w:p>
      <w:pPr>
        <w:ind w:left="1380" w:right="1300" w:hanging="838"/>
        <w:spacing w:after="0" w:line="277" w:lineRule="auto"/>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Financial Statements of Excor Korrosionsschutz – Technologien und Produkte GmbH</w:t>
      </w:r>
    </w:p>
    <w:p>
      <w:pPr>
        <w:spacing w:after="0" w:line="170" w:lineRule="exact"/>
        <w:rPr>
          <w:sz w:val="20"/>
          <w:szCs w:val="20"/>
          <w:color w:val="auto"/>
        </w:rPr>
      </w:pPr>
    </w:p>
    <w:p>
      <w:pPr>
        <w:ind w:left="1380" w:right="1140" w:hanging="825"/>
        <w:spacing w:after="0" w:line="284"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Northern Technologies International Corporation’s Annual Report on Form 10-K for the fiscal year ended August 31, 2015, formatted in XBRL (Extensible Business Reporting Language): (i) the Consolidated Balance Sheets, (ii) the Consolidated Statements of Operations, (iii) the Consolidated Statements of Comprehensive Income (Loss), (iv) the Consolidated Statements of Equity, (v) the Consolidated</w:t>
      </w:r>
    </w:p>
    <w:p>
      <w:pPr>
        <w:spacing w:after="0" w:line="3" w:lineRule="exact"/>
        <w:rPr>
          <w:sz w:val="20"/>
          <w:szCs w:val="20"/>
          <w:color w:val="auto"/>
        </w:rPr>
      </w:pPr>
    </w:p>
    <w:p>
      <w:pPr>
        <w:ind w:left="1380" w:right="1180"/>
        <w:spacing w:after="0" w:line="250" w:lineRule="auto"/>
        <w:rPr>
          <w:sz w:val="20"/>
          <w:szCs w:val="20"/>
          <w:color w:val="auto"/>
        </w:rPr>
      </w:pPr>
      <w:r>
        <w:rPr>
          <w:rFonts w:ascii="Arial" w:cs="Arial" w:eastAsia="Arial" w:hAnsi="Arial"/>
          <w:sz w:val="18"/>
          <w:szCs w:val="18"/>
          <w:color w:val="auto"/>
        </w:rPr>
        <w:t>Statements of Cash Flows, and (vi) Notes to Condensed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-130810</wp:posOffset>
            </wp:positionV>
            <wp:extent cx="2701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 be filed by amendment</w:t>
      </w: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300" w:space="720"/>
            <w:col w:w="2199"/>
          </w:cols>
          <w:pgMar w:left="240" w:top="688"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TERMS OF ANNUAL BONUS PLAN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material terms of the Northern Technologies International Corporation annual bonus plan for executive officers and certain other employees are set forth in resolutions approved by the Compensation Committee and are not otherwise set forth in any written formal plan or individual agreements between NTIC and plan participants.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fiscal year,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is determined based upon the Company’s actual EBITOI for the fiscal year compared to a pre-established target EBITOI for the fiscal year and 25% of the payout is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are determined by the Company’s Board of Directors, upon recommendation of the Compensation Committee, after the completion of the Company’s consolidated financial statements for the fiscal year.</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NTIC’s non-employee directors currently consist of Barbara D. Colwell, Soo Keong Koh, Ph.D., Sunggyu Lee, Ph.D., Ramani Narayan, Ph.D., Richard J. Nigon and Konstantin von Falkenhausen. NTIC uses a combination of cash and long-term equity-based incentive compensation in the form of annual stock option grants to attract and retain qualified candidates to serve on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receives an annual retainer of $15,000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non-employee director is automatically granted a ten-year non-qualified option to purchase 4,000 shares of NTIC common stock in consideration for their services as directors of NTIC and the Chairman of the Board is automatically granted an additional ten-year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directors of NTIC are reimbursed for travel expenses for attending meetings and other miscellaneous out-of-pocket expenses incurred in performing their Board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paid consulting fees to Bioplastic Polymers LLC, an entity which is owned by Ramani Narayan, Ph.D., in the aggregate amount of $100,000 and royalty fees in an aggregate amount of $21,327 during the fiscal year ended August 31, 2015.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ten-year period, then NTIC will until the expiration of such patent pay to Bioplastic Polymers LLC and Dr. Narayan an aggregate three percent of the biodegradable polymer technology gross margin attributable to such patent.</w:t>
      </w:r>
    </w:p>
    <w:p>
      <w:pPr>
        <w:sectPr>
          <w:pgSz w:w="11900" w:h="16838" w:orient="portrait"/>
          <w:cols w:equalWidth="0" w:num="1">
            <w:col w:w="11380"/>
          </w:cols>
          <w:pgMar w:left="240" w:top="688" w:right="27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180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NTI ASEAN LLC</w:t>
      </w:r>
    </w:p>
    <w:p>
      <w:pPr>
        <w:spacing w:after="0" w:line="225" w:lineRule="exact"/>
        <w:rPr>
          <w:sz w:val="20"/>
          <w:szCs w:val="20"/>
          <w:color w:val="auto"/>
        </w:rPr>
      </w:pPr>
    </w:p>
    <w:p>
      <w:pPr>
        <w:spacing w:after="0" w:line="501" w:lineRule="auto"/>
        <w:rPr>
          <w:sz w:val="20"/>
          <w:szCs w:val="20"/>
          <w:color w:val="auto"/>
        </w:rPr>
      </w:pPr>
      <w:r>
        <w:rPr>
          <w:rFonts w:ascii="Arial" w:cs="Arial" w:eastAsia="Arial" w:hAnsi="Arial"/>
          <w:sz w:val="18"/>
          <w:szCs w:val="18"/>
          <w:color w:val="auto"/>
        </w:rPr>
        <w:t>Northern Technologies Holding Company, LLC Natur-Tec India Private Limited Zerust Prevenção de Corrosão S.A.</w:t>
      </w:r>
    </w:p>
    <w:p>
      <w:pPr>
        <w:spacing w:after="0"/>
        <w:rPr>
          <w:sz w:val="20"/>
          <w:szCs w:val="20"/>
          <w:color w:val="auto"/>
        </w:rPr>
      </w:pPr>
      <w:r>
        <w:rPr>
          <w:rFonts w:ascii="Arial" w:cs="Arial" w:eastAsia="Arial" w:hAnsi="Arial"/>
          <w:sz w:val="18"/>
          <w:szCs w:val="18"/>
          <w:color w:val="auto"/>
        </w:rPr>
        <w:t>NTIC (Shanghai)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ind w:left="124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State or Other Jurisdiction of</w:t>
            </w:r>
          </w:p>
        </w:tc>
        <w:tc>
          <w:tcPr>
            <w:tcW w:w="164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Ownership</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Names Under Which</w:t>
            </w:r>
          </w:p>
        </w:tc>
      </w:tr>
      <w:tr>
        <w:trPr>
          <w:trHeight w:val="234"/>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c>
          <w:tcPr>
            <w:tcW w:w="2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89"/>
              </w:rPr>
              <w:t>Interest</w:t>
            </w:r>
          </w:p>
        </w:tc>
        <w:tc>
          <w:tcPr>
            <w:tcW w:w="20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Subsidiary Does Business</w:t>
            </w:r>
          </w:p>
        </w:tc>
        <w:tc>
          <w:tcPr>
            <w:tcW w:w="100" w:type="dxa"/>
            <w:vAlign w:val="bottom"/>
          </w:tcPr>
          <w:p>
            <w:pPr>
              <w:spacing w:after="0"/>
              <w:rPr>
                <w:sz w:val="20"/>
                <w:szCs w:val="20"/>
                <w:color w:val="auto"/>
              </w:rPr>
            </w:pPr>
          </w:p>
        </w:tc>
      </w:tr>
      <w:tr>
        <w:trPr>
          <w:trHeight w:val="426"/>
        </w:trPr>
        <w:tc>
          <w:tcPr>
            <w:tcW w:w="330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Delaware</w:t>
            </w:r>
          </w:p>
        </w:tc>
        <w:tc>
          <w:tcPr>
            <w:tcW w:w="1640" w:type="dxa"/>
            <w:vAlign w:val="bottom"/>
          </w:tcPr>
          <w:p>
            <w:pPr>
              <w:jc w:val="center"/>
              <w:ind w:right="570"/>
              <w:spacing w:after="0"/>
              <w:rPr>
                <w:sz w:val="20"/>
                <w:szCs w:val="20"/>
                <w:color w:val="auto"/>
              </w:rPr>
            </w:pPr>
            <w:r>
              <w:rPr>
                <w:rFonts w:ascii="Arial" w:cs="Arial" w:eastAsia="Arial" w:hAnsi="Arial"/>
                <w:sz w:val="18"/>
                <w:szCs w:val="18"/>
                <w:color w:val="auto"/>
                <w:w w:val="94"/>
              </w:rPr>
              <w:t>60%</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Same</w:t>
            </w:r>
          </w:p>
        </w:tc>
      </w:tr>
      <w:tr>
        <w:trPr>
          <w:trHeight w:val="432"/>
        </w:trPr>
        <w:tc>
          <w:tcPr>
            <w:tcW w:w="330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Delaware</w:t>
            </w:r>
          </w:p>
        </w:tc>
        <w:tc>
          <w:tcPr>
            <w:tcW w:w="1640" w:type="dxa"/>
            <w:vAlign w:val="bottom"/>
          </w:tcPr>
          <w:p>
            <w:pPr>
              <w:jc w:val="center"/>
              <w:ind w:right="570"/>
              <w:spacing w:after="0"/>
              <w:rPr>
                <w:sz w:val="20"/>
                <w:szCs w:val="20"/>
                <w:color w:val="auto"/>
              </w:rPr>
            </w:pPr>
            <w:r>
              <w:rPr>
                <w:rFonts w:ascii="Arial" w:cs="Arial" w:eastAsia="Arial" w:hAnsi="Arial"/>
                <w:sz w:val="18"/>
                <w:szCs w:val="18"/>
                <w:color w:val="auto"/>
                <w:w w:val="91"/>
              </w:rPr>
              <w:t>100%</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Same</w:t>
            </w:r>
          </w:p>
        </w:tc>
      </w:tr>
      <w:tr>
        <w:trPr>
          <w:trHeight w:val="432"/>
        </w:trPr>
        <w:tc>
          <w:tcPr>
            <w:tcW w:w="3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India</w:t>
            </w:r>
          </w:p>
        </w:tc>
        <w:tc>
          <w:tcPr>
            <w:tcW w:w="1640" w:type="dxa"/>
            <w:vAlign w:val="bottom"/>
          </w:tcPr>
          <w:p>
            <w:pPr>
              <w:jc w:val="center"/>
              <w:ind w:right="570"/>
              <w:spacing w:after="0"/>
              <w:rPr>
                <w:sz w:val="20"/>
                <w:szCs w:val="20"/>
                <w:color w:val="auto"/>
              </w:rPr>
            </w:pPr>
            <w:r>
              <w:rPr>
                <w:rFonts w:ascii="Arial" w:cs="Arial" w:eastAsia="Arial" w:hAnsi="Arial"/>
                <w:sz w:val="18"/>
                <w:szCs w:val="18"/>
                <w:color w:val="auto"/>
                <w:w w:val="94"/>
              </w:rPr>
              <w:t>90%</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Same</w:t>
            </w:r>
          </w:p>
        </w:tc>
      </w:tr>
      <w:tr>
        <w:trPr>
          <w:trHeight w:val="432"/>
        </w:trPr>
        <w:tc>
          <w:tcPr>
            <w:tcW w:w="3300" w:type="dxa"/>
            <w:vAlign w:val="bottom"/>
            <w:gridSpan w:val="3"/>
          </w:tcPr>
          <w:p>
            <w:pPr>
              <w:jc w:val="center"/>
              <w:ind w:right="860"/>
              <w:spacing w:after="0"/>
              <w:rPr>
                <w:sz w:val="20"/>
                <w:szCs w:val="20"/>
                <w:color w:val="auto"/>
              </w:rPr>
            </w:pPr>
            <w:r>
              <w:rPr>
                <w:rFonts w:ascii="Arial" w:cs="Arial" w:eastAsia="Arial" w:hAnsi="Arial"/>
                <w:sz w:val="18"/>
                <w:szCs w:val="18"/>
                <w:color w:val="auto"/>
                <w:w w:val="97"/>
              </w:rPr>
              <w:t>Brazil</w:t>
            </w:r>
          </w:p>
        </w:tc>
        <w:tc>
          <w:tcPr>
            <w:tcW w:w="1640" w:type="dxa"/>
            <w:vAlign w:val="bottom"/>
          </w:tcPr>
          <w:p>
            <w:pPr>
              <w:jc w:val="center"/>
              <w:ind w:right="570"/>
              <w:spacing w:after="0"/>
              <w:rPr>
                <w:sz w:val="20"/>
                <w:szCs w:val="20"/>
                <w:color w:val="auto"/>
              </w:rPr>
            </w:pPr>
            <w:r>
              <w:rPr>
                <w:rFonts w:ascii="Arial" w:cs="Arial" w:eastAsia="Arial" w:hAnsi="Arial"/>
                <w:sz w:val="18"/>
                <w:szCs w:val="18"/>
                <w:color w:val="auto"/>
                <w:w w:val="94"/>
              </w:rPr>
              <w:t>85%</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Same</w:t>
            </w:r>
          </w:p>
        </w:tc>
      </w:tr>
      <w:tr>
        <w:trPr>
          <w:trHeight w:val="432"/>
        </w:trPr>
        <w:tc>
          <w:tcPr>
            <w:tcW w:w="3300" w:type="dxa"/>
            <w:vAlign w:val="bottom"/>
            <w:gridSpan w:val="3"/>
          </w:tcPr>
          <w:p>
            <w:pPr>
              <w:jc w:val="center"/>
              <w:ind w:right="860"/>
              <w:spacing w:after="0"/>
              <w:rPr>
                <w:sz w:val="20"/>
                <w:szCs w:val="20"/>
                <w:color w:val="auto"/>
              </w:rPr>
            </w:pPr>
            <w:r>
              <w:rPr>
                <w:rFonts w:ascii="Arial" w:cs="Arial" w:eastAsia="Arial" w:hAnsi="Arial"/>
                <w:sz w:val="18"/>
                <w:szCs w:val="18"/>
                <w:color w:val="auto"/>
                <w:w w:val="93"/>
              </w:rPr>
              <w:t>China</w:t>
            </w:r>
          </w:p>
        </w:tc>
        <w:tc>
          <w:tcPr>
            <w:tcW w:w="1640" w:type="dxa"/>
            <w:vAlign w:val="bottom"/>
          </w:tcPr>
          <w:p>
            <w:pPr>
              <w:jc w:val="center"/>
              <w:ind w:right="570"/>
              <w:spacing w:after="0"/>
              <w:rPr>
                <w:sz w:val="20"/>
                <w:szCs w:val="20"/>
                <w:color w:val="auto"/>
              </w:rPr>
            </w:pPr>
            <w:r>
              <w:rPr>
                <w:rFonts w:ascii="Arial" w:cs="Arial" w:eastAsia="Arial" w:hAnsi="Arial"/>
                <w:sz w:val="18"/>
                <w:szCs w:val="18"/>
                <w:color w:val="auto"/>
                <w:w w:val="91"/>
              </w:rPr>
              <w:t>100%</w:t>
            </w:r>
          </w:p>
        </w:tc>
        <w:tc>
          <w:tcPr>
            <w:tcW w:w="2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Same</w:t>
            </w:r>
          </w:p>
        </w:tc>
      </w:tr>
    </w:tbl>
    <w:p>
      <w:pPr>
        <w:sectPr>
          <w:pgSz w:w="11900" w:h="16838" w:orient="portrait"/>
          <w:cols w:equalWidth="0" w:num="2">
            <w:col w:w="3460" w:space="540"/>
            <w:col w:w="7320"/>
          </w:cols>
          <w:pgMar w:left="3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S-3 (File No. 333-185271) and Registration Statements on Form S-8 (File Nos. 333-140244, 333-140245 and 333-171828) of Northern Technologies International Corporation and Subsidiaries of our report dated November 13, 2015, relating to the consolidated financial statements and the effectiveness of internal control over financial reporting, which appears on page 50 of this annual report on Form 10-K for the fiscal year ended August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333" w:lineRule="exact"/>
        <w:rPr>
          <w:rFonts w:ascii="Arial" w:cs="Arial" w:eastAsia="Arial" w:hAnsi="Arial"/>
          <w:sz w:val="18"/>
          <w:szCs w:val="18"/>
          <w:color w:val="auto"/>
        </w:rPr>
      </w:pPr>
    </w:p>
    <w:p>
      <w:pPr>
        <w:jc w:val="both"/>
        <w:ind w:left="720" w:hanging="712"/>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720" w:hanging="712"/>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720" w:hanging="712"/>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1080" w:hanging="296"/>
        <w:spacing w:after="0" w:line="264"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89" w:lineRule="exact"/>
        <w:rPr>
          <w:rFonts w:ascii="Arial" w:cs="Arial" w:eastAsia="Arial" w:hAnsi="Arial"/>
          <w:sz w:val="18"/>
          <w:szCs w:val="18"/>
          <w:color w:val="auto"/>
        </w:rPr>
      </w:pPr>
    </w:p>
    <w:p>
      <w:pPr>
        <w:ind w:left="1080" w:hanging="286"/>
        <w:spacing w:after="0" w:line="308" w:lineRule="auto"/>
        <w:tabs>
          <w:tab w:leader="none" w:pos="10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96"/>
        <w:spacing w:after="0" w:line="264"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720" w:hanging="712"/>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hanging="296"/>
        <w:spacing w:after="0" w:line="277"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-121920</wp:posOffset>
            </wp:positionV>
            <wp:extent cx="1792605" cy="368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92605" cy="3689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333" w:lineRule="exact"/>
        <w:rPr>
          <w:rFonts w:ascii="Arial" w:cs="Arial" w:eastAsia="Arial" w:hAnsi="Arial"/>
          <w:sz w:val="18"/>
          <w:szCs w:val="18"/>
          <w:color w:val="auto"/>
        </w:rPr>
      </w:pPr>
    </w:p>
    <w:p>
      <w:pPr>
        <w:jc w:val="both"/>
        <w:ind w:left="720" w:hanging="712"/>
        <w:spacing w:after="0" w:line="26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720" w:hanging="712"/>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jc w:val="both"/>
        <w:ind w:left="720" w:hanging="712"/>
        <w:spacing w:after="0" w:line="26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1080" w:hanging="286"/>
        <w:spacing w:after="0" w:line="264"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1080" w:hanging="296"/>
        <w:spacing w:after="0" w:line="264"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89" w:lineRule="exact"/>
        <w:rPr>
          <w:rFonts w:ascii="Arial" w:cs="Arial" w:eastAsia="Arial" w:hAnsi="Arial"/>
          <w:sz w:val="18"/>
          <w:szCs w:val="18"/>
          <w:color w:val="auto"/>
        </w:rPr>
      </w:pPr>
    </w:p>
    <w:p>
      <w:pPr>
        <w:ind w:left="1080" w:hanging="286"/>
        <w:spacing w:after="0" w:line="308" w:lineRule="auto"/>
        <w:tabs>
          <w:tab w:leader="none" w:pos="1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1080" w:hanging="296"/>
        <w:spacing w:after="0" w:line="264"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720" w:hanging="712"/>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1080" w:hanging="286"/>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1080" w:hanging="296"/>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2178050" cy="4546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78050" cy="4546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117475</wp:posOffset>
            </wp:positionV>
            <wp:extent cx="1792605" cy="3689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926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906 OF THE SARBANES-OXLEY ACT OF 2002</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2015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117475</wp:posOffset>
            </wp:positionV>
            <wp:extent cx="2178050" cy="4546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80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Corporate Secretary (principal financial</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35"/>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2019-12-29T14:09:36Z</dcterms:created>
  <dcterms:modified xsi:type="dcterms:W3CDTF">2019-12-29T14:09:36Z</dcterms:modified>
</cp:coreProperties>
</file>