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3800" w:right="1960" w:hanging="3792"/>
        <w:spacing w:after="0" w:line="490" w:lineRule="auto"/>
        <w:tabs>
          <w:tab w:leader="none" w:pos="30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February 28, 2019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2980"/>
        <w:spacing w:after="0"/>
        <w:rPr>
          <w:sz w:val="20"/>
          <w:szCs w:val="20"/>
          <w:color w:val="auto"/>
        </w:rPr>
      </w:pPr>
      <w:r>
        <w:rPr>
          <w:rFonts w:ascii="Arial" w:cs="Arial" w:eastAsia="Arial" w:hAnsi="Arial"/>
          <w:sz w:val="18"/>
          <w:szCs w:val="18"/>
          <w:color w:val="auto"/>
        </w:rPr>
        <w:t>For the transition period from ________________ to 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1440" w:gutter="0" w:footer="0" w:header="0"/>
        </w:sectPr>
      </w:pPr>
    </w:p>
    <w:p>
      <w:pPr>
        <w:spacing w:after="0" w:line="20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41-0857886</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780" w:space="720"/>
            <w:col w:w="3900"/>
          </w:cols>
          <w:pgMar w:left="240" w:top="544" w:right="259" w:bottom="1440"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4201 Woodland Road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P.O. Box 69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Circle Pines, Minnesota 55014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1"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544" w:right="259" w:bottom="1440" w:gutter="0" w:footer="0" w:header="0"/>
          <w:type w:val="continuous"/>
        </w:sectPr>
      </w:pP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Large accelerated filer [ ]</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2">
            <w:col w:w="7060" w:space="720"/>
            <w:col w:w="3620"/>
          </w:cols>
          <w:pgMar w:left="240" w:top="544" w:right="259" w:bottom="1440" w:gutter="0" w:footer="0" w:header="0"/>
          <w:type w:val="continuous"/>
        </w:sectPr>
      </w:pPr>
    </w:p>
    <w:p>
      <w:pPr>
        <w:spacing w:after="0" w:line="2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8, 2019, there were 4,537,408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40" w:type="dxa"/>
            <w:vAlign w:val="bottom"/>
            <w:gridSpan w:val="10"/>
          </w:tcPr>
          <w:p>
            <w:pPr>
              <w:ind w:left="120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900" w:type="dxa"/>
            <w:vAlign w:val="bottom"/>
            <w:gridSpan w:val="6"/>
          </w:tcPr>
          <w:p>
            <w:pPr>
              <w:spacing w:after="0"/>
              <w:rPr>
                <w:sz w:val="20"/>
                <w:szCs w:val="20"/>
                <w:color w:val="auto"/>
              </w:rPr>
            </w:pPr>
            <w:r>
              <w:rPr>
                <w:rFonts w:ascii="Arial" w:cs="Arial" w:eastAsia="Arial" w:hAnsi="Arial"/>
                <w:sz w:val="18"/>
                <w:szCs w:val="18"/>
                <w:b w:val="1"/>
                <w:bCs w:val="1"/>
                <w:color w:val="auto"/>
                <w:w w:val="88"/>
              </w:rPr>
              <w:t>Description</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412"/>
        </w:trPr>
        <w:tc>
          <w:tcPr>
            <w:tcW w:w="640" w:type="dxa"/>
            <w:vAlign w:val="bottom"/>
            <w:tcBorders>
              <w:top w:val="single" w:sz="8" w:color="auto"/>
            </w:tcBorders>
            <w:gridSpan w:val="4"/>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PART I.</w:t>
              </w:r>
            </w:hyperlink>
          </w:p>
        </w:tc>
        <w:tc>
          <w:tcPr>
            <w:tcW w:w="260" w:type="dxa"/>
            <w:vAlign w:val="bottom"/>
            <w:tcBorders>
              <w:top w:val="single" w:sz="8" w:color="auto"/>
            </w:tcBorders>
            <w:gridSpan w:val="2"/>
          </w:tcPr>
          <w:p>
            <w:pPr>
              <w:spacing w:after="0"/>
              <w:rPr>
                <w:sz w:val="24"/>
                <w:szCs w:val="24"/>
                <w:color w:val="auto"/>
              </w:rPr>
            </w:pPr>
          </w:p>
        </w:tc>
        <w:tc>
          <w:tcPr>
            <w:tcW w:w="26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tcBorders>
              <w:top w:val="single" w:sz="8" w:color="0000EE"/>
            </w:tcBorders>
            <w:gridSpan w:val="3"/>
          </w:tcPr>
          <w:p>
            <w:pPr>
              <w:spacing w:after="0"/>
              <w:rPr>
                <w:sz w:val="17"/>
                <w:szCs w:val="17"/>
                <w:color w:val="auto"/>
              </w:rPr>
            </w:pPr>
          </w:p>
        </w:tc>
        <w:tc>
          <w:tcPr>
            <w:tcW w:w="520" w:type="dxa"/>
            <w:vAlign w:val="bottom"/>
            <w:gridSpan w:val="3"/>
          </w:tcPr>
          <w:p>
            <w:pPr>
              <w:spacing w:after="0"/>
              <w:rPr>
                <w:sz w:val="17"/>
                <w:szCs w:val="17"/>
                <w:color w:val="auto"/>
              </w:rPr>
            </w:pPr>
          </w:p>
        </w:tc>
        <w:tc>
          <w:tcPr>
            <w:tcW w:w="1520" w:type="dxa"/>
            <w:vAlign w:val="bottom"/>
            <w:tcBorders>
              <w:top w:val="single" w:sz="8" w:color="0000EE"/>
            </w:tcBorders>
            <w:gridSpan w:val="5"/>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880" w:type="dxa"/>
            <w:vAlign w:val="bottom"/>
            <w:tcBorders>
              <w:top w:val="single" w:sz="8" w:color="0000EE"/>
            </w:tcBorders>
            <w:gridSpan w:val="4"/>
          </w:tcPr>
          <w:p>
            <w:pPr>
              <w:spacing w:after="0"/>
              <w:rPr>
                <w:sz w:val="17"/>
                <w:szCs w:val="17"/>
                <w:color w:val="auto"/>
              </w:rPr>
            </w:pPr>
          </w:p>
        </w:tc>
        <w:tc>
          <w:tcPr>
            <w:tcW w:w="7040" w:type="dxa"/>
            <w:vAlign w:val="bottom"/>
            <w:gridSpan w:val="10"/>
          </w:tcPr>
          <w:p>
            <w:pPr>
              <w:spacing w:after="0"/>
              <w:rPr>
                <w:sz w:val="17"/>
                <w:szCs w:val="17"/>
                <w:color w:val="auto"/>
              </w:rPr>
            </w:pPr>
          </w:p>
        </w:tc>
        <w:tc>
          <w:tcPr>
            <w:tcW w:w="820" w:type="dxa"/>
            <w:vAlign w:val="bottom"/>
            <w:gridSpan w:val="4"/>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80" w:type="dxa"/>
            <w:vAlign w:val="bottom"/>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February 28, 2019 (unaudited) and August 31, 2018</w:t>
              </w:r>
            </w:hyperlink>
          </w:p>
        </w:tc>
        <w:tc>
          <w:tcPr>
            <w:tcW w:w="3160" w:type="dxa"/>
            <w:vAlign w:val="bottom"/>
            <w:gridSpan w:val="6"/>
          </w:tcPr>
          <w:p>
            <w:pPr>
              <w:spacing w:after="0"/>
              <w:rPr>
                <w:sz w:val="17"/>
                <w:szCs w:val="17"/>
                <w:color w:val="auto"/>
              </w:rPr>
            </w:pPr>
          </w:p>
        </w:tc>
        <w:tc>
          <w:tcPr>
            <w:tcW w:w="820" w:type="dxa"/>
            <w:vAlign w:val="bottom"/>
            <w:gridSpan w:val="4"/>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60" w:type="dxa"/>
            <w:vAlign w:val="bottom"/>
            <w:gridSpan w:val="17"/>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Operations (unaudited) for the Three and Six Months Ended February 28, 2019 and 2018</w:t>
              </w:r>
            </w:hyperlink>
          </w:p>
        </w:tc>
        <w:tc>
          <w:tcPr>
            <w:tcW w:w="980" w:type="dxa"/>
            <w:vAlign w:val="bottom"/>
            <w:gridSpan w:val="2"/>
          </w:tcPr>
          <w:p>
            <w:pPr>
              <w:spacing w:after="0"/>
              <w:rPr>
                <w:sz w:val="17"/>
                <w:szCs w:val="17"/>
                <w:color w:val="auto"/>
              </w:rPr>
            </w:pPr>
          </w:p>
        </w:tc>
        <w:tc>
          <w:tcPr>
            <w:tcW w:w="820" w:type="dxa"/>
            <w:vAlign w:val="bottom"/>
            <w:gridSpan w:val="4"/>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gridSpan w:val="19"/>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Comprehensive Income (unaudited) for the Three and Six Months Ended February 28, 2019 and</w:t>
              </w:r>
            </w:hyperlink>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Equity (unaudited) for the Three and Six Months Ended February 28, 2019 and 2018</w:t>
              </w:r>
            </w:hyperlink>
          </w:p>
        </w:tc>
        <w:tc>
          <w:tcPr>
            <w:tcW w:w="820" w:type="dxa"/>
            <w:vAlign w:val="bottom"/>
            <w:gridSpan w:val="4"/>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740" w:type="dxa"/>
            <w:vAlign w:val="bottom"/>
            <w:gridSpan w:val="1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Cash Flows (unaudited) for the Six Months Ended February 28, 2019 and 2018</w:t>
              </w:r>
            </w:hyperlink>
          </w:p>
        </w:tc>
        <w:tc>
          <w:tcPr>
            <w:tcW w:w="400" w:type="dxa"/>
            <w:vAlign w:val="bottom"/>
          </w:tcPr>
          <w:p>
            <w:pPr>
              <w:spacing w:after="0"/>
              <w:rPr>
                <w:sz w:val="17"/>
                <w:szCs w:val="17"/>
                <w:color w:val="auto"/>
              </w:rPr>
            </w:pPr>
          </w:p>
        </w:tc>
        <w:tc>
          <w:tcPr>
            <w:tcW w:w="1300" w:type="dxa"/>
            <w:vAlign w:val="bottom"/>
            <w:gridSpan w:val="3"/>
          </w:tcPr>
          <w:p>
            <w:pPr>
              <w:spacing w:after="0"/>
              <w:rPr>
                <w:sz w:val="17"/>
                <w:szCs w:val="17"/>
                <w:color w:val="auto"/>
              </w:rPr>
            </w:pPr>
          </w:p>
        </w:tc>
        <w:tc>
          <w:tcPr>
            <w:tcW w:w="820" w:type="dxa"/>
            <w:vAlign w:val="bottom"/>
            <w:gridSpan w:val="4"/>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40" w:type="dxa"/>
            <w:vAlign w:val="bottom"/>
            <w:gridSpan w:val="10"/>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Notes to Consolidated Financial Statements (unaudited)</w:t>
              </w:r>
            </w:hyperlink>
          </w:p>
        </w:tc>
        <w:tc>
          <w:tcPr>
            <w:tcW w:w="3700" w:type="dxa"/>
            <w:vAlign w:val="bottom"/>
            <w:gridSpan w:val="5"/>
          </w:tcPr>
          <w:p>
            <w:pPr>
              <w:spacing w:after="0"/>
              <w:rPr>
                <w:sz w:val="17"/>
                <w:szCs w:val="17"/>
                <w:color w:val="auto"/>
              </w:rPr>
            </w:pPr>
          </w:p>
        </w:tc>
        <w:tc>
          <w:tcPr>
            <w:tcW w:w="1700" w:type="dxa"/>
            <w:vAlign w:val="bottom"/>
            <w:gridSpan w:val="4"/>
          </w:tcPr>
          <w:p>
            <w:pPr>
              <w:spacing w:after="0"/>
              <w:rPr>
                <w:sz w:val="17"/>
                <w:szCs w:val="17"/>
                <w:color w:val="auto"/>
              </w:rPr>
            </w:pPr>
          </w:p>
        </w:tc>
        <w:tc>
          <w:tcPr>
            <w:tcW w:w="820" w:type="dxa"/>
            <w:vAlign w:val="bottom"/>
            <w:gridSpan w:val="4"/>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Item 2.</w:t>
              </w:r>
            </w:hyperlink>
          </w:p>
        </w:tc>
        <w:tc>
          <w:tcPr>
            <w:tcW w:w="620" w:type="dxa"/>
            <w:vAlign w:val="bottom"/>
            <w:gridSpan w:val="5"/>
          </w:tcPr>
          <w:p>
            <w:pPr>
              <w:spacing w:after="0"/>
              <w:rPr>
                <w:sz w:val="17"/>
                <w:szCs w:val="17"/>
                <w:color w:val="auto"/>
              </w:rPr>
            </w:pPr>
          </w:p>
        </w:tc>
        <w:tc>
          <w:tcPr>
            <w:tcW w:w="944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820" w:type="dxa"/>
            <w:vAlign w:val="bottom"/>
            <w:gridSpan w:val="4"/>
          </w:tcPr>
          <w:p>
            <w:pPr>
              <w:jc w:val="right"/>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20</w:t>
              </w:r>
            </w:hyperlink>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3.</w:t>
              </w:r>
            </w:hyperlink>
          </w:p>
        </w:tc>
        <w:tc>
          <w:tcPr>
            <w:tcW w:w="620" w:type="dxa"/>
            <w:vAlign w:val="bottom"/>
            <w:gridSpan w:val="5"/>
          </w:tcPr>
          <w:p>
            <w:pPr>
              <w:spacing w:after="0"/>
              <w:rPr>
                <w:sz w:val="17"/>
                <w:szCs w:val="17"/>
                <w:color w:val="auto"/>
              </w:rPr>
            </w:pPr>
          </w:p>
        </w:tc>
        <w:tc>
          <w:tcPr>
            <w:tcW w:w="43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2980" w:type="dxa"/>
            <w:vAlign w:val="bottom"/>
            <w:gridSpan w:val="5"/>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35</w:t>
              </w:r>
            </w:hyperlink>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640" w:type="dxa"/>
            <w:vAlign w:val="bottom"/>
            <w:gridSpan w:val="6"/>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Controls and Procedures</w:t>
              </w:r>
            </w:hyperlink>
          </w:p>
        </w:tc>
        <w:tc>
          <w:tcPr>
            <w:tcW w:w="7660" w:type="dxa"/>
            <w:vAlign w:val="bottom"/>
            <w:gridSpan w:val="13"/>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35</w:t>
              </w:r>
            </w:hyperlink>
          </w:p>
        </w:tc>
      </w:tr>
      <w:tr>
        <w:trPr>
          <w:trHeight w:val="196"/>
        </w:trPr>
        <w:tc>
          <w:tcPr>
            <w:tcW w:w="1160" w:type="dxa"/>
            <w:vAlign w:val="bottom"/>
            <w:gridSpan w:val="7"/>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w:t>
              </w:r>
            </w:hyperlink>
          </w:p>
        </w:tc>
        <w:tc>
          <w:tcPr>
            <w:tcW w:w="9440" w:type="dxa"/>
            <w:vAlign w:val="bottom"/>
            <w:gridSpan w:val="19"/>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OTHER INFORMATION</w:t>
              </w:r>
            </w:hyperlink>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1.</w:t>
              </w:r>
            </w:hyperlink>
          </w:p>
        </w:tc>
        <w:tc>
          <w:tcPr>
            <w:tcW w:w="160" w:type="dxa"/>
            <w:vAlign w:val="bottom"/>
            <w:tcBorders>
              <w:top w:val="single" w:sz="8" w:color="0000EE"/>
            </w:tcBorders>
            <w:gridSpan w:val="3"/>
          </w:tcPr>
          <w:p>
            <w:pPr>
              <w:spacing w:after="0"/>
              <w:rPr>
                <w:sz w:val="17"/>
                <w:szCs w:val="17"/>
                <w:color w:val="auto"/>
              </w:rPr>
            </w:pPr>
          </w:p>
        </w:tc>
        <w:tc>
          <w:tcPr>
            <w:tcW w:w="460" w:type="dxa"/>
            <w:vAlign w:val="bottom"/>
            <w:gridSpan w:val="2"/>
          </w:tcPr>
          <w:p>
            <w:pPr>
              <w:spacing w:after="0"/>
              <w:rPr>
                <w:sz w:val="17"/>
                <w:szCs w:val="17"/>
                <w:color w:val="auto"/>
              </w:rPr>
            </w:pPr>
          </w:p>
        </w:tc>
        <w:tc>
          <w:tcPr>
            <w:tcW w:w="20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7400" w:type="dxa"/>
            <w:vAlign w:val="bottom"/>
            <w:gridSpan w:val="12"/>
          </w:tcPr>
          <w:p>
            <w:pPr>
              <w:spacing w:after="0"/>
              <w:rPr>
                <w:sz w:val="17"/>
                <w:szCs w:val="17"/>
                <w:color w:val="auto"/>
              </w:rPr>
            </w:pPr>
          </w:p>
        </w:tc>
        <w:tc>
          <w:tcPr>
            <w:tcW w:w="820" w:type="dxa"/>
            <w:vAlign w:val="bottom"/>
            <w:gridSpan w:val="4"/>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08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Item 1a.</w:t>
              </w:r>
            </w:hyperlink>
          </w:p>
        </w:tc>
        <w:tc>
          <w:tcPr>
            <w:tcW w:w="560" w:type="dxa"/>
            <w:vAlign w:val="bottom"/>
            <w:gridSpan w:val="4"/>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Risk Factors</w:t>
              </w:r>
            </w:hyperlink>
          </w:p>
        </w:tc>
        <w:tc>
          <w:tcPr>
            <w:tcW w:w="8520" w:type="dxa"/>
            <w:vAlign w:val="bottom"/>
            <w:gridSpan w:val="16"/>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37</w:t>
              </w:r>
            </w:hyperlink>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2.</w:t>
              </w:r>
            </w:hyperlink>
          </w:p>
        </w:tc>
        <w:tc>
          <w:tcPr>
            <w:tcW w:w="620" w:type="dxa"/>
            <w:vAlign w:val="bottom"/>
            <w:gridSpan w:val="5"/>
          </w:tcPr>
          <w:p>
            <w:pPr>
              <w:spacing w:after="0"/>
              <w:rPr>
                <w:sz w:val="17"/>
                <w:szCs w:val="17"/>
                <w:color w:val="auto"/>
              </w:rPr>
            </w:pPr>
          </w:p>
        </w:tc>
        <w:tc>
          <w:tcPr>
            <w:tcW w:w="43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Unregistered Sales of Equity Securities and Use of Proceeds</w:t>
              </w:r>
            </w:hyperlink>
          </w:p>
        </w:tc>
        <w:tc>
          <w:tcPr>
            <w:tcW w:w="5080" w:type="dxa"/>
            <w:vAlign w:val="bottom"/>
            <w:gridSpan w:val="8"/>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37</w:t>
              </w:r>
            </w:hyperlink>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3.</w:t>
              </w:r>
            </w:hyperlink>
          </w:p>
        </w:tc>
        <w:tc>
          <w:tcPr>
            <w:tcW w:w="620" w:type="dxa"/>
            <w:vAlign w:val="bottom"/>
            <w:gridSpan w:val="5"/>
          </w:tcPr>
          <w:p>
            <w:pPr>
              <w:spacing w:after="0"/>
              <w:rPr>
                <w:sz w:val="17"/>
                <w:szCs w:val="17"/>
                <w:color w:val="auto"/>
              </w:rPr>
            </w:pP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Defaults Upon Senior Securities</w:t>
              </w:r>
            </w:hyperlink>
          </w:p>
        </w:tc>
        <w:tc>
          <w:tcPr>
            <w:tcW w:w="7100" w:type="dxa"/>
            <w:vAlign w:val="bottom"/>
            <w:gridSpan w:val="11"/>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38</w:t>
              </w:r>
            </w:hyperlink>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4.</w:t>
              </w:r>
            </w:hyperlink>
          </w:p>
        </w:tc>
        <w:tc>
          <w:tcPr>
            <w:tcW w:w="620" w:type="dxa"/>
            <w:vAlign w:val="bottom"/>
            <w:gridSpan w:val="5"/>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Mine Safety Disclosures</w:t>
              </w:r>
            </w:hyperlink>
          </w:p>
        </w:tc>
        <w:tc>
          <w:tcPr>
            <w:tcW w:w="7660" w:type="dxa"/>
            <w:vAlign w:val="bottom"/>
            <w:gridSpan w:val="13"/>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38</w:t>
              </w:r>
            </w:hyperlink>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5.</w:t>
              </w:r>
            </w:hyperlink>
          </w:p>
        </w:tc>
        <w:tc>
          <w:tcPr>
            <w:tcW w:w="620" w:type="dxa"/>
            <w:vAlign w:val="bottom"/>
            <w:gridSpan w:val="5"/>
          </w:tcPr>
          <w:p>
            <w:pPr>
              <w:spacing w:after="0"/>
              <w:rPr>
                <w:sz w:val="17"/>
                <w:szCs w:val="17"/>
                <w:color w:val="auto"/>
              </w:rPr>
            </w:pPr>
          </w:p>
        </w:tc>
        <w:tc>
          <w:tcPr>
            <w:tcW w:w="944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820" w:type="dxa"/>
            <w:vAlign w:val="bottom"/>
            <w:gridSpan w:val="4"/>
          </w:tcPr>
          <w:p>
            <w:pPr>
              <w:jc w:val="right"/>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6.</w:t>
              </w:r>
            </w:hyperlink>
          </w:p>
        </w:tc>
        <w:tc>
          <w:tcPr>
            <w:tcW w:w="620" w:type="dxa"/>
            <w:vAlign w:val="bottom"/>
            <w:gridSpan w:val="5"/>
          </w:tcPr>
          <w:p>
            <w:pPr>
              <w:spacing w:after="0"/>
              <w:rPr>
                <w:sz w:val="17"/>
                <w:szCs w:val="17"/>
                <w:color w:val="auto"/>
              </w:rPr>
            </w:pPr>
          </w:p>
        </w:tc>
        <w:tc>
          <w:tcPr>
            <w:tcW w:w="13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8100" w:type="dxa"/>
            <w:vAlign w:val="bottom"/>
            <w:gridSpan w:val="15"/>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38</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b w:val="1"/>
                <w:bCs w:val="1"/>
                <w:color w:val="0000EE"/>
                <w:w w:val="96"/>
              </w:rPr>
            </w:pPr>
            <w:hyperlink w:anchor="page42">
              <w:r>
                <w:rPr>
                  <w:rFonts w:ascii="Arial" w:cs="Arial" w:eastAsia="Arial" w:hAnsi="Arial"/>
                  <w:sz w:val="18"/>
                  <w:szCs w:val="18"/>
                  <w:b w:val="1"/>
                  <w:bCs w:val="1"/>
                  <w:color w:val="0000EE"/>
                  <w:w w:val="96"/>
                </w:rPr>
                <w:t>SIGNATURES</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453"/>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280" w:type="dxa"/>
            <w:vAlign w:val="bottom"/>
            <w:gridSpan w:val="13"/>
          </w:tcPr>
          <w:p>
            <w:pPr>
              <w:ind w:left="3780"/>
              <w:spacing w:after="0"/>
              <w:rPr>
                <w:sz w:val="20"/>
                <w:szCs w:val="20"/>
                <w:color w:val="auto"/>
              </w:rPr>
            </w:pPr>
            <w:r>
              <w:rPr>
                <w:rFonts w:ascii="Arial" w:cs="Arial" w:eastAsia="Arial" w:hAnsi="Arial"/>
                <w:sz w:val="18"/>
                <w:szCs w:val="18"/>
                <w:color w:val="auto"/>
              </w:rPr>
              <w:t>_________________</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 Forward-Looking Statements.”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As used in this report, references to “NTIC,” the “Company,” “we,” “our,” or “us,” unless the context otherwise requires, refer to Northern Technologies International Corporation and its wholly-owned and majority-owned subsidiaries, all of which are consolidated on NTIC’s consolidated financial statements.</w:t>
      </w:r>
    </w:p>
    <w:p>
      <w:pPr>
        <w:spacing w:after="0" w:line="12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As used in this report, references to: (1) “NTIC China” refer to NTIC’s wholly-owned subsidiary in China, NTIC (Shanghai) Co., Ltd.; (2) “NTI Europe” refer to NTIC’s wholly-owned subsidiary in Germany, NTIC Europe GmbH; (3) “Zerust Mexico” refer to NTIC’s wholly-owned subsidiary in Mexico, ZERUST-EXCOR MEXICO, S. de R.L. de C.V; (4) “Zerust Brazil” refer to NTIC’s majority-owned Brazilian subsidiary, Zerust Prevenção de Corrosão S.A.;</w:t>
      </w:r>
    </w:p>
    <w:p>
      <w:pPr>
        <w:jc w:val="both"/>
        <w:ind w:right="160" w:firstLine="8"/>
        <w:spacing w:after="0" w:line="254"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“Natur-Tec India” refer to NTIC’s majority-owned subsidiary in India, Natur-Tec India Private Limited; and (6) “NTI Asean” refer to NTIC’s majority-owned holding company subsidiary, NTI Asean LLC, which is a holding company that holds investments in seven entities that operate in the Association of Southeast Asian Nations (ASEAN) region, including the following countries: Indonesia, South Korea, Malaysia, Philippines, Singapore, Taiwan, and Thailand.</w:t>
      </w:r>
    </w:p>
    <w:p>
      <w:pPr>
        <w:spacing w:after="0" w:line="1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NTIC’s consolidated financial statements do not include the accounts of any of its joint ventures. Except as otherwise indicated, references in this report to NTIC’s joint ventures do not include any of NTIC’s wholly-owned or majority-owned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 used in this report, references to “EXCOR” refer to NTIC’s joint venture in Germany, Excor Korrosionsschutz – Technologien und Produkte GmbH.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“Tianjin Zerust” refer to NTIC’s former joint venture in China, Tianjin-Zerust Anticorrosion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820" w:type="dxa"/>
            <w:vAlign w:val="bottom"/>
          </w:tcPr>
          <w:p>
            <w:pPr>
              <w:ind w:left="600"/>
              <w:spacing w:after="0"/>
              <w:rPr>
                <w:sz w:val="20"/>
                <w:szCs w:val="20"/>
                <w:color w:val="auto"/>
              </w:rPr>
            </w:pPr>
            <w:r>
              <w:rPr>
                <w:rFonts w:ascii="Arial" w:cs="Arial" w:eastAsia="Arial" w:hAnsi="Arial"/>
                <w:sz w:val="18"/>
                <w:szCs w:val="18"/>
                <w:b w:val="1"/>
                <w:bCs w:val="1"/>
                <w:color w:val="auto"/>
              </w:rPr>
              <w:t>FINANCIAL STATEMENTS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SHEETS AS OF FEBRUARY 28, 2019 (UNAUDITED)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AND AUGUST 31, 2018 (AUDITED)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8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78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August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ASSETS</w:t>
            </w:r>
          </w:p>
        </w:tc>
        <w:tc>
          <w:tcPr>
            <w:tcW w:w="7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4,936,377</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Available for sale securities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1,227,268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3,300,110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tcPr>
          <w:p>
            <w:pPr>
              <w:ind w:left="520"/>
              <w:spacing w:after="0" w:line="201" w:lineRule="exact"/>
              <w:rPr>
                <w:sz w:val="20"/>
                <w:szCs w:val="20"/>
                <w:color w:val="auto"/>
              </w:rPr>
            </w:pPr>
            <w:r>
              <w:rPr>
                <w:rFonts w:ascii="Arial" w:cs="Arial" w:eastAsia="Arial" w:hAnsi="Arial"/>
                <w:sz w:val="18"/>
                <w:szCs w:val="18"/>
                <w:color w:val="auto"/>
                <w:w w:val="95"/>
              </w:rPr>
              <w:t>Trade excluding joint ventures, less allowance for doubtful accounts of $65,000 at February 28, 2019 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$50,000 at August 31, 2018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9,329,725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9,920,108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Trade joint ventures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679,349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520"/>
              <w:spacing w:after="0"/>
              <w:rPr>
                <w:sz w:val="20"/>
                <w:szCs w:val="20"/>
                <w:color w:val="auto"/>
              </w:rPr>
            </w:pPr>
            <w:r>
              <w:rPr>
                <w:rFonts w:ascii="Arial" w:cs="Arial" w:eastAsia="Arial" w:hAnsi="Arial"/>
                <w:sz w:val="18"/>
                <w:szCs w:val="18"/>
                <w:color w:val="auto"/>
              </w:rPr>
              <w:t>Fees for services provided to joint ventures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1,338,493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1,357,255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515,448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11,304,475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9,130,861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1,457,059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1,661,577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assets</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30,788,194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30,567,773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PROPERTY AND EQUIPMENT, NET</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7,229,398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7,168,826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 in joint ventures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24,418,491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22,950,995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1,420,791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1,551,536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Patents and trademarks, net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1,084,313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1,156,257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153,846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other assets</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27,077,441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25,812,637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65,095,033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63,549,236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4,307,450</w:t>
            </w:r>
          </w:p>
        </w:tc>
        <w:tc>
          <w:tcPr>
            <w:tcW w:w="10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3,905,034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Payroll and related benefits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1,137,209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2,747,303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1,154,948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1,006,953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6,608,162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7,730,182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COMMITMENTS AND CONTINGENCIES (Note 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Common stock, $0.02 par value per share; authorized 15,000,000 shares; issued and outstanding 4,542,177 and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4,541,303, respectively</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90,844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15,353,400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14,619,777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43,771,843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41,963,341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(3,742,258)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(3,597,199)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55,473,829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53,076,745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Non-controlling interest</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3,013,042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2,742,309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58,486,871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55,819,054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65,095,033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63,549,236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28,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sales, excluding joint ventures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12,606,449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11,399,853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26,217,314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22,435,260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joint ventures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708,955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814,122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1,192,142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1,321,753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Total net sales</w:t>
            </w:r>
          </w:p>
        </w:tc>
        <w:tc>
          <w:tcPr>
            <w:tcW w:w="1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13,315,404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12,213,975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27,409,456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23,757,013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9,284,099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8,012,836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18,745,236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15,901,306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4,031,305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4,201,139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8,664,220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7,855,707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JOINT VENTURE OPERATIONS: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Equity in income from joint ventures</w:t>
            </w:r>
          </w:p>
        </w:tc>
        <w:tc>
          <w:tcPr>
            <w:tcW w:w="1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1,715,216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1,805,997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3,719,378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3,547,325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Fees for services provided to joint ventures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1,436,774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1,608,890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2,865,209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3,116,032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Total joint venture operations</w:t>
            </w:r>
          </w:p>
        </w:tc>
        <w:tc>
          <w:tcPr>
            <w:tcW w:w="1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3,151,990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3,414,887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6,584,587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6,663,357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2,505,081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2,643,636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5,316,175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5,243,585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1,963,537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1,805,216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4,459,334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4,024,961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927,537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922,746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1,799,694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1,721,477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5,396,155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5,371,598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11,575,203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10,990,023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1,787,140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2,244,428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3,673,604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3,529,041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15,122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24,883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27,909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48,939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1,798,427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2,263,532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3,695,321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3,567,112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246,371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841,909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502,074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946,900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1,552,056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1,421,623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3,193,247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2,620,212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 CONTROLLING</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INTERESTS</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150,488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88,776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294,620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203,739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1,401,568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1,332,847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2,898,627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2,416,473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 PER COMMON SHARE: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0.30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ASSUMED OUTSTANDING:</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4,542,177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4,537,408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4,542,175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4,537,368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4,723,930</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4,673,338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4,731,608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4,641,042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CASH DIVIDENDS DECLARED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COMPREHENSIVE INCOME (UNAUDITED) FOR THE THREE AND SIX MONTHS ENDED FEBRUARY 28,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ind w:left="180" w:hanging="179"/>
        <w:spacing w:after="0" w:line="261" w:lineRule="auto"/>
        <w:rPr>
          <w:sz w:val="20"/>
          <w:szCs w:val="20"/>
          <w:color w:val="auto"/>
        </w:rPr>
      </w:pPr>
      <w:r>
        <w:rPr>
          <w:rFonts w:ascii="Arial" w:cs="Arial" w:eastAsia="Arial" w:hAnsi="Arial"/>
          <w:sz w:val="18"/>
          <w:szCs w:val="18"/>
          <w:color w:val="auto"/>
        </w:rPr>
        <w:t>OTHER COMPREHENSIVE INCOME – FOREIGN CURRENCY TRANSLATION ADJUSTMENT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3"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color w:val="auto"/>
        </w:rPr>
        <w:t>COMPREHENSIVE INCOME ATTRIBUTABLE TO NON-CONTROLLING INTERESTS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ATTRIBUTABLE TO NTIC</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140" w:type="dxa"/>
            <w:vAlign w:val="bottom"/>
          </w:tcPr>
          <w:p>
            <w:pPr>
              <w:spacing w:after="0"/>
              <w:rPr>
                <w:sz w:val="16"/>
                <w:szCs w:val="16"/>
                <w:color w:val="auto"/>
              </w:rPr>
            </w:pPr>
          </w:p>
        </w:tc>
        <w:tc>
          <w:tcPr>
            <w:tcW w:w="12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February 28,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r>
      <w:tr>
        <w:trPr>
          <w:trHeight w:val="234"/>
        </w:trPr>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24"/>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1,552,056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1,421,623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3,193,247</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2,620,212</w:t>
            </w:r>
          </w:p>
        </w:tc>
      </w:tr>
      <w:tr>
        <w:trPr>
          <w:trHeight w:val="418"/>
        </w:trPr>
        <w:tc>
          <w:tcPr>
            <w:tcW w:w="14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194,838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467,762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(102,980)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442,535</w:t>
            </w:r>
          </w:p>
        </w:tc>
      </w:tr>
      <w:tr>
        <w:trPr>
          <w:trHeight w:val="230"/>
        </w:trPr>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24"/>
        </w:trPr>
        <w:tc>
          <w:tcPr>
            <w:tcW w:w="1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1,746,894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1,889,385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3,090,267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3,062,747</w:t>
            </w:r>
          </w:p>
        </w:tc>
      </w:tr>
      <w:tr>
        <w:trPr>
          <w:trHeight w:val="431"/>
        </w:trPr>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169,499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109,047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336,699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245,962</w:t>
            </w: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1,577,395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1,780,338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2,753,568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2,816,785</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-1174115</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-753745</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-462280</wp:posOffset>
            </wp:positionV>
            <wp:extent cx="7246620"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904"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FEBRUARY 28,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740" w:type="dxa"/>
            <w:vAlign w:val="bottom"/>
            <w:gridSpan w:val="8"/>
          </w:tcPr>
          <w:p>
            <w:pPr>
              <w:jc w:val="center"/>
              <w:ind w:right="60"/>
              <w:spacing w:after="0"/>
              <w:rPr>
                <w:sz w:val="20"/>
                <w:szCs w:val="20"/>
                <w:color w:val="auto"/>
              </w:rPr>
            </w:pPr>
            <w:r>
              <w:rPr>
                <w:rFonts w:ascii="Arial" w:cs="Arial" w:eastAsia="Arial" w:hAnsi="Arial"/>
                <w:sz w:val="18"/>
                <w:szCs w:val="18"/>
                <w:b w:val="1"/>
                <w:bCs w:val="1"/>
                <w:color w:val="auto"/>
              </w:rPr>
              <w:t>STOCKHOLDERS’ EQUITY – THREE MONTHS ENDED</w:t>
            </w: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gridSpan w:val="2"/>
          </w:tcPr>
          <w:p>
            <w:pPr>
              <w:spacing w:after="0"/>
              <w:rPr>
                <w:sz w:val="20"/>
                <w:szCs w:val="20"/>
                <w:color w:val="auto"/>
              </w:rPr>
            </w:pPr>
            <w:r>
              <w:rPr>
                <w:rFonts w:ascii="Arial" w:cs="Arial" w:eastAsia="Arial" w:hAnsi="Arial"/>
                <w:sz w:val="18"/>
                <w:szCs w:val="18"/>
                <w:b w:val="1"/>
                <w:bCs w:val="1"/>
                <w:color w:val="FFFFFF"/>
              </w:rPr>
              <w:t>.</w:t>
            </w: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center"/>
              <w:ind w:right="790"/>
              <w:spacing w:after="0"/>
              <w:rPr>
                <w:sz w:val="20"/>
                <w:szCs w:val="20"/>
                <w:color w:val="auto"/>
              </w:rPr>
            </w:pPr>
            <w:r>
              <w:rPr>
                <w:rFonts w:ascii="Arial" w:cs="Arial" w:eastAsia="Arial" w:hAnsi="Arial"/>
                <w:sz w:val="18"/>
                <w:szCs w:val="18"/>
                <w:b w:val="1"/>
                <w:bCs w:val="1"/>
                <w:color w:val="auto"/>
                <w:w w:val="97"/>
              </w:rPr>
              <w:t>FEBRUARY 28</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Additional</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1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Common Stock</w:t>
            </w:r>
          </w:p>
        </w:tc>
        <w:tc>
          <w:tcPr>
            <w:tcW w:w="112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Paid-in</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Retained</w:t>
            </w: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w w:val="90"/>
              </w:rPr>
              <w:t>Comprehensive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Controlling</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11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6"/>
              </w:rPr>
              <w:t>Capital</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Earnings</w:t>
            </w: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Interests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2018</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4,532,177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90,844</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$14,995,420</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$42,915,335</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(3,918,085)</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8"/>
              </w:rPr>
              <w:t>$ 3,043,543</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$57,127,057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Stock issued for employee stock purchase</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plan</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357,980</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Investment by non-controlling interest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(545,060)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Dividend received by non-controlling interest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1,401,568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150,544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1,552,056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175,827</w:t>
            </w: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19,011</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194,838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28, 2019</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4,542,177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90,844</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$15,353,400</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$43,771,843</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(3,742,258)</w:t>
            </w:r>
          </w:p>
        </w:tc>
        <w:tc>
          <w:tcPr>
            <w:tcW w:w="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$ 3,013,042</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$58,486,871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30, 2017</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4,537,408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90,748</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$14,294,584</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$37,706,367</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(2,518,243)</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8"/>
              </w:rPr>
              <w:t>$ 2,794,363</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$52,367,819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issued for employee stock purchase</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Stock option expense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103,267</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(452,510)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Dividend received by non-controlling interest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1,332,847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88,776</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1,421,623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447,491</w:t>
            </w: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20,271</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467,762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28, 2018</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4,537,408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90,748</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$14,397,851</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$38,586,704</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(2,070,752)</w:t>
            </w:r>
          </w:p>
        </w:tc>
        <w:tc>
          <w:tcPr>
            <w:tcW w:w="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$ 2,903,410</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$53,907,961</w:t>
            </w:r>
          </w:p>
        </w:tc>
        <w:tc>
          <w:tcPr>
            <w:tcW w:w="0" w:type="dxa"/>
            <w:vAlign w:val="bottom"/>
          </w:tcPr>
          <w:p>
            <w:pPr>
              <w:spacing w:after="0"/>
              <w:rPr>
                <w:sz w:val="1"/>
                <w:szCs w:val="1"/>
                <w:color w:val="auto"/>
              </w:rPr>
            </w:pPr>
          </w:p>
        </w:tc>
      </w:tr>
      <w:tr>
        <w:trPr>
          <w:trHeight w:val="20"/>
        </w:trPr>
        <w:tc>
          <w:tcPr>
            <w:tcW w:w="3480" w:type="dxa"/>
            <w:vAlign w:val="bottom"/>
            <w:gridSpan w:val="2"/>
          </w:tcPr>
          <w:p>
            <w:pPr>
              <w:spacing w:after="0" w:line="20" w:lineRule="exact"/>
              <w:rPr>
                <w:sz w:val="1"/>
                <w:szCs w:val="1"/>
                <w:color w:val="auto"/>
              </w:rPr>
            </w:pPr>
          </w:p>
        </w:tc>
        <w:tc>
          <w:tcPr>
            <w:tcW w:w="5680" w:type="dxa"/>
            <w:vAlign w:val="bottom"/>
            <w:tcBorders>
              <w:bottom w:val="single" w:sz="8" w:color="auto"/>
            </w:tcBorders>
            <w:gridSpan w:val="7"/>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480" w:type="dxa"/>
            <w:vAlign w:val="bottom"/>
            <w:gridSpan w:val="2"/>
          </w:tcPr>
          <w:p>
            <w:pPr>
              <w:spacing w:after="0"/>
              <w:rPr>
                <w:sz w:val="20"/>
                <w:szCs w:val="20"/>
                <w:color w:val="auto"/>
              </w:rPr>
            </w:pPr>
            <w:r>
              <w:rPr>
                <w:rFonts w:ascii="Arial" w:cs="Arial" w:eastAsia="Arial" w:hAnsi="Arial"/>
                <w:sz w:val="18"/>
                <w:szCs w:val="18"/>
                <w:b w:val="1"/>
                <w:bCs w:val="1"/>
                <w:color w:val="FFFFFF"/>
              </w:rPr>
              <w:t>.</w:t>
            </w:r>
          </w:p>
        </w:tc>
        <w:tc>
          <w:tcPr>
            <w:tcW w:w="5740" w:type="dxa"/>
            <w:vAlign w:val="bottom"/>
            <w:gridSpan w:val="8"/>
          </w:tcPr>
          <w:p>
            <w:pPr>
              <w:jc w:val="center"/>
              <w:ind w:right="60"/>
              <w:spacing w:after="0"/>
              <w:rPr>
                <w:sz w:val="20"/>
                <w:szCs w:val="20"/>
                <w:color w:val="auto"/>
              </w:rPr>
            </w:pPr>
            <w:r>
              <w:rPr>
                <w:rFonts w:ascii="Arial" w:cs="Arial" w:eastAsia="Arial" w:hAnsi="Arial"/>
                <w:sz w:val="18"/>
                <w:szCs w:val="18"/>
                <w:b w:val="1"/>
                <w:bCs w:val="1"/>
                <w:color w:val="auto"/>
              </w:rPr>
              <w:t>STOCKHOLDERS’ EQUITY – SIX MONTHS ENDED FEBRUARY 28</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Additional</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1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Common Stock</w:t>
            </w:r>
          </w:p>
        </w:tc>
        <w:tc>
          <w:tcPr>
            <w:tcW w:w="112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Paid-in</w:t>
            </w: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rPr>
              <w:t>Retained</w:t>
            </w: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w w:val="90"/>
              </w:rPr>
              <w:t>Comprehensive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Controlling</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11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6"/>
              </w:rPr>
              <w:t>Capital</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Earnings</w:t>
            </w: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Interests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2018</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4,541,303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90,826</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$14,619,777</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$41,963,341</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(3,597,199)</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8"/>
              </w:rPr>
              <w:t>$ 2,742,309</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$55,819,054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spacing w:after="0" w:line="201" w:lineRule="exact"/>
              <w:rPr>
                <w:sz w:val="20"/>
                <w:szCs w:val="20"/>
                <w:color w:val="auto"/>
              </w:rPr>
            </w:pPr>
            <w:r>
              <w:rPr>
                <w:rFonts w:ascii="Arial" w:cs="Arial" w:eastAsia="Arial" w:hAnsi="Arial"/>
                <w:sz w:val="18"/>
                <w:szCs w:val="18"/>
                <w:color w:val="auto"/>
              </w:rPr>
              <w:t>Stock issued for employee stock purchase</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plan</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874</w:t>
            </w:r>
          </w:p>
        </w:tc>
        <w:tc>
          <w:tcPr>
            <w:tcW w:w="2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17,663</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715,960</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Investment by non-controlling interest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134,034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134,034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(1,090,125)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Dividend received by non-controlling interest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2,898,627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294,620</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3,193,247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(145,059)</w:t>
            </w: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42,079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28, 2019</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4,542,177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90,844</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$15,353,400</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$43,771,843</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(3,742,258)</w:t>
            </w:r>
          </w:p>
        </w:tc>
        <w:tc>
          <w:tcPr>
            <w:tcW w:w="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$ 3,013,042</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$58,486,871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2017</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4,535,018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90,700</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$14,163,509</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$37,077,483</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(2,471,064)</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8"/>
              </w:rPr>
              <w:t>$ 2,857,448</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$51,718,076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15,345</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issued for employee stock purchase</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890</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12,463</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Stock option expense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206,534</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(907,252)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7"/>
              </w:rPr>
              <w:t>Dividend received by non-controlling interest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2,416,473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203,739</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3,193,247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400,312</w:t>
            </w: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42,223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28, 2018</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4,537,408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90,748</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$14,397,851</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$38,586,704</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(2,070,752)</w:t>
            </w:r>
          </w:p>
        </w:tc>
        <w:tc>
          <w:tcPr>
            <w:tcW w:w="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8"/>
              </w:rPr>
              <w:t>$ 2,903,410</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$53,907,961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236" w:gutter="0" w:footer="0" w:header="0"/>
        </w:sectPr>
      </w:pPr>
    </w:p>
    <w:bookmarkStart w:id="7" w:name="page8"/>
    <w:bookmarkEnd w:id="7"/>
    <w:p>
      <w:pPr>
        <w:ind w:right="4140"/>
        <w:spacing w:after="0" w:line="266" w:lineRule="auto"/>
        <w:rPr>
          <w:sz w:val="20"/>
          <w:szCs w:val="20"/>
          <w:color w:val="auto"/>
        </w:rPr>
      </w:pPr>
      <w:r>
        <w:rPr>
          <w:rFonts w:ascii="Arial" w:cs="Arial" w:eastAsia="Arial" w:hAnsi="Arial"/>
          <w:sz w:val="18"/>
          <w:szCs w:val="18"/>
          <w:b w:val="1"/>
          <w:bCs w:val="1"/>
          <w:color w:val="auto"/>
        </w:rPr>
        <w:t>NORTHERN TECHNOLOGIES INTERNATIONAL CORPORATION AND SUBSIDIARIES CONSOLIDATED STATEMENTS OF CASH FLOWS (UNAUDITED) FOR THE SIX MONTHS ENDED FEBRUARY 28,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2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3,193,247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2,620,212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715,960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429,377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Amortization expense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129,346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125,092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income from joint ventures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(3,719,378)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135,167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received from joint ventures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2,027,243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1,770,116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(36,285)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current assets and liabilities: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Receivables: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Trade, excluding joint ventures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730,647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Trade, joint ventures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82,157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Fees for services provided to joint ventures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700"/>
              <w:spacing w:after="0"/>
              <w:rPr>
                <w:sz w:val="20"/>
                <w:szCs w:val="20"/>
                <w:color w:val="auto"/>
              </w:rPr>
            </w:pPr>
            <w:r>
              <w:rPr>
                <w:rFonts w:ascii="Arial" w:cs="Arial" w:eastAsia="Arial" w:hAnsi="Arial"/>
                <w:sz w:val="18"/>
                <w:szCs w:val="18"/>
                <w:color w:val="auto"/>
              </w:rPr>
              <w:t>Income taxes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(222,609)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(2,048,648)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Prepaid expenses and other</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215,178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(504,848)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113,849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1,669,859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Income tax payable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139,991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liabilities</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(1,517,466)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262,153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(516,199)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available for sale securities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2,072,842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(439,899)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(207,350)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in patents</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investing activities</w:t>
            </w:r>
          </w:p>
        </w:tc>
        <w:tc>
          <w:tcPr>
            <w:tcW w:w="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1,575,542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246,587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Investment by non-controlling interest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134,035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NTIC common stock</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8"/>
                <w:szCs w:val="18"/>
                <w:color w:val="auto"/>
              </w:rPr>
              <w:t>Proceeds from option exercises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9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(1,138,409)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(1,079,396)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ind w:right="2500"/>
        <w:spacing w:after="0" w:line="308" w:lineRule="auto"/>
        <w:rPr>
          <w:sz w:val="20"/>
          <w:szCs w:val="20"/>
          <w:color w:val="auto"/>
        </w:rPr>
      </w:pPr>
      <w:r>
        <w:rPr>
          <w:rFonts w:ascii="Arial" w:cs="Arial" w:eastAsia="Arial" w:hAnsi="Arial"/>
          <w:sz w:val="17"/>
          <w:szCs w:val="17"/>
          <w:color w:val="auto"/>
        </w:rPr>
        <w:t>NET INCREASE (DECREASE) IN CASH AND CASH EQUIVALENTS 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773,354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(1,293,114)</w:t>
            </w:r>
          </w:p>
        </w:tc>
      </w:tr>
      <w:tr>
        <w:trPr>
          <w:trHeight w:val="230"/>
        </w:trPr>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4,163,023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6,360,201</w:t>
            </w:r>
          </w:p>
        </w:tc>
      </w:tr>
      <w:tr>
        <w:trPr>
          <w:trHeight w:val="453"/>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4,936,377</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5,067,087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 w:name="page9"/>
    <w:bookmarkEnd w:id="8"/>
    <w:p>
      <w:pPr>
        <w:ind w:right="4120"/>
        <w:spacing w:after="0" w:line="282"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ind w:left="580" w:hanging="558"/>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2019, and August 31, 2018, the results of their operations for the three and six months ended February 28, 2019 and 2018, the changes in stockholders’ equity for the three and six months ended February 28, 2019 and their cash flows for the six months ended February 28, 2019 and 2018, in conformity with accounting principles generally accepted in the United States of America (U.S. GAAP).</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These consolidated financial statements should be read in conjunction with the consolidated financial statements and related notes contained in the Company’s annual report on Form 10-K for the fiscal year ended August 31, 2018. These consolidated financial statements also should be read in conjunction with the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section appearing in this report.</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Operating results for the three and six months ended February 28, 2019, are not necessarily indicative of the results that may be expected for the full fiscal year ending August 31, 2019.</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evaluates events occurring after the date of the consolidated financial statements requiring recording or disclosure in the consolidated financial statements.</w:t>
      </w:r>
    </w:p>
    <w:p>
      <w:pPr>
        <w:spacing w:after="0" w:line="166" w:lineRule="exact"/>
        <w:rPr>
          <w:sz w:val="20"/>
          <w:szCs w:val="20"/>
          <w:color w:val="auto"/>
        </w:rPr>
      </w:pPr>
    </w:p>
    <w:p>
      <w:pPr>
        <w:ind w:left="580" w:hanging="558"/>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Adopted</w:t>
      </w:r>
    </w:p>
    <w:p>
      <w:pPr>
        <w:spacing w:after="0" w:line="22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The Company’s significant accounting policies are detailed in “Note 1: Nature of Business and Significant Accounting Policies” of the Company’s Annual Report on Form 10-K for the year ended August 31, 2018. In May 2014, the Financial Accounting Standards Board (FASB) issued guidance creating Accounting Standards Codification (ASC) Section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which establishes a comprehensive new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September 1, 2018, the Company adopted ASC 606 for all customer contracts using the modified retrospective method. To determine revenue recognition for arrangements within the scope of ASC 606,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The Company only applies the five-step model to contracts when it is probable that the entity will collect the consideration it is entitled to in exchange for the goods it transfers to, or services it performs for, the customer.</w:t>
      </w:r>
    </w:p>
    <w:p>
      <w:pPr>
        <w:spacing w:after="0" w:line="1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adoption of ASC 606 neither impacted the previously reported financial statements in any prior period nor did it result in a cumulative effect adjustment to retained earnings. Therefore, the adoption of the standard did not impact the Company’s revenue recognition process. Generally, the Company’s performance obligations are satisfied when the customers take possession of the products, which normally occurs at the shipping point or destination depending on the terms of the contracts. The Company’s services are generally sold based upon quotes or contracts with customers that include a fixed or determinable price, and sales arrangements do not contain any significant financing component for its customers. The Company does not recognize revenue related to product warranties, nor does the Company incur significant contract costs. Customer arrangements do not generate contract assets or liabilities.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Changes to the Company’s significant accounting policies as a result of adopting ASC 606 are discussed below:</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Revenue is measured based on consideration specified in the contract with a customer, adjusted for any applicable estimates of</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consideration and other factors affecting the transaction price, including noncash consideration, consideration paid or payable to customers, and significant financing components. While most of the Company’s revenue is contracted with customers through one-time purchase orders and short-term contracts, the Company does have long-term arrangements with certain customers. Revenue from all customers is recognized when a performance obligation is satisfied by transferring control of a distinct good or service to a customer.</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Individually promised goods and services in a contract are considered a distinct performance obligation and accounted for separately if the customer can benefit from the individual good or service on its own or with other resources that are readily available to the customer and the good or service is separately identifiable from other promises in the arrangement. When an arrangement includes multiple performance obligations, the consideration is allocated between the performance obligations in proportion to their estimated standalone selling price. Costs related to products delivered are recognized in the period incurred, unless criteria for capitalization of costs are met. Costs of revenues consist primarily of direct labor, manufacturing overhead, materials, and components. The Company does not incur significant upfront costs to obtain a contract. If costs to obtain a contract were to become material, the costs would be recorded as an asset and amortized to expense in a manner consistent with the related recognition of revenue.</w:t>
      </w:r>
    </w:p>
    <w:p>
      <w:pPr>
        <w:spacing w:after="0" w:line="178"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Company excludes government assessed and imposed taxes on revenue generating transactions that are invoiced to customers from revenue. The Company includes freight billed to customers in revenue. Shipping and handling costs associated with outbound freight after control over a product has transferred to a customer are accounted for as a fulfillment cost and are included in cost of goods sold.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timing of revenue recognition, billings, and cash collections results in accounts receivable on the balance sheet.</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Performance Obligations </w:t>
      </w:r>
      <w:r>
        <w:rPr>
          <w:rFonts w:ascii="Arial" w:cs="Arial" w:eastAsia="Arial" w:hAnsi="Arial"/>
          <w:sz w:val="16"/>
          <w:szCs w:val="16"/>
          <w:color w:val="auto"/>
        </w:rPr>
        <w:t>- A performance obligation is a promise in a contract to transfer a distinct good or service to the customer. A contract’s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price is allocated to each distinct performance obligation in proportion to its standalone selling price and recognized as revenue when, or as, the performance obligation is satisfied. The Company’s various performance obligations and the timing or method of revenue recognition are discussed below.</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sells its products to both distributors and end-users. Each unit of product delivered under a customer order represents a distinct and separate performance obligation, as the customer can benefit from each unit on its own or with other resources that are readily available to the customer, and each unit of product is separately identifiable from other products in the arrangement.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10" w:name="page11"/>
    <w:bookmarkEnd w:id="10"/>
    <w:p>
      <w:pPr>
        <w:ind w:right="80"/>
        <w:spacing w:after="0" w:line="297" w:lineRule="auto"/>
        <w:rPr>
          <w:sz w:val="20"/>
          <w:szCs w:val="20"/>
          <w:color w:val="auto"/>
        </w:rPr>
      </w:pPr>
      <w:r>
        <w:rPr>
          <w:rFonts w:ascii="Arial" w:cs="Arial" w:eastAsia="Arial" w:hAnsi="Arial"/>
          <w:sz w:val="16"/>
          <w:szCs w:val="16"/>
          <w:color w:val="auto"/>
        </w:rPr>
        <w:t>The transaction price for the Company’s products is the invoiced amount. The Company does not have variable consideration in the form of refunds, credits, rebates, price concessions, pricing incentives, or other items impacting transaction price. The purchase order pricing in arrangements with customers is deemed to approximate standalone selling price; therefore, the Company does not need to allocate proceeds on a relative standalone selling price allocation between performance obligations. The Company applies the practical expedient in paragraph 606-10-50-14 and does not disclose information about remaining performance obligations that have original expected durations of one year or less. There are no material obligations that extend beyond one year.</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Revenue is recognized when transfer of control occurs as defined by the terms in the customer agreement. The Company immediately recognizes incidental items that are immaterial in the context of the contract. The Company has applied the practical expedient in paragraph 606-10-25-16A and does not assess if immaterial items are promised goods or services. The Company has also applied the practical expedient in paragraph 606-10-32-18 regarding the adjustment of the promised amount of consideration for the effects of a significant financing component when the customer pays for that good or service within one year or less, as the Company does not have any significant financing components in its customer arrangements since payment is received at or shortly after the point of sale, generally thirty to ninety days.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estimates returns based on an analysis of historical experience if the right to return products is granted to its customers. The Company does not record a return asset, as non-conforming products are generally not returned. The Company’s return policy does not vary by geography. The customer has no rotation or price protection rights, and the Company is not under a warranty obligation.</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Trade Receivables </w:t>
      </w:r>
      <w:r>
        <w:rPr>
          <w:rFonts w:ascii="Arial" w:cs="Arial" w:eastAsia="Arial" w:hAnsi="Arial"/>
          <w:sz w:val="17"/>
          <w:szCs w:val="17"/>
          <w:color w:val="auto"/>
        </w:rPr>
        <w:t>- Trade receivables include amounts invoiced and currently due from customers. The amounts due are stated at their net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realizable value. The Company records an allowance for doubtful accounts to provide for the estimated amount of receivables that will not be collected. The allowance is based on a review of all outstanding amounts on an on-going basis. Management determines the allowance for doubtful accounts by regularly evaluating individual customer receivables and considers a customer’s financial condition, credit history, and current economic conditions. Trade receivables are written off when deemed uncollectible and have been historically insignificant. Recoveries of trade receivables previously written off are recorded when received. Accounts are considered past due if payment is not received according to agreed-upon terms.</w:t>
      </w:r>
    </w:p>
    <w:p>
      <w:pPr>
        <w:spacing w:after="0" w:line="17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Sales Commissions </w:t>
      </w:r>
      <w:r>
        <w:rPr>
          <w:rFonts w:ascii="Arial" w:cs="Arial" w:eastAsia="Arial" w:hAnsi="Arial"/>
          <w:sz w:val="16"/>
          <w:szCs w:val="16"/>
          <w:color w:val="auto"/>
        </w:rPr>
        <w:t>- Sales commissions paid to sales representatives are eligible for capitalization, as they are incremental costs that would not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without entering into a specific sales arrangement and are recoverable through the expected margin on the transaction. The Company has elected to apply the practical expedient provided by ASC 340-40-25-4 and recognize the incremental costs of obtaining contracts as an expense when incurred, as the amortization period of the assets that would have otherwise been recognized is one year or less. The Company records these costs as a selling expense.</w:t>
      </w:r>
    </w:p>
    <w:p>
      <w:pPr>
        <w:spacing w:after="0" w:line="15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i w:val="1"/>
          <w:iCs w:val="1"/>
          <w:color w:val="auto"/>
        </w:rPr>
        <w:t xml:space="preserve">Product Warranty </w:t>
      </w:r>
      <w:r>
        <w:rPr>
          <w:rFonts w:ascii="Arial" w:cs="Arial" w:eastAsia="Arial" w:hAnsi="Arial"/>
          <w:sz w:val="17"/>
          <w:szCs w:val="17"/>
          <w:color w:val="auto"/>
        </w:rPr>
        <w:t>- The Company offers warranties on various products and services. These warranties are assurance type warranties that are not sold on a</w:t>
      </w:r>
      <w:r>
        <w:rPr>
          <w:rFonts w:ascii="Arial" w:cs="Arial" w:eastAsia="Arial" w:hAnsi="Arial"/>
          <w:sz w:val="17"/>
          <w:szCs w:val="17"/>
          <w:i w:val="1"/>
          <w:iCs w:val="1"/>
          <w:color w:val="auto"/>
        </w:rPr>
        <w:t xml:space="preserve"> </w:t>
      </w:r>
      <w:r>
        <w:rPr>
          <w:rFonts w:ascii="Arial" w:cs="Arial" w:eastAsia="Arial" w:hAnsi="Arial"/>
          <w:sz w:val="17"/>
          <w:szCs w:val="17"/>
          <w:color w:val="auto"/>
        </w:rPr>
        <w:t>standalone basis; therefore, they are not considered distinct performance obligations. The Company estimates the costs that may be incurred under its warranties and records a liability in the amount of such costs at the time the revenue is recognized for the product sale.</w:t>
      </w:r>
    </w:p>
    <w:p>
      <w:pPr>
        <w:spacing w:after="0" w:line="16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 xml:space="preserve">International Revenue </w:t>
      </w:r>
      <w:r>
        <w:rPr>
          <w:rFonts w:ascii="Arial" w:cs="Arial" w:eastAsia="Arial" w:hAnsi="Arial"/>
          <w:sz w:val="17"/>
          <w:szCs w:val="17"/>
          <w:color w:val="auto"/>
        </w:rPr>
        <w:t>- The Company markets its products to numerous countries in North America, Europe, Latin America, Asia, and other parts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world. See Note 11, Segment and Geographical Information, for information regarding revenue disaggregation by geography.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During February 2016, the FASB issued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ASU No. 2016-02 was issued to increase transparency and comparability among organizations by recognizing all lease transactions (with terms in excess of 12 months) on the balance sheet as a lease liability and a right-of-use asset (as defined). ASU No. 2016-02 is effective for fiscal years beginning after December 15, 2018, including interim periods within those fiscal years, with earlier application permitted. Upon adoption, the lessee will apply the new standard retrospectively to all periods presented or retrospectively using a cumulative effect adjustment in the year of adoption. The guidance will be effective for the Company’s first quarter of fiscal year 2020. The Company is currently assessing the effect that ASU No. 2016-02 will have on its consolidated financial statements.</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from Accumulated Other Comprehensive Income</w:t>
      </w:r>
      <w:r>
        <w:rPr>
          <w:rFonts w:ascii="Arial" w:cs="Arial" w:eastAsia="Arial" w:hAnsi="Arial"/>
          <w:sz w:val="17"/>
          <w:szCs w:val="17"/>
          <w:color w:val="auto"/>
        </w:rPr>
        <w:t>, which will allow a reclassification from accumulated other comprehensive income to retained</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for the tax effects resulting from the Tax Cuts and Jobs Act (Tax Reform Act) that are stranded in accumulated other comprehensive income. This standard also requires certain disclosures about stranded tax effects. ASU No. 2018-02, however, does not change the underlying guidance that requires that the effect of a change in tax laws or rates be included in income from continuing operations. ASU No. 2018-02 will be effective for the Company’s fiscal year 2020, with the option for early adoption at any time prior to the effective date. It must be applied either in the period of adoption or retrospectively to each period in which the effect of the change in the U.S. federal corporate income tax rate in the Tax Reform Act is recognized. The Company is currently assessing the impact this new accounting guidance will have on its consolidated financial statements.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ind w:left="20"/>
              <w:spacing w:after="0"/>
              <w:rPr>
                <w:sz w:val="20"/>
                <w:szCs w:val="20"/>
                <w:color w:val="auto"/>
              </w:rPr>
            </w:pPr>
            <w:r>
              <w:rPr>
                <w:rFonts w:ascii="Arial" w:cs="Arial" w:eastAsia="Arial" w:hAnsi="Arial"/>
                <w:sz w:val="18"/>
                <w:szCs w:val="18"/>
                <w:b w:val="1"/>
                <w:bCs w:val="1"/>
                <w:color w:val="auto"/>
              </w:rPr>
              <w:t>3.</w:t>
            </w:r>
          </w:p>
        </w:tc>
        <w:tc>
          <w:tcPr>
            <w:tcW w:w="5840" w:type="dxa"/>
            <w:vAlign w:val="bottom"/>
          </w:tcPr>
          <w:p>
            <w:pPr>
              <w:ind w:left="100"/>
              <w:spacing w:after="0"/>
              <w:rPr>
                <w:sz w:val="20"/>
                <w:szCs w:val="20"/>
                <w:color w:val="auto"/>
              </w:rPr>
            </w:pPr>
            <w:r>
              <w:rPr>
                <w:rFonts w:ascii="Arial" w:cs="Arial" w:eastAsia="Arial" w:hAnsi="Arial"/>
                <w:sz w:val="18"/>
                <w:szCs w:val="18"/>
                <w:b w:val="1"/>
                <w:bCs w:val="1"/>
                <w:color w:val="auto"/>
              </w:rPr>
              <w:t>INVENTORIES</w:t>
            </w: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February 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bottom w:val="single" w:sz="8" w:color="CCEEFF"/>
            </w:tcBorders>
          </w:tcPr>
          <w:p>
            <w:pPr>
              <w:spacing w:after="0"/>
              <w:rPr>
                <w:sz w:val="20"/>
                <w:szCs w:val="20"/>
                <w:color w:val="auto"/>
              </w:rPr>
            </w:pPr>
          </w:p>
        </w:tc>
        <w:tc>
          <w:tcPr>
            <w:tcW w:w="584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August 31, 2018</w:t>
            </w: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2,108,173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1,824,489</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Finished goods</w:t>
            </w:r>
          </w:p>
        </w:tc>
        <w:tc>
          <w:tcPr>
            <w:tcW w:w="2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9,196,302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7,306,372</w:t>
            </w:r>
          </w:p>
        </w:tc>
        <w:tc>
          <w:tcPr>
            <w:tcW w:w="0" w:type="dxa"/>
            <w:vAlign w:val="bottom"/>
          </w:tcPr>
          <w:p>
            <w:pPr>
              <w:spacing w:after="0"/>
              <w:rPr>
                <w:sz w:val="1"/>
                <w:szCs w:val="1"/>
                <w:color w:val="auto"/>
              </w:rPr>
            </w:pPr>
          </w:p>
        </w:tc>
      </w:tr>
      <w:tr>
        <w:trPr>
          <w:trHeight w:val="223"/>
        </w:trPr>
        <w:tc>
          <w:tcPr>
            <w:tcW w:w="480" w:type="dxa"/>
            <w:vAlign w:val="bottom"/>
            <w:tcBorders>
              <w:bottom w:val="single" w:sz="8" w:color="CCEEFF"/>
            </w:tcBorders>
            <w:shd w:val="clear" w:color="auto" w:fill="CCEEFF"/>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11,304,475</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9,130,861</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Arial" w:cs="Arial" w:eastAsia="Arial" w:hAnsi="Arial"/>
                <w:sz w:val="18"/>
                <w:szCs w:val="18"/>
                <w:b w:val="1"/>
                <w:bCs w:val="1"/>
                <w:color w:val="auto"/>
              </w:rPr>
              <w:t>4.</w:t>
            </w:r>
          </w:p>
        </w:tc>
        <w:tc>
          <w:tcPr>
            <w:tcW w:w="58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PROPERTY AND EQUIPMENT, NET</w:t>
            </w: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0" w:type="dxa"/>
            <w:vAlign w:val="bottom"/>
            <w:vMerge w:val="continue"/>
          </w:tcPr>
          <w:p>
            <w:pPr>
              <w:spacing w:after="0"/>
              <w:rPr>
                <w:sz w:val="24"/>
                <w:szCs w:val="24"/>
                <w:color w:val="auto"/>
              </w:rPr>
            </w:pPr>
          </w:p>
        </w:tc>
        <w:tc>
          <w:tcPr>
            <w:tcW w:w="584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February 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0" w:type="dxa"/>
            <w:vAlign w:val="bottom"/>
            <w:tcBorders>
              <w:bottom w:val="single" w:sz="8" w:color="CCEEFF"/>
            </w:tcBorders>
          </w:tcPr>
          <w:p>
            <w:pPr>
              <w:spacing w:after="0"/>
              <w:rPr>
                <w:sz w:val="20"/>
                <w:szCs w:val="20"/>
                <w:color w:val="auto"/>
              </w:rPr>
            </w:pPr>
          </w:p>
        </w:tc>
        <w:tc>
          <w:tcPr>
            <w:tcW w:w="584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August 31, 2018</w:t>
            </w:r>
          </w:p>
        </w:tc>
        <w:tc>
          <w:tcPr>
            <w:tcW w:w="0" w:type="dxa"/>
            <w:vAlign w:val="bottom"/>
          </w:tcPr>
          <w:p>
            <w:pPr>
              <w:spacing w:after="0"/>
              <w:rPr>
                <w:sz w:val="1"/>
                <w:szCs w:val="1"/>
                <w:color w:val="auto"/>
              </w:rPr>
            </w:pPr>
          </w:p>
        </w:tc>
      </w:tr>
      <w:tr>
        <w:trPr>
          <w:trHeight w:val="210"/>
        </w:trPr>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8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7,334,574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6,927,484</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4,742,472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4,680,072</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12,387,411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11,917,921</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(5,158,013)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(4,749,095)</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7,229,398</w:t>
            </w:r>
          </w:p>
        </w:tc>
        <w:tc>
          <w:tcPr>
            <w:tcW w:w="1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7,168,826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5.</w:t>
            </w:r>
          </w:p>
        </w:tc>
        <w:tc>
          <w:tcPr>
            <w:tcW w:w="5920" w:type="dxa"/>
            <w:vAlign w:val="bottom"/>
          </w:tcPr>
          <w:p>
            <w:pPr>
              <w:ind w:left="200"/>
              <w:spacing w:after="0"/>
              <w:rPr>
                <w:sz w:val="20"/>
                <w:szCs w:val="20"/>
                <w:color w:val="auto"/>
              </w:rPr>
            </w:pPr>
            <w:r>
              <w:rPr>
                <w:rFonts w:ascii="Arial" w:cs="Arial" w:eastAsia="Arial" w:hAnsi="Arial"/>
                <w:sz w:val="18"/>
                <w:szCs w:val="18"/>
                <w:b w:val="1"/>
                <w:bCs w:val="1"/>
                <w:color w:val="auto"/>
              </w:rPr>
              <w:t>PATENTS AND TRADEMARKS, NET</w:t>
            </w: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630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4"/>
        </w:trPr>
        <w:tc>
          <w:tcPr>
            <w:tcW w:w="3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February 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4"/>
        </w:trPr>
        <w:tc>
          <w:tcPr>
            <w:tcW w:w="380" w:type="dxa"/>
            <w:vAlign w:val="bottom"/>
            <w:tcBorders>
              <w:bottom w:val="single" w:sz="8" w:color="CCEEFF"/>
            </w:tcBorders>
          </w:tcPr>
          <w:p>
            <w:pPr>
              <w:spacing w:after="0"/>
              <w:rPr>
                <w:sz w:val="20"/>
                <w:szCs w:val="20"/>
                <w:color w:val="auto"/>
              </w:rPr>
            </w:pPr>
          </w:p>
        </w:tc>
        <w:tc>
          <w:tcPr>
            <w:tcW w:w="592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August 31, 2018</w:t>
            </w: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2,881,841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2,824,440</w:t>
            </w:r>
          </w:p>
        </w:tc>
      </w:tr>
      <w:tr>
        <w:trPr>
          <w:trHeight w:val="230"/>
        </w:trPr>
        <w:tc>
          <w:tcPr>
            <w:tcW w:w="6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accumulated amortization</w:t>
            </w:r>
          </w:p>
        </w:tc>
        <w:tc>
          <w:tcPr>
            <w:tcW w:w="2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(1,797,528)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(1,668,183)</w:t>
            </w:r>
          </w:p>
        </w:tc>
      </w:tr>
      <w:tr>
        <w:trPr>
          <w:trHeight w:val="223"/>
        </w:trPr>
        <w:tc>
          <w:tcPr>
            <w:tcW w:w="380" w:type="dxa"/>
            <w:vAlign w:val="bottom"/>
            <w:tcBorders>
              <w:bottom w:val="single" w:sz="8" w:color="CCEEFF"/>
            </w:tcBorders>
            <w:shd w:val="clear" w:color="auto" w:fill="CCEEFF"/>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1,084,313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1,156,257</w:t>
            </w:r>
          </w:p>
        </w:tc>
      </w:tr>
      <w:tr>
        <w:trPr>
          <w:trHeight w:val="20"/>
        </w:trPr>
        <w:tc>
          <w:tcPr>
            <w:tcW w:w="3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$260,000 in each of the next five fiscal years.</w:t>
      </w:r>
    </w:p>
    <w:p>
      <w:pPr>
        <w:spacing w:after="0" w:line="177" w:lineRule="exact"/>
        <w:rPr>
          <w:sz w:val="20"/>
          <w:szCs w:val="20"/>
          <w:color w:val="auto"/>
        </w:rPr>
      </w:pPr>
    </w:p>
    <w:p>
      <w:pPr>
        <w:ind w:left="580" w:hanging="558"/>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recorded that remain on the consolidated balance sheet of sales from the Company to its joint ventures and from joint ventures to other joint ventures have been eliminated for financial reporting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and all the Company’s other joint ventures,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As of February 28, 2019</w:t>
            </w:r>
          </w:p>
        </w:tc>
        <w:tc>
          <w:tcPr>
            <w:tcW w:w="1140" w:type="dxa"/>
            <w:vAlign w:val="bottom"/>
            <w:tcBorders>
              <w:bottom w:val="single" w:sz="8" w:color="auto"/>
            </w:tcBorders>
          </w:tcPr>
          <w:p>
            <w:pPr>
              <w:spacing w:after="0"/>
              <w:rPr>
                <w:sz w:val="20"/>
                <w:szCs w:val="20"/>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60,831,022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30,259,315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30,571,707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65,423,178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32,737,188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32,685,990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15,529,788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3,968,110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11,561,678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430,678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430,678</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49,462,712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28,769,078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20,693,634</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24,418,491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14,384,541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10,033,950</w:t>
            </w:r>
          </w:p>
        </w:tc>
      </w:tr>
      <w:tr>
        <w:trPr>
          <w:trHeight w:val="202"/>
        </w:trPr>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Northern Technologies International Corporation’s share of joint ventures’ undistributed</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5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22,389,278</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14,353,636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8,035,642</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w w:val="96"/>
              </w:rPr>
              <w:t>Northern Technologies International Corporation’s dividends received from joint ventures</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2,027,243</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843,750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1,183,493</w:t>
            </w: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jc w:val="right"/>
              <w:ind w:right="530"/>
              <w:spacing w:after="0"/>
              <w:rPr>
                <w:sz w:val="20"/>
                <w:szCs w:val="20"/>
                <w:color w:val="auto"/>
              </w:rPr>
            </w:pPr>
            <w:r>
              <w:rPr>
                <w:rFonts w:ascii="Arial" w:cs="Arial" w:eastAsia="Arial" w:hAnsi="Arial"/>
                <w:sz w:val="18"/>
                <w:szCs w:val="18"/>
                <w:b w:val="1"/>
                <w:bCs w:val="1"/>
                <w:color w:val="auto"/>
              </w:rPr>
              <w:t>Three Months Ended February 28, 2019</w:t>
            </w:r>
          </w:p>
        </w:tc>
      </w:tr>
      <w:tr>
        <w:trPr>
          <w:trHeight w:val="223"/>
        </w:trPr>
        <w:tc>
          <w:tcPr>
            <w:tcW w:w="7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27,749,880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11,092,133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16,657,747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12,632,547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6,306,084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6,326,463</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3,450,976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2,440,323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1,010,653</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from joint ventures</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1,715,216</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1,221,006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494,210</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Six Months Ended February 28, 2019</w:t>
            </w:r>
          </w:p>
        </w:tc>
      </w:tr>
      <w:tr>
        <w:trPr>
          <w:trHeight w:val="223"/>
        </w:trPr>
        <w:tc>
          <w:tcPr>
            <w:tcW w:w="7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58,229,806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23,961,656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34,268,150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25,989,438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12,989,658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12,999,780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7,614,767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5,480,125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2,134,642</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from joint ventures</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3,719,378</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2,740,907</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978,471</w:t>
            </w: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89"/>
              </w:rPr>
              <w:t>As of August 31, 2018</w:t>
            </w:r>
          </w:p>
        </w:tc>
        <w:tc>
          <w:tcPr>
            <w:tcW w:w="1160" w:type="dxa"/>
            <w:vAlign w:val="bottom"/>
            <w:tcBorders>
              <w:bottom w:val="single" w:sz="8" w:color="auto"/>
            </w:tcBorders>
          </w:tcPr>
          <w:p>
            <w:pPr>
              <w:spacing w:after="0"/>
              <w:rPr>
                <w:sz w:val="20"/>
                <w:szCs w:val="20"/>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58,086,747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27,354,788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30,731,959</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62,803,261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30,033,750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32,769,511</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15,991,886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4,535,954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11,455,932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403,653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403,653</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46,407,722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25,497,796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20,909,926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22,950,995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12,748,899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10,195,263</w:t>
            </w:r>
          </w:p>
        </w:tc>
      </w:tr>
      <w:tr>
        <w:trPr>
          <w:trHeight w:val="202"/>
        </w:trPr>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Northern Technologies International Corporation’s share of joint ventures’ undistributed</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20,921,783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12,717,994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8,203,789</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w w:val="96"/>
              </w:rPr>
              <w:t>Northern Technologies International Corporation’s dividends received from joint ventures</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6,377,054</w:t>
            </w:r>
          </w:p>
        </w:tc>
        <w:tc>
          <w:tcPr>
            <w:tcW w:w="44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5,379,062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997,992</w:t>
            </w: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jc w:val="right"/>
              <w:ind w:right="530"/>
              <w:spacing w:after="0"/>
              <w:rPr>
                <w:sz w:val="20"/>
                <w:szCs w:val="20"/>
                <w:color w:val="auto"/>
              </w:rPr>
            </w:pPr>
            <w:r>
              <w:rPr>
                <w:rFonts w:ascii="Arial" w:cs="Arial" w:eastAsia="Arial" w:hAnsi="Arial"/>
                <w:sz w:val="18"/>
                <w:szCs w:val="18"/>
                <w:b w:val="1"/>
                <w:bCs w:val="1"/>
                <w:color w:val="auto"/>
              </w:rPr>
              <w:t>Three Months Ended February 28, 2018</w:t>
            </w:r>
          </w:p>
        </w:tc>
      </w:tr>
      <w:tr>
        <w:trPr>
          <w:trHeight w:val="223"/>
        </w:trPr>
        <w:tc>
          <w:tcPr>
            <w:tcW w:w="7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30,220,550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12,204,736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18,015,814</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13,531,276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6,557,964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6,973,312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3,712,684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2,674,777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1,037,907</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from joint ventures</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1,805,997</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1,338,671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467,326</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Six Months Ended February 28, 2018</w:t>
            </w:r>
          </w:p>
        </w:tc>
      </w:tr>
      <w:tr>
        <w:trPr>
          <w:trHeight w:val="223"/>
        </w:trPr>
        <w:tc>
          <w:tcPr>
            <w:tcW w:w="70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EXCOR</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All Other</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58,719,261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23,231,250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35,488,011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26,319,398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12,491,490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13,827,908</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7,212,499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5,158,577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2,053,922</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w w:val="92"/>
              </w:rPr>
              <w:t>Northern Technologies International Corporation’s share of equity in income from joint ventures</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3,547,325</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2,580,571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966,754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joint venture investments during the six months ended February 28, 2019 or 2018.</w:t>
      </w:r>
    </w:p>
    <w:p>
      <w:pPr>
        <w:spacing w:after="0" w:line="221" w:lineRule="exact"/>
        <w:rPr>
          <w:sz w:val="20"/>
          <w:szCs w:val="20"/>
          <w:color w:val="auto"/>
        </w:rPr>
      </w:pPr>
    </w:p>
    <w:p>
      <w:pPr>
        <w:ind w:left="580" w:hanging="558"/>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a revolving line of credit with PNC Bank, National Association (PNC Bank) of $3,000,000. No amounts were outstanding under the line of credit as of either February 28, 2019, or August 31, 2018. At the option of the Company, outstanding advances under the line of credit bear interest at either</w:t>
      </w:r>
    </w:p>
    <w:p>
      <w:pPr>
        <w:ind w:right="320" w:firstLine="8"/>
        <w:spacing w:after="0" w:line="261"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annual rate based on LIBOR plus 2.15% for the applicable LIBOR interest period selected by the Company or (b) at the rate publicly announced by PNC Bank from time to time as its prime rate.</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line of credit is governed under a loan agreement.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February 28, 2019, the Company was in compliance with all debt covenants.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4" w:name="page15"/>
    <w:bookmarkEnd w:id="14"/>
    <w:p>
      <w:pPr>
        <w:ind w:right="140"/>
        <w:spacing w:after="0" w:line="259" w:lineRule="auto"/>
        <w:rPr>
          <w:sz w:val="20"/>
          <w:szCs w:val="20"/>
          <w:color w:val="auto"/>
        </w:rPr>
      </w:pPr>
      <w:r>
        <w:rPr>
          <w:rFonts w:ascii="Arial" w:cs="Arial" w:eastAsia="Arial" w:hAnsi="Arial"/>
          <w:sz w:val="18"/>
          <w:szCs w:val="18"/>
          <w:color w:val="auto"/>
        </w:rPr>
        <w:t>The revolving credit facility allows the Company to request that PNC Bank issue letters of credit up to $1,200,000. The Company did not have any letters of credit reserved against the available letters of credit balance as of February 28, 2019, and August 31, 2018, with PNC Bank. The availability of advances under the line of credit will be reduced by the face amount of any letter of credit issued and outstanding (whether or not drawn) under the revolving credit facility.</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February 28, 2019, and August 31, 2018, the Company had $88,831 of letters of credit that are performance based and set to expire between 2020 and 2022.</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30, 2018, the Company and PNC Bank extended the maturity date of the line of credit from January 7, 2019 to January 7, 2020. All other terms of the line of credit and the loan agreement and other documents evidencing the line of credit remain the same.</w:t>
      </w:r>
    </w:p>
    <w:p>
      <w:pPr>
        <w:spacing w:after="0" w:line="166" w:lineRule="exact"/>
        <w:rPr>
          <w:sz w:val="20"/>
          <w:szCs w:val="20"/>
          <w:color w:val="auto"/>
        </w:rPr>
      </w:pPr>
    </w:p>
    <w:p>
      <w:pPr>
        <w:ind w:left="580" w:hanging="558"/>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held its 2019 Annual Meeting of Stockholders (2019 Annual Meeting) on January 18, 2019. At the 2019 Annual Meeting, a proposal to ratify an amendment to the Company’s Restated Certificate of Incorporation to increase the Company’s authorized shares of common stock from 10,000,000 to 15,000,000 (Share Increase Amendment) was approved by the Company’s stockholders by the required vote. The proposal to approve the Share Increase Amendment was initially voted on and approved at the 2018 Annual Meeting of Stockholders. However, because the description of the authority of brokers to vote on proposals without instruction in the proxy statement for the 2018 Annual Meeting of Stockholders could have created some uncertainty as to the effect of the vote obtained at last year’s meeting, and out of an abundance of caution, the Board requested that stockholders at the 2019 Annual Meeting ratify the filing and effectiveness of the Certificate of Amendment to the Company’s Restated Certificate of Incorporation, which was filed with the Secretary of State of the State of Delaware on January 16, 2018, pursuant to Delaware law, in order to eliminate any uncertainty related to the effectiveness of the share increase amendment. Since the ratification proposal was approved by stockholders at the 2019 Annual Meeting, the ratification will be retroactive to January 16, 2018, the time of filing of the Share Increase Amendment with the Secretary of State of the State of Delaware.</w:t>
      </w:r>
    </w:p>
    <w:p>
      <w:pPr>
        <w:spacing w:after="0" w:line="16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On November 16, 2018, the Board of Directors, upon recommendation of the Compensation Committee, approved the Northern Technologies International Corporation 2019 Stock Incentive Plan (the 2019 Plan) subject to approval by the Company’s stockholders at its 2019 Annual Meeting. The stockholders approved the 2019 Plan, which will replace the Northern Technologies International Corporation Amended and Restated 2007 Stock Incentive Plan (2007 Plan), with the remaining shares available for grant under the 2007 Plan rolling over into the 2019 Plan, and no new awards will be granted under the 2007 Plan. The terms of the 2007 Plan will continue to govern awards outstanding under the 2007 Plan until exercised, expired, paid, or otherwise terminated or canceled. Subject to adjustment, the maximum number of shares of common stock to be authorized for issuance under the 2019 Plan is 400,000 shares. No stock options or other equity awards have been granted under the 2019 Plan as of February 28, 2019.</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ind w:right="180"/>
        <w:spacing w:after="0" w:line="259" w:lineRule="auto"/>
        <w:rPr>
          <w:sz w:val="20"/>
          <w:szCs w:val="20"/>
          <w:color w:val="auto"/>
        </w:rPr>
      </w:pPr>
      <w:r>
        <w:rPr>
          <w:rFonts w:ascii="Arial" w:cs="Arial" w:eastAsia="Arial" w:hAnsi="Arial"/>
          <w:sz w:val="18"/>
          <w:szCs w:val="18"/>
          <w:color w:val="auto"/>
        </w:rPr>
        <w:t>During the six months ended February 28, 2019, the Company granted stock options under the 2007 Plan to purchase an aggregate of 70,884 shares of its common stock to various employees and directors. The weighted average per share exercise price of the stock options is $36.45, which was equal to the fair market value of the Company’s common stock on the date of grant. During the six months ended February 28, 2019, no stock options to purchase common stock were exercised.</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six months ended February 28, 2018, the Company granted stock options under the 2007 Plan to purchase an aggregate of 47,252 shares of its common stock to various employees and directors during the six months ended February 28, 2018. The weighted average per share exercise price of the stock options is $18.35, which was equal to the fair market value of the Company’s common stock on the date of grant. During the six months ended February 28, 2018, stock options to purchase an aggregate of 1,500 shares of common stock were exercised at a weighted average exercise price of $10.25 per share.</w:t>
      </w:r>
    </w:p>
    <w:p>
      <w:pPr>
        <w:spacing w:after="0" w:line="1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issued 874 and 891 shares of common stock on September 1, 2018 and 2017, respectively, under the Northern Technologies International Corporation Employee Stock Purchase Plan (the ESPP).</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six months ended February 28, 2019, the Company’s Board of Directors declared cash dividends on the following dates in the following amounts to the following holders of the Company’s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2"/>
              </w:rPr>
              <w:t>Declaration Date</w:t>
            </w:r>
          </w:p>
        </w:tc>
        <w:tc>
          <w:tcPr>
            <w:tcW w:w="120" w:type="dxa"/>
            <w:vAlign w:val="bottom"/>
          </w:tcPr>
          <w:p>
            <w:pPr>
              <w:spacing w:after="0"/>
              <w:rPr>
                <w:sz w:val="20"/>
                <w:szCs w:val="20"/>
                <w:color w:val="auto"/>
              </w:rPr>
            </w:pPr>
          </w:p>
        </w:tc>
        <w:tc>
          <w:tcPr>
            <w:tcW w:w="2000" w:type="dxa"/>
            <w:vAlign w:val="bottom"/>
          </w:tcPr>
          <w:p>
            <w:pPr>
              <w:jc w:val="right"/>
              <w:ind w:right="237"/>
              <w:spacing w:after="0"/>
              <w:rPr>
                <w:sz w:val="20"/>
                <w:szCs w:val="20"/>
                <w:color w:val="auto"/>
              </w:rPr>
            </w:pPr>
            <w:r>
              <w:rPr>
                <w:rFonts w:ascii="Arial" w:cs="Arial" w:eastAsia="Arial" w:hAnsi="Arial"/>
                <w:sz w:val="18"/>
                <w:szCs w:val="18"/>
                <w:b w:val="1"/>
                <w:bCs w:val="1"/>
                <w:color w:val="auto"/>
              </w:rPr>
              <w:t>Amount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24, 2018</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183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7, 2018</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21, 2018</w:t>
            </w:r>
          </w:p>
        </w:tc>
      </w:tr>
      <w:tr>
        <w:trPr>
          <w:trHeight w:val="230"/>
        </w:trPr>
        <w:tc>
          <w:tcPr>
            <w:tcW w:w="2880" w:type="dxa"/>
            <w:vAlign w:val="bottom"/>
          </w:tcPr>
          <w:p>
            <w:pPr>
              <w:jc w:val="center"/>
              <w:spacing w:after="0"/>
              <w:rPr>
                <w:sz w:val="20"/>
                <w:szCs w:val="20"/>
                <w:color w:val="auto"/>
              </w:rPr>
            </w:pPr>
            <w:r>
              <w:rPr>
                <w:rFonts w:ascii="Arial" w:cs="Arial" w:eastAsia="Arial" w:hAnsi="Arial"/>
                <w:sz w:val="18"/>
                <w:szCs w:val="18"/>
                <w:color w:val="auto"/>
                <w:w w:val="89"/>
              </w:rPr>
              <w:t>January 23, 2019</w:t>
            </w:r>
          </w:p>
        </w:tc>
        <w:tc>
          <w:tcPr>
            <w:tcW w:w="2120" w:type="dxa"/>
            <w:vAlign w:val="bottom"/>
            <w:gridSpan w:val="2"/>
          </w:tcPr>
          <w:p>
            <w:pPr>
              <w:jc w:val="right"/>
              <w:ind w:right="183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6, 2019</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22, 2019</w:t>
            </w:r>
          </w:p>
        </w:tc>
      </w:tr>
    </w:tbl>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six months ended February 28, 2018, the Company’s Board of Directors declared cash dividends on the following dates in the following amounts to the following holders of the Company’s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2"/>
              </w:rPr>
              <w:t>Declaration Date</w:t>
            </w:r>
          </w:p>
        </w:tc>
        <w:tc>
          <w:tcPr>
            <w:tcW w:w="120" w:type="dxa"/>
            <w:vAlign w:val="bottom"/>
          </w:tcPr>
          <w:p>
            <w:pPr>
              <w:spacing w:after="0"/>
              <w:rPr>
                <w:sz w:val="20"/>
                <w:szCs w:val="20"/>
                <w:color w:val="auto"/>
              </w:rPr>
            </w:pPr>
          </w:p>
        </w:tc>
        <w:tc>
          <w:tcPr>
            <w:tcW w:w="2000" w:type="dxa"/>
            <w:vAlign w:val="bottom"/>
          </w:tcPr>
          <w:p>
            <w:pPr>
              <w:jc w:val="right"/>
              <w:ind w:right="237"/>
              <w:spacing w:after="0"/>
              <w:rPr>
                <w:sz w:val="20"/>
                <w:szCs w:val="20"/>
                <w:color w:val="auto"/>
              </w:rPr>
            </w:pPr>
            <w:r>
              <w:rPr>
                <w:rFonts w:ascii="Arial" w:cs="Arial" w:eastAsia="Arial" w:hAnsi="Arial"/>
                <w:sz w:val="18"/>
                <w:szCs w:val="18"/>
                <w:b w:val="1"/>
                <w:bCs w:val="1"/>
                <w:color w:val="auto"/>
              </w:rPr>
              <w:t>Amount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 Date</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Payable Date</w:t>
            </w:r>
          </w:p>
        </w:tc>
      </w:tr>
      <w:tr>
        <w:trPr>
          <w:trHeight w:val="210"/>
        </w:trPr>
        <w:tc>
          <w:tcPr>
            <w:tcW w:w="2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November 20, 2017</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183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8, 2017</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21, 2017</w:t>
            </w:r>
          </w:p>
        </w:tc>
      </w:tr>
      <w:tr>
        <w:trPr>
          <w:trHeight w:val="230"/>
        </w:trPr>
        <w:tc>
          <w:tcPr>
            <w:tcW w:w="2880" w:type="dxa"/>
            <w:vAlign w:val="bottom"/>
          </w:tcPr>
          <w:p>
            <w:pPr>
              <w:jc w:val="center"/>
              <w:spacing w:after="0"/>
              <w:rPr>
                <w:sz w:val="20"/>
                <w:szCs w:val="20"/>
                <w:color w:val="auto"/>
              </w:rPr>
            </w:pPr>
            <w:r>
              <w:rPr>
                <w:rFonts w:ascii="Arial" w:cs="Arial" w:eastAsia="Arial" w:hAnsi="Arial"/>
                <w:sz w:val="18"/>
                <w:szCs w:val="18"/>
                <w:color w:val="auto"/>
                <w:w w:val="89"/>
              </w:rPr>
              <w:t>January 24, 2018</w:t>
            </w:r>
          </w:p>
        </w:tc>
        <w:tc>
          <w:tcPr>
            <w:tcW w:w="2120" w:type="dxa"/>
            <w:vAlign w:val="bottom"/>
            <w:gridSpan w:val="2"/>
          </w:tcPr>
          <w:p>
            <w:pPr>
              <w:jc w:val="right"/>
              <w:ind w:right="1837"/>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0"/>
                <w:szCs w:val="20"/>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February 8,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February 21, 2018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February 28, 2019 and 2018, the Company repurchased no shares of its common stock.</w:t>
      </w:r>
    </w:p>
    <w:p>
      <w:pPr>
        <w:spacing w:after="0" w:line="221" w:lineRule="exact"/>
        <w:rPr>
          <w:sz w:val="20"/>
          <w:szCs w:val="20"/>
          <w:color w:val="auto"/>
        </w:rPr>
      </w:pPr>
    </w:p>
    <w:p>
      <w:pPr>
        <w:ind w:left="580" w:hanging="558"/>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net income per share computation for the three and six months ended February 28,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r>
      <w:tr>
        <w:trPr>
          <w:trHeight w:val="234"/>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Numerators:</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1,401,568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1,332,847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2,898,627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2,416,473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Denominators: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Basic – weighted shares outstanding</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4,542,177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4,537,408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4,542,175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4,537,368</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181,753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135,930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189,433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103,674</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 weighted shares outstanding</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4,723,930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4,673,338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4,731,608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4,641,042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0.53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ind w:right="18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method when computing the diluted net income per share.</w:t>
      </w:r>
    </w:p>
    <w:p>
      <w:pPr>
        <w:spacing w:after="0" w:line="18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Excluded from the computation of diluted income per share for the three and six months ended February 28, 2019, were options outstanding to purchase 70,884 shares of common stock. There were no shares excluded from the computation of diluted income per share for the three and six months ended February 28, 2018.</w:t>
      </w:r>
    </w:p>
    <w:p>
      <w:pPr>
        <w:spacing w:after="0" w:line="177" w:lineRule="exact"/>
        <w:rPr>
          <w:sz w:val="20"/>
          <w:szCs w:val="20"/>
          <w:color w:val="auto"/>
        </w:rPr>
      </w:pPr>
    </w:p>
    <w:p>
      <w:pPr>
        <w:ind w:left="580" w:hanging="558"/>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As previously described in Note 8, the Board of Directors and stockholders of the Company approved a new Northern Technologies International Corporation 2019 Stock Incentive Plan, no stock options or other equity awards have been granted under that plan. The Compensation Committee of the Board of Directors and the Board of Directors administer these plans.</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2019 Plan, up to a maximum of 400,000 shares of the Company’s common stock are issuable under the 2019 Plan.</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Options granted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February 28, 2019, only stock options and stock bonuses had been granted under the 2007 Plan and no stock options or other equity awards had been granted under the 2019 Plan.</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ind w:right="60"/>
        <w:spacing w:after="0" w:line="271" w:lineRule="auto"/>
        <w:rPr>
          <w:sz w:val="20"/>
          <w:szCs w:val="20"/>
          <w:color w:val="auto"/>
        </w:rPr>
      </w:pPr>
      <w:r>
        <w:rPr>
          <w:rFonts w:ascii="Arial" w:cs="Arial" w:eastAsia="Arial" w:hAnsi="Arial"/>
          <w:sz w:val="17"/>
          <w:szCs w:val="17"/>
          <w:color w:val="auto"/>
        </w:rPr>
        <w:t>The Company granted options to purchase an aggregate of 70,884 and 47,252 shares of its common stock during the six months ended February 28, 2019 and 2018, respectively. The fair value of option grants is determined at date of grant using the Black-Scholes option pricing model with the assumptions listed below. The Company recognized compensation expense of $715,960 and $206,534 during the six months ended February 28, 2019 and 2018, respectively, related to the options that vested during such time period. As of February 28, 2019, the total compensation cost for non-vested options not yet recognized in the Company’s consolidated statements of operations was $781,195. Stock-based compensation expense of $715,961 is expected through the remainder of fiscal year 2019 and $65,234 is expected to be recognized during fiscal 2020, based on outstanding options as of February 28, 2019. Future option grants will impact the compensation expense recognized. Stock-based compensation expense is included in general and administrative expense on the consolidated statements of operations.</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 pricing model with the following assumptions and results for the grants:</w:t>
      </w:r>
    </w:p>
    <w:p>
      <w:pPr>
        <w:spacing w:after="0" w:line="180"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5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7"/>
              </w:rPr>
              <w:t>Three and Six Months Ended</w:t>
            </w:r>
          </w:p>
        </w:tc>
      </w:tr>
      <w:tr>
        <w:trPr>
          <w:trHeight w:val="191"/>
        </w:trPr>
        <w:tc>
          <w:tcPr>
            <w:tcW w:w="5860" w:type="dxa"/>
            <w:vAlign w:val="bottom"/>
          </w:tcPr>
          <w:p>
            <w:pPr>
              <w:spacing w:after="0"/>
              <w:rPr>
                <w:sz w:val="16"/>
                <w:szCs w:val="16"/>
                <w:color w:val="auto"/>
              </w:rPr>
            </w:pPr>
          </w:p>
        </w:tc>
        <w:tc>
          <w:tcPr>
            <w:tcW w:w="134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February 28,</w:t>
            </w:r>
          </w:p>
        </w:tc>
        <w:tc>
          <w:tcPr>
            <w:tcW w:w="124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rPr>
              <w:t>February 28,</w:t>
            </w:r>
          </w:p>
        </w:tc>
      </w:tr>
      <w:tr>
        <w:trPr>
          <w:trHeight w:val="234"/>
        </w:trPr>
        <w:tc>
          <w:tcPr>
            <w:tcW w:w="58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per share fair value of options granted during the six months ended February 28, 2019 and 2018 was $18.03 and $7.75,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contractual life of the options outstanding as of February 28, 2019 and 2018 was 6.40 years and 6.75 years, respectively.</w:t>
      </w:r>
    </w:p>
    <w:p>
      <w:pPr>
        <w:spacing w:after="0" w:line="230" w:lineRule="exact"/>
        <w:rPr>
          <w:sz w:val="20"/>
          <w:szCs w:val="20"/>
          <w:color w:val="auto"/>
        </w:rPr>
      </w:pPr>
    </w:p>
    <w:p>
      <w:pPr>
        <w:ind w:left="580" w:hanging="558"/>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25"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40 years and, more recently, has targeted and expanded into the oil and gas industry. The Company also sells a portfolio of bio-based and compostable (fully biodegradable) polymer resins and finished products under the Natur-Tec® brand.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net sales for the three and six months ended February 28, 2019 and 2018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r>
      <w:tr>
        <w:trPr>
          <w:trHeight w:val="234"/>
        </w:trPr>
        <w:tc>
          <w:tcPr>
            <w:tcW w:w="56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ZERUST® 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9,108,395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10,191,459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19,173,569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19,719,196</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Natur-Tec® net sales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4,207,009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2,022,516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8,235,887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4,037,817</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13,315,404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12,213,975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27,409,456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23,757,013</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sets forth the Company’s cost of goods sold for the three and six months ended February 28, 2019 and 2018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 of</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February 28,</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February 28,</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 of</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February 28,</w:t>
            </w:r>
          </w:p>
        </w:tc>
        <w:tc>
          <w:tcPr>
            <w:tcW w:w="118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86"/>
              </w:rPr>
              <w:t>Segment</w:t>
            </w:r>
          </w:p>
        </w:tc>
        <w:tc>
          <w:tcPr>
            <w:tcW w:w="11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February 28,</w:t>
            </w:r>
          </w:p>
        </w:tc>
        <w:tc>
          <w:tcPr>
            <w:tcW w:w="10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6"/>
              </w:rPr>
              <w:t>Segment</w:t>
            </w:r>
          </w:p>
        </w:tc>
        <w:tc>
          <w:tcPr>
            <w:tcW w:w="0" w:type="dxa"/>
            <w:vAlign w:val="bottom"/>
          </w:tcPr>
          <w:p>
            <w:pPr>
              <w:spacing w:after="0"/>
              <w:rPr>
                <w:sz w:val="1"/>
                <w:szCs w:val="1"/>
                <w:color w:val="auto"/>
              </w:rPr>
            </w:pPr>
          </w:p>
        </w:tc>
      </w:tr>
      <w:tr>
        <w:trPr>
          <w:trHeight w:val="255"/>
        </w:trPr>
        <w:tc>
          <w:tcPr>
            <w:tcW w:w="2160" w:type="dxa"/>
            <w:vAlign w:val="bottom"/>
            <w:vMerge w:val="restart"/>
          </w:tcPr>
          <w:p>
            <w:pPr>
              <w:spacing w:after="0"/>
              <w:rPr>
                <w:sz w:val="20"/>
                <w:szCs w:val="20"/>
                <w:color w:val="auto"/>
              </w:rPr>
            </w:pPr>
            <w:r>
              <w:rPr>
                <w:rFonts w:ascii="Arial" w:cs="Arial" w:eastAsia="Arial" w:hAnsi="Arial"/>
                <w:sz w:val="18"/>
                <w:szCs w:val="18"/>
                <w:color w:val="auto"/>
              </w:rPr>
              <w:t>Direct cost of goods sold</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Sales*</w:t>
            </w:r>
          </w:p>
        </w:tc>
        <w:tc>
          <w:tcPr>
            <w:tcW w:w="140" w:type="dxa"/>
            <w:vAlign w:val="bottom"/>
          </w:tcPr>
          <w:p>
            <w:pPr>
              <w:spacing w:after="0"/>
              <w:rPr>
                <w:sz w:val="22"/>
                <w:szCs w:val="22"/>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11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11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Sales*</w:t>
            </w: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ZERUST®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2"/>
              </w:rPr>
              <w:t>5,249,617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6,005,262</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$10,871,316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5"/>
              </w:rPr>
              <w:t>$ 11,809,242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Natur-Tec®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3,354,693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w w:val="92"/>
              </w:rPr>
              <w:t>1,447,240</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71.6%</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6,510,768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2,926,439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679,789</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560,334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1,363,152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1,165,625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160" w:type="dxa"/>
            <w:vAlign w:val="bottom"/>
          </w:tcPr>
          <w:p>
            <w:pPr>
              <w:spacing w:after="0"/>
              <w:rPr>
                <w:sz w:val="20"/>
                <w:szCs w:val="20"/>
                <w:color w:val="auto"/>
              </w:rPr>
            </w:pPr>
            <w:r>
              <w:rPr>
                <w:rFonts w:ascii="Arial" w:cs="Arial" w:eastAsia="Arial" w:hAnsi="Arial"/>
                <w:sz w:val="18"/>
                <w:szCs w:val="18"/>
                <w:color w:val="auto"/>
                <w:w w:val="97"/>
              </w:rPr>
              <w:t>Total net cost of goods sold</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2"/>
              </w:rPr>
              <w:t>9,284,099</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8,012,836</w:t>
            </w:r>
          </w:p>
        </w:tc>
        <w:tc>
          <w:tcPr>
            <w:tcW w:w="1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$18,745,236</w:t>
            </w: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$15,901,306</w:t>
            </w:r>
          </w:p>
        </w:tc>
        <w:tc>
          <w:tcPr>
            <w:tcW w:w="1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490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2" w:lineRule="exact"/>
        <w:rPr>
          <w:sz w:val="20"/>
          <w:szCs w:val="20"/>
          <w:color w:val="auto"/>
        </w:rPr>
      </w:pPr>
    </w:p>
    <w:p>
      <w:pPr>
        <w:ind w:left="340" w:right="6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goods sold for each individual segment category by the net sales for each segment category.</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for the three and six months ended February 28, 2019 and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r>
      <w:tr>
        <w:trPr>
          <w:trHeight w:val="234"/>
        </w:trPr>
        <w:tc>
          <w:tcPr>
            <w:tcW w:w="56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6,467,940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6,079,835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13,391,874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12,336,040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Outside the U.S.A. to:</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2"/>
        </w:trPr>
        <w:tc>
          <w:tcPr>
            <w:tcW w:w="5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Joint ventures in which the Company is a shareholder directly and</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indirectly</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708,955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814,122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1,192,142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1,321,753</w:t>
            </w:r>
          </w:p>
        </w:tc>
      </w:tr>
      <w:tr>
        <w:trPr>
          <w:trHeight w:val="23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Unaffiliated customers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6,138,509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5,320,018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12,825,440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10,099,220</w:t>
            </w:r>
          </w:p>
        </w:tc>
      </w:tr>
      <w:tr>
        <w:trPr>
          <w:trHeight w:val="210"/>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13,315,404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12,213,975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27,409,456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23,757,013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the three and six months ended February 28, 2019 and 2018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Borders>
              <w:bottom w:val="single" w:sz="8" w:color="auto"/>
            </w:tcBorders>
          </w:tcPr>
          <w:p>
            <w:pPr>
              <w:spacing w:after="0"/>
              <w:rPr>
                <w:sz w:val="20"/>
                <w:szCs w:val="20"/>
                <w:color w:val="auto"/>
              </w:rPr>
            </w:pPr>
          </w:p>
        </w:tc>
      </w:tr>
      <w:tr>
        <w:trPr>
          <w:trHeight w:val="191"/>
        </w:trPr>
        <w:tc>
          <w:tcPr>
            <w:tcW w:w="3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for Services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for Services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Provided to Joint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February 28,</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Provided to Joint</w:t>
            </w:r>
          </w:p>
        </w:tc>
      </w:tr>
      <w:tr>
        <w:trPr>
          <w:trHeight w:val="234"/>
        </w:trPr>
        <w:tc>
          <w:tcPr>
            <w:tcW w:w="340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Ventures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Ventures</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215,337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236,700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Poland</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188,529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207,038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167,496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172,032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Sweden</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149,750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165,165</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106,270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130,323</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Thailand</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105,299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111,779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96,209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82,432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Czech Republic</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93,928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98,726</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South Korea</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87,413</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99,574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India</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85,401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138,437</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64,648</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76,546</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76,494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90,138</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34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1,436,774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1,608,890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8"/>
          </w:tcPr>
          <w:p>
            <w:pPr>
              <w:ind w:left="80"/>
              <w:spacing w:after="0"/>
              <w:rPr>
                <w:sz w:val="20"/>
                <w:szCs w:val="20"/>
                <w:color w:val="auto"/>
              </w:rPr>
            </w:pPr>
            <w:r>
              <w:rPr>
                <w:rFonts w:ascii="Arial" w:cs="Arial" w:eastAsia="Arial" w:hAnsi="Arial"/>
                <w:sz w:val="18"/>
                <w:szCs w:val="18"/>
                <w:b w:val="1"/>
                <w:bCs w:val="1"/>
                <w:color w:val="auto"/>
              </w:rPr>
              <w:t>Six Months Ended</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191"/>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 of Total Fees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 of Total Fees</w:t>
            </w: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for Services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for Services</w:t>
            </w: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28,</w:t>
            </w:r>
          </w:p>
        </w:tc>
        <w:tc>
          <w:tcPr>
            <w:tcW w:w="15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Provided to Joint</w:t>
            </w:r>
          </w:p>
        </w:tc>
        <w:tc>
          <w:tcPr>
            <w:tcW w:w="1460" w:type="dxa"/>
            <w:vAlign w:val="bottom"/>
            <w:gridSpan w:val="5"/>
          </w:tcPr>
          <w:p>
            <w:pPr>
              <w:ind w:left="180"/>
              <w:spacing w:after="0"/>
              <w:rPr>
                <w:sz w:val="20"/>
                <w:szCs w:val="20"/>
                <w:color w:val="auto"/>
              </w:rPr>
            </w:pPr>
            <w:r>
              <w:rPr>
                <w:rFonts w:ascii="Arial" w:cs="Arial" w:eastAsia="Arial" w:hAnsi="Arial"/>
                <w:sz w:val="18"/>
                <w:szCs w:val="18"/>
                <w:b w:val="1"/>
                <w:bCs w:val="1"/>
                <w:color w:val="auto"/>
              </w:rPr>
              <w:t>February 28,</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Provided to Joint</w:t>
            </w:r>
          </w:p>
        </w:tc>
      </w:t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5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Ventures</w:t>
            </w:r>
          </w:p>
        </w:tc>
        <w:tc>
          <w:tcPr>
            <w:tcW w:w="400" w:type="dxa"/>
            <w:vAlign w:val="bottom"/>
          </w:tcPr>
          <w:p>
            <w:pPr>
              <w:spacing w:after="0"/>
              <w:rPr>
                <w:sz w:val="20"/>
                <w:szCs w:val="20"/>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Ventures</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Germany</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430,328</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456,574</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Poland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370,374</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413,114</w:t>
            </w: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337,296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346,077</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Sweden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279,993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293,119</w:t>
            </w: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216,332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269,964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Thailand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203,647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214,311</w:t>
            </w: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190,990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194,207</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Czech Republic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183,620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182,951</w:t>
            </w: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180,128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225,200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South Korea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173,880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183,062</w:t>
            </w: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146,464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166,172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152,157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171,281</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2,865,209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3,116,032</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432"/>
        </w:trPr>
        <w:tc>
          <w:tcPr>
            <w:tcW w:w="5480" w:type="dxa"/>
            <w:vAlign w:val="bottom"/>
          </w:tcPr>
          <w:p>
            <w:pPr>
              <w:spacing w:after="0"/>
              <w:rPr>
                <w:sz w:val="20"/>
                <w:szCs w:val="20"/>
                <w:color w:val="auto"/>
              </w:rPr>
            </w:pPr>
            <w:r>
              <w:rPr>
                <w:rFonts w:ascii="Arial" w:cs="Arial" w:eastAsia="Arial" w:hAnsi="Arial"/>
                <w:sz w:val="18"/>
                <w:szCs w:val="18"/>
                <w:color w:val="auto"/>
                <w:w w:val="93"/>
              </w:rPr>
              <w:t>The geographical distribution of key financial statement data is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rPr>
              <w:t>At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rPr>
              <w:t>At</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February 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center"/>
              <w:ind w:right="1150"/>
              <w:spacing w:after="0"/>
              <w:rPr>
                <w:sz w:val="20"/>
                <w:szCs w:val="20"/>
                <w:color w:val="auto"/>
              </w:rPr>
            </w:pPr>
            <w:r>
              <w:rPr>
                <w:rFonts w:ascii="Arial" w:cs="Arial" w:eastAsia="Arial" w:hAnsi="Arial"/>
                <w:sz w:val="18"/>
                <w:szCs w:val="18"/>
                <w:b w:val="1"/>
                <w:bCs w:val="1"/>
                <w:color w:val="auto"/>
                <w:w w:val="89"/>
              </w:rPr>
              <w:t>August 31,</w:t>
            </w:r>
          </w:p>
        </w:tc>
      </w:tr>
      <w:tr>
        <w:trPr>
          <w:trHeight w:val="234"/>
        </w:trPr>
        <w:tc>
          <w:tcPr>
            <w:tcW w:w="5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89"/>
              </w:rPr>
              <w:t>2019</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210,031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205,490</w:t>
            </w:r>
          </w:p>
        </w:tc>
        <w:tc>
          <w:tcPr>
            <w:tcW w:w="114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Brazil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124,008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
              <w:spacing w:after="0"/>
              <w:rPr>
                <w:sz w:val="20"/>
                <w:szCs w:val="20"/>
                <w:color w:val="auto"/>
              </w:rPr>
            </w:pPr>
            <w:r>
              <w:rPr>
                <w:rFonts w:ascii="Arial" w:cs="Arial" w:eastAsia="Arial" w:hAnsi="Arial"/>
                <w:sz w:val="18"/>
                <w:szCs w:val="18"/>
                <w:color w:val="auto"/>
              </w:rPr>
              <w:t>71,677</w:t>
            </w:r>
          </w:p>
        </w:tc>
        <w:tc>
          <w:tcPr>
            <w:tcW w:w="11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47,852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22,220</w:t>
            </w:r>
          </w:p>
        </w:tc>
        <w:tc>
          <w:tcPr>
            <w:tcW w:w="114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11,502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
              <w:spacing w:after="0"/>
              <w:rPr>
                <w:sz w:val="20"/>
                <w:szCs w:val="20"/>
                <w:color w:val="auto"/>
              </w:rPr>
            </w:pPr>
            <w:r>
              <w:rPr>
                <w:rFonts w:ascii="Arial" w:cs="Arial" w:eastAsia="Arial" w:hAnsi="Arial"/>
                <w:sz w:val="18"/>
                <w:szCs w:val="18"/>
                <w:color w:val="auto"/>
              </w:rPr>
              <w:t>7,058</w:t>
            </w:r>
          </w:p>
        </w:tc>
        <w:tc>
          <w:tcPr>
            <w:tcW w:w="1140" w:type="dxa"/>
            <w:vAlign w:val="bottom"/>
          </w:tcPr>
          <w:p>
            <w:pPr>
              <w:spacing w:after="0"/>
              <w:rPr>
                <w:sz w:val="18"/>
                <w:szCs w:val="18"/>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6,836,005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6,862,381</w:t>
            </w:r>
          </w:p>
        </w:tc>
        <w:tc>
          <w:tcPr>
            <w:tcW w:w="1140" w:type="dxa"/>
            <w:vAlign w:val="bottom"/>
          </w:tcPr>
          <w:p>
            <w:pPr>
              <w:spacing w:after="0"/>
              <w:rPr>
                <w:sz w:val="19"/>
                <w:szCs w:val="19"/>
                <w:color w:val="auto"/>
              </w:rPr>
            </w:pPr>
          </w:p>
        </w:tc>
      </w:tr>
      <w:tr>
        <w:trPr>
          <w:trHeight w:val="223"/>
        </w:trPr>
        <w:tc>
          <w:tcPr>
            <w:tcW w:w="548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7,229,398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7,168,826</w:t>
            </w:r>
          </w:p>
        </w:tc>
        <w:tc>
          <w:tcPr>
            <w:tcW w:w="114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6"/>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ind w:left="460"/>
              <w:spacing w:after="0"/>
              <w:rPr>
                <w:sz w:val="20"/>
                <w:szCs w:val="20"/>
                <w:color w:val="auto"/>
              </w:rPr>
            </w:pPr>
            <w:r>
              <w:rPr>
                <w:rFonts w:ascii="Arial" w:cs="Arial" w:eastAsia="Arial" w:hAnsi="Arial"/>
                <w:sz w:val="18"/>
                <w:szCs w:val="18"/>
                <w:b w:val="1"/>
                <w:bCs w:val="1"/>
                <w:color w:val="auto"/>
              </w:rPr>
              <w:t>Six Months Ended</w:t>
            </w:r>
          </w:p>
        </w:tc>
        <w:tc>
          <w:tcPr>
            <w:tcW w:w="2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3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140" w:type="dxa"/>
            <w:vAlign w:val="bottom"/>
          </w:tcPr>
          <w:p>
            <w:pPr>
              <w:spacing w:after="0"/>
              <w:rPr>
                <w:sz w:val="16"/>
                <w:szCs w:val="16"/>
                <w:color w:val="auto"/>
              </w:rPr>
            </w:pPr>
          </w:p>
        </w:tc>
      </w:tr>
      <w:tr>
        <w:trPr>
          <w:trHeight w:val="234"/>
        </w:trPr>
        <w:tc>
          <w:tcPr>
            <w:tcW w:w="5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center"/>
              <w:ind w:left="210"/>
              <w:spacing w:after="0"/>
              <w:rPr>
                <w:sz w:val="20"/>
                <w:szCs w:val="20"/>
                <w:color w:val="auto"/>
              </w:rPr>
            </w:pPr>
            <w:r>
              <w:rPr>
                <w:rFonts w:ascii="Arial" w:cs="Arial" w:eastAsia="Arial" w:hAnsi="Arial"/>
                <w:sz w:val="18"/>
                <w:szCs w:val="18"/>
                <w:b w:val="1"/>
                <w:bCs w:val="1"/>
                <w:color w:val="auto"/>
                <w:w w:val="89"/>
              </w:rPr>
              <w:t>2019</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6,173,259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6,106,942</w:t>
            </w:r>
          </w:p>
        </w:tc>
        <w:tc>
          <w:tcPr>
            <w:tcW w:w="114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Brazil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1,551,595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
              <w:spacing w:after="0"/>
              <w:rPr>
                <w:sz w:val="20"/>
                <w:szCs w:val="20"/>
                <w:color w:val="auto"/>
              </w:rPr>
            </w:pPr>
            <w:r>
              <w:rPr>
                <w:rFonts w:ascii="Arial" w:cs="Arial" w:eastAsia="Arial" w:hAnsi="Arial"/>
                <w:sz w:val="18"/>
                <w:szCs w:val="18"/>
                <w:color w:val="auto"/>
              </w:rPr>
              <w:t>1,456,456</w:t>
            </w:r>
          </w:p>
        </w:tc>
        <w:tc>
          <w:tcPr>
            <w:tcW w:w="11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3,875,790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1,078,294</w:t>
            </w:r>
          </w:p>
        </w:tc>
        <w:tc>
          <w:tcPr>
            <w:tcW w:w="114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2,416,938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
              <w:spacing w:after="0"/>
              <w:rPr>
                <w:sz w:val="20"/>
                <w:szCs w:val="20"/>
                <w:color w:val="auto"/>
              </w:rPr>
            </w:pPr>
            <w:r>
              <w:rPr>
                <w:rFonts w:ascii="Arial" w:cs="Arial" w:eastAsia="Arial" w:hAnsi="Arial"/>
                <w:sz w:val="18"/>
                <w:szCs w:val="18"/>
                <w:color w:val="auto"/>
              </w:rPr>
              <w:t>1,607,953</w:t>
            </w:r>
          </w:p>
        </w:tc>
        <w:tc>
          <w:tcPr>
            <w:tcW w:w="1140" w:type="dxa"/>
            <w:vAlign w:val="bottom"/>
          </w:tcPr>
          <w:p>
            <w:pPr>
              <w:spacing w:after="0"/>
              <w:rPr>
                <w:sz w:val="18"/>
                <w:szCs w:val="18"/>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13,391,874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13,507,368</w:t>
            </w:r>
          </w:p>
        </w:tc>
        <w:tc>
          <w:tcPr>
            <w:tcW w:w="1140" w:type="dxa"/>
            <w:vAlign w:val="bottom"/>
          </w:tcPr>
          <w:p>
            <w:pPr>
              <w:spacing w:after="0"/>
              <w:rPr>
                <w:sz w:val="19"/>
                <w:szCs w:val="19"/>
                <w:color w:val="auto"/>
              </w:rPr>
            </w:pPr>
          </w:p>
        </w:tc>
      </w:tr>
      <w:tr>
        <w:trPr>
          <w:trHeight w:val="223"/>
        </w:trPr>
        <w:tc>
          <w:tcPr>
            <w:tcW w:w="548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27,409,456</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23,757,013</w:t>
            </w:r>
          </w:p>
        </w:tc>
        <w:tc>
          <w:tcPr>
            <w:tcW w:w="114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0" w:name="page21"/>
    <w:bookmarkEnd w:id="20"/>
    <w:p>
      <w:pPr>
        <w:ind w:right="440"/>
        <w:spacing w:after="0" w:line="342" w:lineRule="auto"/>
        <w:rPr>
          <w:sz w:val="20"/>
          <w:szCs w:val="20"/>
          <w:color w:val="auto"/>
        </w:rPr>
      </w:pPr>
      <w:r>
        <w:rPr>
          <w:rFonts w:ascii="Arial" w:cs="Arial" w:eastAsia="Arial" w:hAnsi="Arial"/>
          <w:sz w:val="16"/>
          <w:szCs w:val="16"/>
          <w:color w:val="auto"/>
        </w:rPr>
        <w:t>Total property and equipment are periodically reviewed to assure the net realizable value from the estimated future production based on forecasted sales exceeds the carrying value of the assets. Total assets located in the United States include the Company’s investments in joint ventures.</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and cost of goods sold recognized directly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All joint venture operations, including equity in income, fees for services, and related dividends, are primarily related to ZERUST® products and services.</w:t>
      </w:r>
    </w:p>
    <w:p>
      <w:pPr>
        <w:spacing w:after="0" w:line="244" w:lineRule="exact"/>
        <w:rPr>
          <w:sz w:val="20"/>
          <w:szCs w:val="20"/>
          <w:color w:val="auto"/>
        </w:rPr>
      </w:pPr>
    </w:p>
    <w:p>
      <w:pPr>
        <w:ind w:left="580" w:hanging="558"/>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August 31, 2018, the Compensation Committee of the Board of Directors of the Company approved the material terms of an annual bonus plan for the Company’s executive officers as well as certain officers and employees for the fiscal year ending August 31, 2019. For fiscal 2019,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2019 compared to a pre-established target EBITOI for fiscal 2019, and 25% of the payout will be determined based upon such executive officer’s achievement of certain pre-established individual performance objectives. The payment of bonuses under the plan is discretionary and may be paid to executive officer participants in both cash and shares of NTIC common stock, with the exact amount and percentages determined by the Company’s Board of Directors, upon recommendation of the Compensation Committee, after the completion of the Company’s consolidated financial statements for fiscal 2019. There was $900,000 accrued for management bonuses for the six months ended February 28, 2019, compared to $880,000 accrued for management bonuses for the six months ended February 28, 2018.</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Three joint ventures (consisting of the Company’s joint ventures in South Korea, Thailand and Germany) accounted for 77.5% of the Company’s trade joint venture receivables at February 28, 2019, and three joint ventures (consisting of the Company’s joint ventures in South Korea, Thailand, and India) accounted for 74.1% of the Company’s trade joint venture receivables at August 31, 2018.</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February 28, 2019, the amount of liability, if any, with respect to these matters, individually or in the aggregate, will not materially affect the Company’s consolidated results of operations, financial position, or cash flows.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1" w:name="page22"/>
    <w:bookmarkEnd w:id="21"/>
    <w:p>
      <w:pPr>
        <w:ind w:left="580" w:hanging="558"/>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 The following tables provide information by level for assets and liabilities that are measured at fair value on a recurring basis: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1"/>
              </w:rPr>
              <w:t>Fair Value Measurements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Fair value as of</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February 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1,227,268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1,227,268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4"/>
        </w:trPr>
        <w:tc>
          <w:tcPr>
            <w:tcW w:w="5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gridSpan w:val="6"/>
          </w:tcPr>
          <w:p>
            <w:pPr>
              <w:jc w:val="center"/>
              <w:ind w:left="670"/>
              <w:spacing w:after="0"/>
              <w:rPr>
                <w:sz w:val="20"/>
                <w:szCs w:val="20"/>
                <w:color w:val="auto"/>
              </w:rPr>
            </w:pPr>
            <w:r>
              <w:rPr>
                <w:rFonts w:ascii="Arial" w:cs="Arial" w:eastAsia="Arial" w:hAnsi="Arial"/>
                <w:sz w:val="18"/>
                <w:szCs w:val="18"/>
                <w:b w:val="1"/>
                <w:bCs w:val="1"/>
                <w:color w:val="auto"/>
                <w:w w:val="91"/>
              </w:rPr>
              <w:t>Fair Value Measurements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Fair value as of</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8"/>
              </w:rPr>
              <w:t>Using Inputs Considered as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August 31, 2018</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Available for sale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3,300,110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3,300,110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three and six months ended February 28,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14.SUPPLEMENTAL CASH FLOW INFORMATION</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Supplemental disclosures of cash flow information consisted of:</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46"/>
        </w:trPr>
        <w:tc>
          <w:tcPr>
            <w:tcW w:w="5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r>
      <w:tr>
        <w:trPr>
          <w:trHeight w:val="268"/>
        </w:trPr>
        <w:tc>
          <w:tcPr>
            <w:tcW w:w="56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03"/>
        </w:trPr>
        <w:tc>
          <w:tcPr>
            <w:tcW w:w="5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Cash paid for interest</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CCEEFF"/>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3,835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5,779</w:t>
            </w:r>
          </w:p>
        </w:tc>
        <w:tc>
          <w:tcPr>
            <w:tcW w:w="240" w:type="dxa"/>
            <w:vAlign w:val="bottom"/>
            <w:tcBorders>
              <w:top w:val="single" w:sz="8" w:color="CCEEFF"/>
            </w:tcBorders>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6,192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10,868</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53,975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53,975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45,000</w:t>
            </w:r>
          </w:p>
        </w:tc>
      </w:tr>
    </w:tbl>
    <w:p>
      <w:pPr>
        <w:spacing w:after="0" w:line="18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4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or Tax Reform Act. The Tax Reform Act makes broad and complex changes to the U.S. tax code that impacted the Company’s fiscal year ended August 31, 2018, including, but not limited to, reducing the U.S. federal corporate tax rate from 35% to 21% effective January 1, 2018, generally eliminating U.S. federal income taxes on dividends received from foreign subsidiaries and joint ventures after December 31, 2017, and imposing a one-time deemed repatriation tax on certain unremitted earnings of foreign subsidiaries and joint ventures.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recorded income tax expense during the three and six months ended February 28, 2019, of $246,371 and $502,074, respectively, compared to $841,909 and $946,900 for the three and six months ended February 28, 2018.</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Arial" w:cs="Arial" w:eastAsia="Arial" w:hAnsi="Arial"/>
          <w:sz w:val="17"/>
          <w:szCs w:val="17"/>
          <w:i w:val="1"/>
          <w:iCs w:val="1"/>
          <w:color w:val="auto"/>
        </w:rPr>
        <w:t>Part I. Item 2. Management’s Discussion and Analysis of Financial Condition and Results of Operations—Forward-Looking Statements</w:t>
      </w:r>
      <w:r>
        <w:rPr>
          <w:rFonts w:ascii="Arial" w:cs="Arial" w:eastAsia="Arial" w:hAnsi="Arial"/>
          <w:sz w:val="17"/>
          <w:szCs w:val="17"/>
          <w:color w:val="auto"/>
        </w:rPr>
        <w:t>” in this report and under “</w:t>
      </w:r>
      <w:r>
        <w:rPr>
          <w:rFonts w:ascii="Arial" w:cs="Arial" w:eastAsia="Arial" w:hAnsi="Arial"/>
          <w:sz w:val="17"/>
          <w:szCs w:val="17"/>
          <w:i w:val="1"/>
          <w:iCs w:val="1"/>
          <w:color w:val="auto"/>
        </w:rPr>
        <w:t>Part 1. Item 1A. Risk Factors</w:t>
      </w:r>
      <w:r>
        <w:rPr>
          <w:rFonts w:ascii="Arial" w:cs="Arial" w:eastAsia="Arial" w:hAnsi="Arial"/>
          <w:sz w:val="17"/>
          <w:szCs w:val="17"/>
          <w:color w:val="auto"/>
        </w:rPr>
        <w:t>” in our annual report on Form 10-K for the fiscal year ended August 31, 2018. The following discussion of the results of the operations and financial condition of NTIC should be read in conjunction with NTIC’s consolidated financial statements and the related notes thereto included under the heading “</w:t>
      </w:r>
      <w:r>
        <w:rPr>
          <w:rFonts w:ascii="Arial" w:cs="Arial" w:eastAsia="Arial" w:hAnsi="Arial"/>
          <w:sz w:val="17"/>
          <w:szCs w:val="17"/>
          <w:i w:val="1"/>
          <w:iCs w:val="1"/>
          <w:color w:val="auto"/>
        </w:rPr>
        <w:t>Part I. Item 1. Financial Statements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NTIC develops and markets proprietary, environmentally-beneficial products and services in over 60 countries either directly or via a network of subsidiaries, joint ventures, independent distributors, and agents. NTIC’s primary business is corrosion prevention marketed mainly under the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brand. NTIC has</w:t>
      </w:r>
    </w:p>
    <w:p>
      <w:pPr>
        <w:spacing w:after="0" w:line="1"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been selling its proprietary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to the automotive, electronics, electrical, mechanical, military, and retail consumer markets for over 40 years and, in recent years, has targeted and expanded into the oil and gas industry. NTIC also markets and sells a portfolio of bio-based and certified</w:t>
      </w:r>
    </w:p>
    <w:p>
      <w:pPr>
        <w:ind w:right="500"/>
        <w:spacing w:after="0" w:line="205" w:lineRule="auto"/>
        <w:rPr>
          <w:sz w:val="20"/>
          <w:szCs w:val="20"/>
          <w:color w:val="auto"/>
        </w:rPr>
      </w:pPr>
      <w:r>
        <w:rPr>
          <w:rFonts w:ascii="Arial" w:cs="Arial" w:eastAsia="Arial" w:hAnsi="Arial"/>
          <w:sz w:val="18"/>
          <w:szCs w:val="18"/>
          <w:color w:val="auto"/>
        </w:rPr>
        <w:t>compostable (fully biodegradable) polymer resin compounds and finished products under the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These products are intended to reduce NTIC’s customers’ carbon footprint and provide environmentally sound waste disposal options.</w:t>
      </w:r>
    </w:p>
    <w:p>
      <w:pPr>
        <w:spacing w:after="0" w:line="20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w:t>
      </w:r>
    </w:p>
    <w:p>
      <w:pPr>
        <w:ind w:right="120"/>
        <w:spacing w:after="0" w:line="206" w:lineRule="auto"/>
        <w:rPr>
          <w:sz w:val="20"/>
          <w:szCs w:val="20"/>
          <w:color w:val="auto"/>
        </w:rPr>
      </w:pPr>
      <w:r>
        <w:rPr>
          <w:rFonts w:ascii="Arial" w:cs="Arial" w:eastAsia="Arial" w:hAnsi="Arial"/>
          <w:sz w:val="16"/>
          <w:szCs w:val="16"/>
          <w:color w:val="auto"/>
        </w:rPr>
        <w:t>prevention issues. NTIC’s technical service consultants work directly with the end users of NTIC’s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products to analyze their specific needs and develop systems to meet their performance requirements. In North America, NTIC sells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w:t>
      </w:r>
    </w:p>
    <w:p>
      <w:pPr>
        <w:spacing w:after="0" w:line="1"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solutions through a network of independent distributors and agents supported by a direct sales force. Internationally, NTIC sells its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corrosion prevention solutions through its wholly-owned subsidiary in China, NTIC (Shanghai) Co., Ltd. (NTIC China), its majority-owned joint venture holding company for NTIC’s joint venture investments in the Association of Southeast Asian Nations (ASEAN) region, NTI Asean LLC (NTI Asean), its majority-owned subsidiary in Brazil, Zerust Prevenção de Corrosão S.A. (Zerust Brazil), its wholly-owned subsidiary in Mexico, ZERUST-EXCOR MEXICO, S. de R.L. de C.V (Zerust Mexico), and joint venture arrangements in North America, Europe, and Asia. NTIC also sells products directly to its joint venture partners through its wholly-owned subsidiary in Germany, NTIC Europe GmbH (NTI Europe).</w:t>
      </w:r>
    </w:p>
    <w:p>
      <w:pPr>
        <w:spacing w:after="0" w:line="204"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corrosion prevention technologies. Consequently, for the past several years, NTIC has focused significant sales and marketing efforts on the oil and gas industry, as the infrastructure that supports that industry is</w:t>
      </w:r>
    </w:p>
    <w:p>
      <w:pPr>
        <w:ind w:right="20"/>
        <w:spacing w:after="0" w:line="217" w:lineRule="auto"/>
        <w:rPr>
          <w:sz w:val="20"/>
          <w:szCs w:val="20"/>
          <w:color w:val="auto"/>
        </w:rPr>
      </w:pPr>
      <w:r>
        <w:rPr>
          <w:rFonts w:ascii="Arial" w:cs="Arial" w:eastAsia="Arial" w:hAnsi="Arial"/>
          <w:sz w:val="18"/>
          <w:szCs w:val="18"/>
          <w:color w:val="auto"/>
        </w:rPr>
        <w:t>typically constructed using metals that are highly susceptible to corrosion. NTIC believes that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3" w:name="page24"/>
    <w:bookmarkEnd w:id="23"/>
    <w:p>
      <w:pPr>
        <w:ind w:right="100"/>
        <w:spacing w:after="0" w:line="207" w:lineRule="auto"/>
        <w:rPr>
          <w:sz w:val="20"/>
          <w:szCs w:val="20"/>
          <w:color w:val="auto"/>
        </w:rPr>
      </w:pPr>
      <w:r>
        <w:rPr>
          <w:rFonts w:ascii="Arial" w:cs="Arial" w:eastAsia="Arial" w:hAnsi="Arial"/>
          <w:sz w:val="18"/>
          <w:szCs w:val="18"/>
          <w:color w:val="auto"/>
        </w:rPr>
        <w:t>NTIC markets and sells its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rust and corrosion prevention solutions to customers in the oil and gas industry across several countries either directly, through its subsidiaries, or through its joint venture partners and other strategic partners. The sale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corrosion prevention solutions to customers in the oil and gas industry typically involves long sales cycles, often including multi-year trial periods with each customer and a slow integration process thereafter.</w:t>
      </w:r>
    </w:p>
    <w:p>
      <w:pPr>
        <w:spacing w:after="0" w:line="209"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bio-based and compostable plastics are manufactured using NTIC’s patented and/or proprietary technologies and are intended to replace conventional petroleum-based plastics. The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w:t>
      </w:r>
    </w:p>
    <w:p>
      <w:pPr>
        <w:spacing w:after="0" w:line="2" w:lineRule="exact"/>
        <w:rPr>
          <w:sz w:val="20"/>
          <w:szCs w:val="20"/>
          <w:color w:val="auto"/>
        </w:rPr>
      </w:pPr>
    </w:p>
    <w:p>
      <w:pPr>
        <w:ind w:right="160"/>
        <w:spacing w:after="0" w:line="224" w:lineRule="auto"/>
        <w:rPr>
          <w:sz w:val="20"/>
          <w:szCs w:val="20"/>
          <w:color w:val="auto"/>
        </w:rPr>
      </w:pPr>
      <w:r>
        <w:rPr>
          <w:rFonts w:ascii="Arial" w:cs="Arial" w:eastAsia="Arial" w:hAnsi="Arial"/>
          <w:sz w:val="16"/>
          <w:szCs w:val="16"/>
          <w:color w:val="auto"/>
        </w:rPr>
        <w:t>and leaf bags, pet waste collection bags, cutlery, and coated paper products. In North America, NTIC markets its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bioplastic</w:t>
      </w:r>
    </w:p>
    <w:p>
      <w:pPr>
        <w:spacing w:after="0" w:line="1" w:lineRule="exact"/>
        <w:rPr>
          <w:sz w:val="20"/>
          <w:szCs w:val="20"/>
          <w:color w:val="auto"/>
        </w:rPr>
      </w:pPr>
    </w:p>
    <w:p>
      <w:pPr>
        <w:ind w:right="100"/>
        <w:spacing w:after="0" w:line="204" w:lineRule="auto"/>
        <w:rPr>
          <w:sz w:val="20"/>
          <w:szCs w:val="20"/>
          <w:color w:val="auto"/>
        </w:rPr>
      </w:pPr>
      <w:r>
        <w:rPr>
          <w:rFonts w:ascii="Arial" w:cs="Arial" w:eastAsia="Arial" w:hAnsi="Arial"/>
          <w:sz w:val="18"/>
          <w:szCs w:val="18"/>
          <w:color w:val="auto"/>
        </w:rPr>
        <w:t>products. Internationally, NTIC sells its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resin compounds and finished products both directly and through its majority-owned subsidiary in India, Natur-Tec India Private Limited (Natur-Tec India), and through distributors and certain joint ventures.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Subsidiaries and Joint Venture Network</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NTIC has ownership interests in six subsidiaries in North America, South America, Europe, and Asia. The following table sets forth a list of NTIC’s operating subsidiaries as of February 28, 2019, the country in which the subsidiary is organized, and NTIC’s ownership percentage in each subsidiary: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48"/>
        </w:trPr>
        <w:tc>
          <w:tcPr>
            <w:tcW w:w="6860" w:type="dxa"/>
            <w:vAlign w:val="bottom"/>
            <w:tcBorders>
              <w:bottom w:val="single" w:sz="8" w:color="auto"/>
            </w:tcBorders>
          </w:tcPr>
          <w:p>
            <w:pPr>
              <w:ind w:left="2780"/>
              <w:spacing w:after="0"/>
              <w:rPr>
                <w:sz w:val="20"/>
                <w:szCs w:val="20"/>
                <w:color w:val="auto"/>
              </w:rPr>
            </w:pPr>
            <w:r>
              <w:rPr>
                <w:rFonts w:ascii="Arial" w:cs="Arial" w:eastAsia="Arial" w:hAnsi="Arial"/>
                <w:sz w:val="18"/>
                <w:szCs w:val="18"/>
                <w:b w:val="1"/>
                <w:bCs w:val="1"/>
                <w:color w:val="auto"/>
              </w:rPr>
              <w:t>Subsidiary Name</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2"/>
              </w:rPr>
              <w:t>Country</w:t>
            </w:r>
          </w:p>
        </w:tc>
        <w:tc>
          <w:tcPr>
            <w:tcW w:w="200" w:type="dxa"/>
            <w:vAlign w:val="bottom"/>
          </w:tcPr>
          <w:p>
            <w:pPr>
              <w:spacing w:after="0"/>
              <w:rPr>
                <w:sz w:val="21"/>
                <w:szCs w:val="21"/>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Percent (%) Ownership</w:t>
            </w:r>
          </w:p>
        </w:tc>
      </w:tr>
      <w:tr>
        <w:trPr>
          <w:trHeight w:val="210"/>
        </w:trPr>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NTIC (Shanghai) Co., Ltd</w:t>
            </w:r>
          </w:p>
        </w:tc>
        <w:tc>
          <w:tcPr>
            <w:tcW w:w="176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3"/>
              </w:rPr>
              <w:t>China</w:t>
            </w:r>
          </w:p>
        </w:tc>
        <w:tc>
          <w:tcPr>
            <w:tcW w:w="22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7400" w:type="dxa"/>
            <w:vAlign w:val="bottom"/>
            <w:gridSpan w:val="3"/>
          </w:tcPr>
          <w:p>
            <w:pPr>
              <w:spacing w:after="0"/>
              <w:rPr>
                <w:sz w:val="20"/>
                <w:szCs w:val="20"/>
                <w:color w:val="auto"/>
              </w:rPr>
            </w:pPr>
            <w:r>
              <w:rPr>
                <w:rFonts w:ascii="Arial" w:cs="Arial" w:eastAsia="Arial" w:hAnsi="Arial"/>
                <w:sz w:val="18"/>
                <w:szCs w:val="18"/>
                <w:color w:val="auto"/>
              </w:rPr>
              <w:t>NTI Asean LLC</w:t>
            </w:r>
          </w:p>
        </w:tc>
        <w:tc>
          <w:tcPr>
            <w:tcW w:w="1760" w:type="dxa"/>
            <w:vAlign w:val="bottom"/>
          </w:tcPr>
          <w:p>
            <w:pPr>
              <w:jc w:val="center"/>
              <w:ind w:right="230"/>
              <w:spacing w:after="0"/>
              <w:rPr>
                <w:sz w:val="20"/>
                <w:szCs w:val="20"/>
                <w:color w:val="auto"/>
              </w:rPr>
            </w:pPr>
            <w:r>
              <w:rPr>
                <w:rFonts w:ascii="Arial" w:cs="Arial" w:eastAsia="Arial" w:hAnsi="Arial"/>
                <w:sz w:val="18"/>
                <w:szCs w:val="18"/>
                <w:color w:val="auto"/>
                <w:w w:val="88"/>
              </w:rPr>
              <w:t>United States</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60%</w:t>
            </w:r>
          </w:p>
        </w:tc>
      </w:tr>
      <w:tr>
        <w:trPr>
          <w:trHeight w:val="216"/>
        </w:trPr>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Zerust Prevenção de Corrosão S.A.</w:t>
            </w:r>
          </w:p>
        </w:tc>
        <w:tc>
          <w:tcPr>
            <w:tcW w:w="176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7"/>
              </w:rPr>
              <w:t>Brazil</w:t>
            </w:r>
          </w:p>
        </w:tc>
        <w:tc>
          <w:tcPr>
            <w:tcW w:w="22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85%</w:t>
            </w:r>
          </w:p>
        </w:tc>
      </w:tr>
      <w:tr>
        <w:trPr>
          <w:trHeight w:val="216"/>
        </w:trPr>
        <w:tc>
          <w:tcPr>
            <w:tcW w:w="7400" w:type="dxa"/>
            <w:vAlign w:val="bottom"/>
            <w:gridSpan w:val="3"/>
          </w:tcPr>
          <w:p>
            <w:pPr>
              <w:spacing w:after="0"/>
              <w:rPr>
                <w:sz w:val="20"/>
                <w:szCs w:val="20"/>
                <w:color w:val="auto"/>
              </w:rPr>
            </w:pPr>
            <w:r>
              <w:rPr>
                <w:rFonts w:ascii="Arial" w:cs="Arial" w:eastAsia="Arial" w:hAnsi="Arial"/>
                <w:sz w:val="18"/>
                <w:szCs w:val="18"/>
                <w:color w:val="auto"/>
              </w:rPr>
              <w:t>ZERUST-EXCOR MEXICO, S. de R.L. de C.V</w:t>
            </w:r>
          </w:p>
        </w:tc>
        <w:tc>
          <w:tcPr>
            <w:tcW w:w="1760" w:type="dxa"/>
            <w:vAlign w:val="bottom"/>
          </w:tcPr>
          <w:p>
            <w:pPr>
              <w:jc w:val="center"/>
              <w:ind w:right="230"/>
              <w:spacing w:after="0"/>
              <w:rPr>
                <w:sz w:val="20"/>
                <w:szCs w:val="20"/>
                <w:color w:val="auto"/>
              </w:rPr>
            </w:pPr>
            <w:r>
              <w:rPr>
                <w:rFonts w:ascii="Arial" w:cs="Arial" w:eastAsia="Arial" w:hAnsi="Arial"/>
                <w:sz w:val="18"/>
                <w:szCs w:val="18"/>
                <w:color w:val="auto"/>
                <w:w w:val="98"/>
              </w:rPr>
              <w:t>Mexico</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100%</w:t>
            </w:r>
          </w:p>
        </w:tc>
      </w:tr>
      <w:tr>
        <w:trPr>
          <w:trHeight w:val="216"/>
        </w:trPr>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Natur-Tec India Private Limited</w:t>
            </w:r>
          </w:p>
        </w:tc>
        <w:tc>
          <w:tcPr>
            <w:tcW w:w="176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2"/>
              </w:rPr>
              <w:t>India</w:t>
            </w:r>
          </w:p>
        </w:tc>
        <w:tc>
          <w:tcPr>
            <w:tcW w:w="22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75%</w:t>
            </w:r>
          </w:p>
        </w:tc>
      </w:tr>
      <w:tr>
        <w:trPr>
          <w:trHeight w:val="202"/>
        </w:trPr>
        <w:tc>
          <w:tcPr>
            <w:tcW w:w="7400" w:type="dxa"/>
            <w:vAlign w:val="bottom"/>
            <w:gridSpan w:val="3"/>
          </w:tcPr>
          <w:p>
            <w:pPr>
              <w:spacing w:after="0" w:line="201" w:lineRule="exact"/>
              <w:rPr>
                <w:sz w:val="20"/>
                <w:szCs w:val="20"/>
                <w:color w:val="auto"/>
              </w:rPr>
            </w:pPr>
            <w:r>
              <w:rPr>
                <w:rFonts w:ascii="Arial" w:cs="Arial" w:eastAsia="Arial" w:hAnsi="Arial"/>
                <w:sz w:val="18"/>
                <w:szCs w:val="18"/>
                <w:color w:val="auto"/>
              </w:rPr>
              <w:t>NTIC Europe GmbH</w:t>
            </w:r>
          </w:p>
        </w:tc>
        <w:tc>
          <w:tcPr>
            <w:tcW w:w="1760" w:type="dxa"/>
            <w:vAlign w:val="bottom"/>
          </w:tcPr>
          <w:p>
            <w:pPr>
              <w:jc w:val="center"/>
              <w:ind w:right="230"/>
              <w:spacing w:after="0" w:line="201" w:lineRule="exact"/>
              <w:rPr>
                <w:sz w:val="20"/>
                <w:szCs w:val="20"/>
                <w:color w:val="auto"/>
              </w:rPr>
            </w:pPr>
            <w:r>
              <w:rPr>
                <w:rFonts w:ascii="Arial" w:cs="Arial" w:eastAsia="Arial" w:hAnsi="Arial"/>
                <w:sz w:val="18"/>
                <w:szCs w:val="18"/>
                <w:color w:val="auto"/>
                <w:w w:val="91"/>
              </w:rPr>
              <w:t>Germany</w:t>
            </w:r>
          </w:p>
        </w:tc>
        <w:tc>
          <w:tcPr>
            <w:tcW w:w="2260" w:type="dxa"/>
            <w:vAlign w:val="bottom"/>
            <w:gridSpan w:val="2"/>
          </w:tcPr>
          <w:p>
            <w:pPr>
              <w:jc w:val="center"/>
              <w:ind w:left="110"/>
              <w:spacing w:after="0" w:line="201" w:lineRule="exact"/>
              <w:rPr>
                <w:sz w:val="20"/>
                <w:szCs w:val="20"/>
                <w:color w:val="auto"/>
              </w:rPr>
            </w:pPr>
            <w:r>
              <w:rPr>
                <w:rFonts w:ascii="Arial" w:cs="Arial" w:eastAsia="Arial" w:hAnsi="Arial"/>
                <w:sz w:val="18"/>
                <w:szCs w:val="18"/>
                <w:color w:val="auto"/>
                <w:w w:val="91"/>
              </w:rPr>
              <w:t>100%</w:t>
            </w:r>
          </w:p>
        </w:tc>
      </w:tr>
      <w:tr>
        <w:trPr>
          <w:trHeight w:val="230"/>
        </w:trPr>
        <w:tc>
          <w:tcPr>
            <w:tcW w:w="7400" w:type="dxa"/>
            <w:vAlign w:val="bottom"/>
            <w:gridSpan w:val="3"/>
          </w:tcPr>
          <w:p>
            <w:pPr>
              <w:spacing w:after="0"/>
              <w:rPr>
                <w:sz w:val="20"/>
                <w:szCs w:val="20"/>
                <w:color w:val="auto"/>
              </w:rPr>
            </w:pPr>
            <w:r>
              <w:rPr>
                <w:rFonts w:ascii="Arial" w:cs="Arial" w:eastAsia="Arial" w:hAnsi="Arial"/>
                <w:sz w:val="18"/>
                <w:szCs w:val="18"/>
                <w:color w:val="auto"/>
                <w:w w:val="93"/>
              </w:rPr>
              <w:t>The results of these subsidiaries are fully consolidated in NTIC’s consolidated financial statements.</w:t>
            </w: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September 1, 2018, the minority owner in Natur-Tec India made an additional capital contribution of INR 9,340,118 (US$ 134,034), which diluted NTIC’s ownership interest from 90% to 75%. This contribution was made with NTIC’s consent and with the intended purpose to increase the minority owner’s ownership interest accordingly.</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 participates in 20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The following table sets forth a list of NTIC’s operating joint ventures as of February 28, 2019, the country in which the joint venture is organized,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Joint Venture 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TAIYONIC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ACOBAL SAS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EXCOR KORROSIONSSCHUTZ – TECHNOLOGIEN UND PRODUKTE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ZERUST AB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MOSTNIC-ZERUST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ZERUST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HARITA-NTI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ZERUST (U.K.)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EXCOR-ZERUST S.R.O.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EXCOR SP. Z.O.O.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ZERUST A.Ş.</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ZERUST CONSUMER PRODUCTS,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ZERUST – DNEPR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KOREA ZERUST CO., LTD.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ZERUST-NIC (TAIWAN)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PT. CHEMINDO – NTIA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ZERUST SPECIALTY TECH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CHONG WAH-NTIA SDN. BHD.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NTIA ZERUST PHILIPPINES,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ZERUST SINGAPORE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4490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48"/>
        </w:trPr>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Country</w:t>
            </w:r>
          </w:p>
        </w:tc>
        <w:tc>
          <w:tcPr>
            <w:tcW w:w="200" w:type="dxa"/>
            <w:vAlign w:val="bottom"/>
          </w:tcPr>
          <w:p>
            <w:pPr>
              <w:spacing w:after="0"/>
              <w:rPr>
                <w:sz w:val="21"/>
                <w:szCs w:val="21"/>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Percent (%) Ownership</w:t>
            </w:r>
          </w:p>
        </w:tc>
      </w:tr>
      <w:tr>
        <w:trPr>
          <w:trHeight w:val="195"/>
        </w:trPr>
        <w:tc>
          <w:tcPr>
            <w:tcW w:w="2060" w:type="dxa"/>
            <w:vAlign w:val="bottom"/>
          </w:tcPr>
          <w:p>
            <w:pPr>
              <w:jc w:val="center"/>
              <w:spacing w:after="0" w:line="195" w:lineRule="exact"/>
              <w:rPr>
                <w:sz w:val="20"/>
                <w:szCs w:val="20"/>
                <w:color w:val="auto"/>
              </w:rPr>
            </w:pPr>
            <w:r>
              <w:rPr>
                <w:rFonts w:ascii="Arial" w:cs="Arial" w:eastAsia="Arial" w:hAnsi="Arial"/>
                <w:sz w:val="18"/>
                <w:szCs w:val="18"/>
                <w:color w:val="auto"/>
                <w:w w:val="81"/>
              </w:rPr>
              <w:t>Japan</w:t>
            </w:r>
          </w:p>
        </w:tc>
        <w:tc>
          <w:tcPr>
            <w:tcW w:w="200" w:type="dxa"/>
            <w:vAlign w:val="bottom"/>
          </w:tcPr>
          <w:p>
            <w:pPr>
              <w:spacing w:after="0"/>
              <w:rPr>
                <w:sz w:val="16"/>
                <w:szCs w:val="16"/>
                <w:color w:val="auto"/>
              </w:rPr>
            </w:pPr>
          </w:p>
        </w:tc>
        <w:tc>
          <w:tcPr>
            <w:tcW w:w="2060" w:type="dxa"/>
            <w:vAlign w:val="bottom"/>
          </w:tcPr>
          <w:p>
            <w:pPr>
              <w:jc w:val="center"/>
              <w:spacing w:after="0" w:line="195" w:lineRule="exact"/>
              <w:rPr>
                <w:sz w:val="20"/>
                <w:szCs w:val="20"/>
                <w:color w:val="auto"/>
              </w:rPr>
            </w:pPr>
            <w:r>
              <w:rPr>
                <w:rFonts w:ascii="Arial" w:cs="Arial" w:eastAsia="Arial" w:hAnsi="Arial"/>
                <w:sz w:val="18"/>
                <w:szCs w:val="18"/>
                <w:color w:val="auto"/>
                <w:w w:val="94"/>
              </w:rPr>
              <w:t>50%</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85"/>
              </w:rPr>
              <w:t>France</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50%</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1"/>
              </w:rPr>
              <w:t>Germany</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50%</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86"/>
              </w:rPr>
              <w:t>Sweden</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50%</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87"/>
              </w:rPr>
              <w:t>Russia</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50%</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4"/>
              </w:rPr>
              <w:t>Finland</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50%</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2"/>
              </w:rPr>
              <w:t>India</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50%</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50%</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0"/>
              </w:rPr>
              <w:t>Czech Republic</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50%</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89"/>
              </w:rPr>
              <w:t>Poland</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50%</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94"/>
              </w:rPr>
              <w:t>Turkey</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50%</w:t>
            </w:r>
          </w:p>
        </w:tc>
      </w:tr>
      <w:tr>
        <w:trPr>
          <w:trHeight w:val="216"/>
        </w:trPr>
        <w:tc>
          <w:tcPr>
            <w:tcW w:w="2060" w:type="dxa"/>
            <w:vAlign w:val="bottom"/>
          </w:tcPr>
          <w:p>
            <w:pPr>
              <w:jc w:val="center"/>
              <w:spacing w:after="0"/>
              <w:rPr>
                <w:sz w:val="20"/>
                <w:szCs w:val="20"/>
                <w:color w:val="auto"/>
              </w:rPr>
            </w:pPr>
            <w:r>
              <w:rPr>
                <w:rFonts w:ascii="Arial" w:cs="Arial" w:eastAsia="Arial" w:hAnsi="Arial"/>
                <w:sz w:val="18"/>
                <w:szCs w:val="18"/>
                <w:color w:val="auto"/>
                <w:w w:val="88"/>
              </w:rPr>
              <w:t>United States</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50%</w:t>
            </w:r>
          </w:p>
        </w:tc>
      </w:tr>
      <w:tr>
        <w:trPr>
          <w:trHeight w:val="220"/>
        </w:trPr>
        <w:tc>
          <w:tcPr>
            <w:tcW w:w="2060" w:type="dxa"/>
            <w:vAlign w:val="bottom"/>
          </w:tcPr>
          <w:p>
            <w:pPr>
              <w:jc w:val="center"/>
              <w:spacing w:after="0"/>
              <w:rPr>
                <w:sz w:val="20"/>
                <w:szCs w:val="20"/>
                <w:color w:val="auto"/>
              </w:rPr>
            </w:pPr>
            <w:r>
              <w:rPr>
                <w:rFonts w:ascii="Arial" w:cs="Arial" w:eastAsia="Arial" w:hAnsi="Arial"/>
                <w:sz w:val="18"/>
                <w:szCs w:val="18"/>
                <w:color w:val="auto"/>
                <w:w w:val="93"/>
              </w:rPr>
              <w:t>Ukraine</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50%</w:t>
            </w:r>
          </w:p>
        </w:tc>
      </w:tr>
      <w:tr>
        <w:trPr>
          <w:trHeight w:val="257"/>
        </w:trPr>
        <w:tc>
          <w:tcPr>
            <w:tcW w:w="2060" w:type="dxa"/>
            <w:vAlign w:val="bottom"/>
          </w:tcPr>
          <w:p>
            <w:pPr>
              <w:jc w:val="center"/>
              <w:spacing w:after="0" w:line="256" w:lineRule="exact"/>
              <w:rPr>
                <w:sz w:val="20"/>
                <w:szCs w:val="20"/>
                <w:color w:val="auto"/>
              </w:rPr>
            </w:pPr>
            <w:r>
              <w:rPr>
                <w:rFonts w:ascii="Arial" w:cs="Arial" w:eastAsia="Arial" w:hAnsi="Arial"/>
                <w:sz w:val="18"/>
                <w:szCs w:val="18"/>
                <w:color w:val="auto"/>
                <w:w w:val="87"/>
              </w:rPr>
              <w:t>South Korea</w:t>
            </w:r>
            <w:r>
              <w:rPr>
                <w:rFonts w:ascii="Arial" w:cs="Arial" w:eastAsia="Arial" w:hAnsi="Arial"/>
                <w:sz w:val="29"/>
                <w:szCs w:val="29"/>
                <w:color w:val="auto"/>
                <w:w w:val="87"/>
                <w:vertAlign w:val="superscript"/>
              </w:rPr>
              <w:t>(1)</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30%</w:t>
            </w:r>
          </w:p>
        </w:tc>
      </w:tr>
      <w:tr>
        <w:trPr>
          <w:trHeight w:val="257"/>
        </w:trPr>
        <w:tc>
          <w:tcPr>
            <w:tcW w:w="2060" w:type="dxa"/>
            <w:vAlign w:val="bottom"/>
          </w:tcPr>
          <w:p>
            <w:pPr>
              <w:jc w:val="center"/>
              <w:spacing w:after="0" w:line="256" w:lineRule="exact"/>
              <w:rPr>
                <w:sz w:val="20"/>
                <w:szCs w:val="20"/>
                <w:color w:val="auto"/>
              </w:rPr>
            </w:pPr>
            <w:r>
              <w:rPr>
                <w:rFonts w:ascii="Arial" w:cs="Arial" w:eastAsia="Arial" w:hAnsi="Arial"/>
                <w:sz w:val="18"/>
                <w:szCs w:val="18"/>
                <w:color w:val="auto"/>
                <w:w w:val="85"/>
              </w:rPr>
              <w:t>Taiwan</w:t>
            </w:r>
            <w:r>
              <w:rPr>
                <w:rFonts w:ascii="Arial" w:cs="Arial" w:eastAsia="Arial" w:hAnsi="Arial"/>
                <w:sz w:val="29"/>
                <w:szCs w:val="29"/>
                <w:color w:val="auto"/>
                <w:w w:val="85"/>
                <w:vertAlign w:val="superscript"/>
              </w:rPr>
              <w:t>(1)</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30%</w:t>
            </w:r>
          </w:p>
        </w:tc>
      </w:tr>
      <w:tr>
        <w:trPr>
          <w:trHeight w:val="257"/>
        </w:trPr>
        <w:tc>
          <w:tcPr>
            <w:tcW w:w="2060" w:type="dxa"/>
            <w:vAlign w:val="bottom"/>
          </w:tcPr>
          <w:p>
            <w:pPr>
              <w:jc w:val="center"/>
              <w:spacing w:after="0" w:line="256" w:lineRule="exact"/>
              <w:rPr>
                <w:sz w:val="20"/>
                <w:szCs w:val="20"/>
                <w:color w:val="auto"/>
              </w:rPr>
            </w:pPr>
            <w:r>
              <w:rPr>
                <w:rFonts w:ascii="Arial" w:cs="Arial" w:eastAsia="Arial" w:hAnsi="Arial"/>
                <w:sz w:val="18"/>
                <w:szCs w:val="18"/>
                <w:color w:val="auto"/>
                <w:w w:val="86"/>
              </w:rPr>
              <w:t>Indonesia</w:t>
            </w:r>
            <w:r>
              <w:rPr>
                <w:rFonts w:ascii="Arial" w:cs="Arial" w:eastAsia="Arial" w:hAnsi="Arial"/>
                <w:sz w:val="29"/>
                <w:szCs w:val="29"/>
                <w:color w:val="auto"/>
                <w:w w:val="86"/>
                <w:vertAlign w:val="superscript"/>
              </w:rPr>
              <w:t>(1)</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30%</w:t>
            </w:r>
          </w:p>
        </w:tc>
      </w:tr>
      <w:tr>
        <w:trPr>
          <w:trHeight w:val="257"/>
        </w:trPr>
        <w:tc>
          <w:tcPr>
            <w:tcW w:w="2060" w:type="dxa"/>
            <w:vAlign w:val="bottom"/>
          </w:tcPr>
          <w:p>
            <w:pPr>
              <w:jc w:val="center"/>
              <w:spacing w:after="0" w:line="256" w:lineRule="exact"/>
              <w:rPr>
                <w:sz w:val="20"/>
                <w:szCs w:val="20"/>
                <w:color w:val="auto"/>
              </w:rPr>
            </w:pPr>
            <w:r>
              <w:rPr>
                <w:rFonts w:ascii="Arial" w:cs="Arial" w:eastAsia="Arial" w:hAnsi="Arial"/>
                <w:sz w:val="18"/>
                <w:szCs w:val="18"/>
                <w:color w:val="auto"/>
                <w:w w:val="88"/>
              </w:rPr>
              <w:t>Thailand</w:t>
            </w:r>
            <w:r>
              <w:rPr>
                <w:rFonts w:ascii="Arial" w:cs="Arial" w:eastAsia="Arial" w:hAnsi="Arial"/>
                <w:sz w:val="29"/>
                <w:szCs w:val="29"/>
                <w:color w:val="auto"/>
                <w:w w:val="88"/>
                <w:vertAlign w:val="superscript"/>
              </w:rPr>
              <w:t>(1)</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30%</w:t>
            </w:r>
          </w:p>
        </w:tc>
      </w:tr>
      <w:tr>
        <w:trPr>
          <w:trHeight w:val="257"/>
        </w:trPr>
        <w:tc>
          <w:tcPr>
            <w:tcW w:w="2060" w:type="dxa"/>
            <w:vAlign w:val="bottom"/>
          </w:tcPr>
          <w:p>
            <w:pPr>
              <w:jc w:val="center"/>
              <w:spacing w:after="0" w:line="256" w:lineRule="exact"/>
              <w:rPr>
                <w:sz w:val="20"/>
                <w:szCs w:val="20"/>
                <w:color w:val="auto"/>
              </w:rPr>
            </w:pPr>
            <w:r>
              <w:rPr>
                <w:rFonts w:ascii="Arial" w:cs="Arial" w:eastAsia="Arial" w:hAnsi="Arial"/>
                <w:sz w:val="18"/>
                <w:szCs w:val="18"/>
                <w:color w:val="auto"/>
                <w:w w:val="88"/>
              </w:rPr>
              <w:t>Malaysia</w:t>
            </w:r>
            <w:r>
              <w:rPr>
                <w:rFonts w:ascii="Arial" w:cs="Arial" w:eastAsia="Arial" w:hAnsi="Arial"/>
                <w:sz w:val="29"/>
                <w:szCs w:val="29"/>
                <w:color w:val="auto"/>
                <w:w w:val="88"/>
                <w:vertAlign w:val="superscript"/>
              </w:rPr>
              <w:t>(1)</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30%</w:t>
            </w:r>
          </w:p>
        </w:tc>
      </w:tr>
      <w:tr>
        <w:trPr>
          <w:trHeight w:val="257"/>
        </w:trPr>
        <w:tc>
          <w:tcPr>
            <w:tcW w:w="2060" w:type="dxa"/>
            <w:vAlign w:val="bottom"/>
          </w:tcPr>
          <w:p>
            <w:pPr>
              <w:jc w:val="center"/>
              <w:spacing w:after="0" w:line="256" w:lineRule="exact"/>
              <w:rPr>
                <w:sz w:val="20"/>
                <w:szCs w:val="20"/>
                <w:color w:val="auto"/>
              </w:rPr>
            </w:pPr>
            <w:r>
              <w:rPr>
                <w:rFonts w:ascii="Arial" w:cs="Arial" w:eastAsia="Arial" w:hAnsi="Arial"/>
                <w:sz w:val="18"/>
                <w:szCs w:val="18"/>
                <w:color w:val="auto"/>
                <w:w w:val="88"/>
              </w:rPr>
              <w:t>Philippines</w:t>
            </w:r>
            <w:r>
              <w:rPr>
                <w:rFonts w:ascii="Arial" w:cs="Arial" w:eastAsia="Arial" w:hAnsi="Arial"/>
                <w:sz w:val="29"/>
                <w:szCs w:val="29"/>
                <w:color w:val="auto"/>
                <w:w w:val="88"/>
                <w:vertAlign w:val="superscript"/>
              </w:rPr>
              <w:t>(1)</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30%</w:t>
            </w:r>
          </w:p>
        </w:tc>
      </w:tr>
      <w:tr>
        <w:trPr>
          <w:trHeight w:val="390"/>
        </w:trPr>
        <w:tc>
          <w:tcPr>
            <w:tcW w:w="2060" w:type="dxa"/>
            <w:vAlign w:val="bottom"/>
          </w:tcPr>
          <w:p>
            <w:pPr>
              <w:jc w:val="center"/>
              <w:spacing w:after="0"/>
              <w:rPr>
                <w:sz w:val="20"/>
                <w:szCs w:val="20"/>
                <w:color w:val="auto"/>
              </w:rPr>
            </w:pPr>
            <w:r>
              <w:rPr>
                <w:rFonts w:ascii="Arial" w:cs="Arial" w:eastAsia="Arial" w:hAnsi="Arial"/>
                <w:sz w:val="18"/>
                <w:szCs w:val="18"/>
                <w:color w:val="auto"/>
                <w:w w:val="82"/>
              </w:rPr>
              <w:t>Singapore</w:t>
            </w:r>
            <w:r>
              <w:rPr>
                <w:rFonts w:ascii="Arial" w:cs="Arial" w:eastAsia="Arial" w:hAnsi="Arial"/>
                <w:sz w:val="30"/>
                <w:szCs w:val="30"/>
                <w:color w:val="auto"/>
                <w:w w:val="82"/>
                <w:vertAlign w:val="superscript"/>
              </w:rPr>
              <w:t>(1)(2)</w:t>
            </w:r>
          </w:p>
        </w:tc>
        <w:tc>
          <w:tcPr>
            <w:tcW w:w="22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60%</w:t>
            </w:r>
          </w:p>
        </w:tc>
      </w:tr>
    </w:tbl>
    <w:p>
      <w:pPr>
        <w:spacing w:after="0" w:line="200" w:lineRule="exact"/>
        <w:rPr>
          <w:sz w:val="20"/>
          <w:szCs w:val="20"/>
          <w:color w:val="auto"/>
        </w:rPr>
      </w:pPr>
    </w:p>
    <w:p>
      <w:pPr>
        <w:sectPr>
          <w:pgSz w:w="11900" w:h="16838" w:orient="portrait"/>
          <w:cols w:equalWidth="0" w:num="2">
            <w:col w:w="6380" w:space="720"/>
            <w:col w:w="4320"/>
          </w:cols>
          <w:pgMar w:left="240" w:top="692" w:right="239" w:bottom="1440" w:gutter="0" w:footer="0" w:header="0"/>
          <w:type w:val="continuous"/>
        </w:sectPr>
      </w:pPr>
    </w:p>
    <w:p>
      <w:pPr>
        <w:spacing w:after="0" w:line="1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Indirect ownership interest through NTI Asean.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NTI Asean owns 100% of this joint venture.</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NTIC receives funds from its joint ventures as fees received for services that NTIC provides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what amount is paid in a given year. The payment of a dividend by an entity is determined by a joint vote of the owners and is not at the sole discretion of NTIC.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NTIC considers EXCOR to be individually significant to NTIC’s consolidated assets and income. Therefore, NTIC provides certain additional information regarding EXCOR in the notes to NTIC’s consolidated financial statements and in this section of this report.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2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NTIC’s consolidated net sales increased 9.0% and 15.4% during the three and six months ended February 28, 2019, respectively, compared to the three and six months ended February 28, 2018. These increases were primarily a result of an increase in sales of Natur-Tec® products.</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three and six months ended February 28, 2019, 68.4% and 70.0% of NTIC’s consolidated net sales, respectively, were derived from sales of ZERUST® products and services, which decreased 10.6% and 2.8% to $9,108,395 and $19,173,569, respectively, compared to $10,191,459 and $19,719,196 during the three and six months ended February 28, 2018, respectively. These decreases were due to lower sales from existing customers for existing products as a result of decreased demand. 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six months ended February 28, 2019, included $1,343,460 of sales made to customers in the oil and gas industry compared to $862,860 for the six months ended February 28, 2018. Overall demand for ZERUST® products and services depends heavily on the overall health of the markets in which NTIC sells its products, including the automotive, oil and gas, agriculture, and mining markets in particular.</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and six months ended February 28, 2019, 31.6% and 30.0% of NTIC’s consolidated net sales, respectively, were derived from sales of Natur-Tec® products compared to 16.6% and 17.0% during the three and six months ended February 28, 2018, respectively. Net sales of Natur-Tec® products increased 108.0% and 104.0% during the three and six months ended February 28, 2019, respectively, compared to the three and six months ended February 28, 2018, primarily due to an increase in finished product sales in North America and finished product sales at NTIC’s majority-owned subsidiary in India, Natur-Tec India Private Limited (Natur-Tec India).</w:t>
      </w:r>
    </w:p>
    <w:p>
      <w:pPr>
        <w:spacing w:after="0" w:line="188"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Cost of goods sold as a percentage of net sales increased to 69.7% during the three months ended February 28, 2019, compared to 65.6% during the three months ended February 28, 2018, and increased to 68.4% during the six months ended February 28, 2019, compared to 66.9% during the prior fiscal year period primarily as a result of an increased percentage of product sales from Natur-Tec® products that have lower gross margins than NTIC’s traditional ZERUST® industrial products.</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NTIC’s equity in income from joint ventures decreased 5.0% and increased 4.9% to $1,715,216 and $3,719,378 during the three and six months ended February 28, 2019, respectively, compared to $1,805,997 and $3,547,325 during the three and six months ended February 28, 2018, respectively. These decreases were primarily due to corresponding decreases in net sales at the joint ventures, which decreased 8.2% and 0.8% to $27,749,880 and $58,229,806 during the three and six months ended February 28, 2019, respectively, compared to $30,220,550 and $58,719,261 during the three and six months ended February 28, 2018, respectively. These decreases in net sales of NTIC’s joint ventures were primarily due to lower sales from existing customers for existing products as a result of slightly decreased demand. The decreases in net sales of NTIC’s joint ventures resulted in corresponding decreases in fees for services provided to joint ventures, as such fees are a function of net sales of NTIC’s joint ventures.</w:t>
      </w:r>
    </w:p>
    <w:p>
      <w:pPr>
        <w:spacing w:after="0" w:line="17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NTIC’s total operating expenses increased 0.5% and 5.3% to $5,396,155 and $11,575,203 during the three and six months ended February 28, 2019, respectively, compared to $5,371,598 and $10,990,023 for the three and six months ended February 28, 2018. This slight increase was primarily due to an increase in NTIC’s personnel expenses.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26" w:name="page27"/>
    <w:bookmarkEnd w:id="26"/>
    <w:p>
      <w:pPr>
        <w:ind w:right="160"/>
        <w:spacing w:after="0" w:line="264" w:lineRule="auto"/>
        <w:rPr>
          <w:sz w:val="20"/>
          <w:szCs w:val="20"/>
          <w:color w:val="auto"/>
        </w:rPr>
      </w:pPr>
      <w:r>
        <w:rPr>
          <w:rFonts w:ascii="Arial" w:cs="Arial" w:eastAsia="Arial" w:hAnsi="Arial"/>
          <w:sz w:val="18"/>
          <w:szCs w:val="18"/>
          <w:color w:val="auto"/>
        </w:rPr>
        <w:t>NTIC spent $927,537 and $1,799,694 during the three and six months ended February 28, 2019, compared to $922,746 and $1,721,477 during the three and six months ended February 28, 2018, respectively, in connection with its research and development activities. NTIC anticipates that it will spend a total of between $3,400,000 and $3,600,000 in fiscal 2019 on research and development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Net income attributable to NTIC increased to $1,401,568, or $0.30 per diluted common share, for the three months ended February 28, 2019, compared to</w:t>
      </w:r>
    </w:p>
    <w:p>
      <w:pPr>
        <w:spacing w:after="0" w:line="4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$1,332,847, or $0.29 per diluted common share, for the three months ended February 28, 2018, an increase of $68,721, or $0.01 per diluted share. Net income attributable to NTIC increased to $2,898,627, or $0.61 per diluted common share, for the six months ended February 28, 2019, compared to $2,416,473, or $0.52 per diluted common share, for the six months ended February 28, 2018, an increase of $482,154, or $0.09 per diluted share. These increases were primarily the result of the increase in gross profit and joint venture operations during the current fiscal year periods compared to the prior fiscal year periods and the $700,000 one-time provisional adjustment related to the Tax Reform Act during the prior fiscal year periods, partially offset by the increase in operating expenses.</w:t>
      </w:r>
    </w:p>
    <w:p>
      <w:pPr>
        <w:spacing w:after="0" w:line="1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NTIC anticipates that its quarterly net income or loss will continue to remain subject to significant volatility primarily due to the financial performance of its subsidiaries and joint ventures, sales of its ZERUST® products and services into the oil and gas industry, and sales of its Natur-Tec® bioplastics products, which fluctuate more on a quarterly basis than the traditional ZERUST® business.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NTIC’s working capital, defined as current assets less current liabilities, was $24,180,032 at February 28, 2019, including $4,936,377 in cash and cash equivalents and $1,227,268 in available for sale securities, compared to $22,837,591 at August 31, 2018, including $4,163,023 in cash and cash equivalents and $3,300,110 in available for sale securities.</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January 23, 2019, the Company’s Board of Directors declared a cash dividend of $0.12 per share of NTIC’s common stock, payable on February 22, 2019, to stockholders of record on February 6, 2019. On October 24, 2018, the Company’s Board of Directors declared a cash dividend of $0.12 per share of NTIC’s common stock, payable on November 21, 2018, to stockholders of record on November 7, 2018. During fiscal 2018, the Company’s Board of Directors declared quarterly cash dividends of $0.10 per share. Although NTIC’s Board of Directors intends to continue to declare regular quarterly cash dividends,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8960" w:type="dxa"/>
            <w:vAlign w:val="bottom"/>
            <w:gridSpan w:val="12"/>
          </w:tcPr>
          <w:p>
            <w:pPr>
              <w:spacing w:after="0"/>
              <w:rPr>
                <w:sz w:val="20"/>
                <w:szCs w:val="20"/>
                <w:color w:val="auto"/>
              </w:rPr>
            </w:pPr>
            <w:r>
              <w:rPr>
                <w:rFonts w:ascii="Arial" w:cs="Arial" w:eastAsia="Arial" w:hAnsi="Arial"/>
                <w:sz w:val="18"/>
                <w:szCs w:val="18"/>
                <w:color w:val="auto"/>
                <w:w w:val="91"/>
              </w:rPr>
              <w:t>The following table sets forth NTIC’s results of operations for the three and six months ended February 28, 2019 and 2018.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6"/>
        </w:trPr>
        <w:tc>
          <w:tcPr>
            <w:tcW w:w="3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91"/>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2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9"/>
              </w:rPr>
              <w:t>$</w:t>
            </w:r>
          </w:p>
        </w:tc>
        <w:tc>
          <w:tcPr>
            <w:tcW w:w="1440" w:type="dxa"/>
            <w:vAlign w:val="bottom"/>
            <w:gridSpan w:val="2"/>
          </w:tcPr>
          <w:p>
            <w:pPr>
              <w:jc w:val="center"/>
              <w:ind w:left="10"/>
              <w:spacing w:after="0" w:line="191" w:lineRule="exact"/>
              <w:rPr>
                <w:sz w:val="20"/>
                <w:szCs w:val="20"/>
                <w:color w:val="auto"/>
              </w:rPr>
            </w:pPr>
            <w:r>
              <w:rPr>
                <w:rFonts w:ascii="Arial" w:cs="Arial" w:eastAsia="Arial" w:hAnsi="Arial"/>
                <w:sz w:val="18"/>
                <w:szCs w:val="18"/>
                <w:b w:val="1"/>
                <w:bCs w:val="1"/>
                <w:color w:val="auto"/>
              </w:rPr>
              <w:t>%</w:t>
            </w:r>
          </w:p>
        </w:tc>
      </w:tr>
      <w:tr>
        <w:trPr>
          <w:trHeight w:val="268"/>
        </w:trPr>
        <w:tc>
          <w:tcPr>
            <w:tcW w:w="3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Net Sales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Net Sales</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03"/>
        </w:trPr>
        <w:tc>
          <w:tcPr>
            <w:tcW w:w="32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 excluding joint ventures</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12,606,449</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11,399,853</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93.3%</w:t>
            </w:r>
          </w:p>
        </w:tc>
        <w:tc>
          <w:tcPr>
            <w:tcW w:w="380" w:type="dxa"/>
            <w:vAlign w:val="bottom"/>
            <w:tcBorders>
              <w:top w:val="single" w:sz="8" w:color="CCEEFF"/>
            </w:tcBorders>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1,206,596</w:t>
            </w:r>
          </w:p>
        </w:tc>
        <w:tc>
          <w:tcPr>
            <w:tcW w:w="144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10.6%</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708,955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814,122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(105,167)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9,284,099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8,012,836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1,271,263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1,715,216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1,805,997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(90,781)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2"/>
              </w:rPr>
              <w:t>Fees for services provided to joint ventures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1,436,774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1,608,890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2,505,081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2,643,636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(138,555)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1,963,537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1,805,216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158,321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927,537</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922,746</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4,791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431"/>
        </w:trPr>
        <w:tc>
          <w:tcPr>
            <w:tcW w:w="3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91"/>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February 28,</w:t>
            </w:r>
          </w:p>
        </w:tc>
        <w:tc>
          <w:tcPr>
            <w:tcW w:w="12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9"/>
              </w:rPr>
              <w:t>$</w:t>
            </w:r>
          </w:p>
        </w:tc>
        <w:tc>
          <w:tcPr>
            <w:tcW w:w="1440" w:type="dxa"/>
            <w:vAlign w:val="bottom"/>
            <w:gridSpan w:val="2"/>
          </w:tcPr>
          <w:p>
            <w:pPr>
              <w:jc w:val="center"/>
              <w:ind w:left="10"/>
              <w:spacing w:after="0" w:line="191" w:lineRule="exact"/>
              <w:rPr>
                <w:sz w:val="20"/>
                <w:szCs w:val="20"/>
                <w:color w:val="auto"/>
              </w:rPr>
            </w:pPr>
            <w:r>
              <w:rPr>
                <w:rFonts w:ascii="Arial" w:cs="Arial" w:eastAsia="Arial" w:hAnsi="Arial"/>
                <w:sz w:val="18"/>
                <w:szCs w:val="18"/>
                <w:b w:val="1"/>
                <w:bCs w:val="1"/>
                <w:color w:val="auto"/>
              </w:rPr>
              <w:t>%</w:t>
            </w:r>
          </w:p>
        </w:tc>
      </w:tr>
      <w:tr>
        <w:trPr>
          <w:trHeight w:val="268"/>
        </w:trPr>
        <w:tc>
          <w:tcPr>
            <w:tcW w:w="3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Net Sales</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Net Sales</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r>
      <w:tr>
        <w:trPr>
          <w:trHeight w:val="203"/>
        </w:trPr>
        <w:tc>
          <w:tcPr>
            <w:tcW w:w="32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Net sales, excluding joint ventures</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26,217,314</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22,435,260</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94.4%</w:t>
            </w:r>
          </w:p>
        </w:tc>
        <w:tc>
          <w:tcPr>
            <w:tcW w:w="380" w:type="dxa"/>
            <w:vAlign w:val="bottom"/>
            <w:tcBorders>
              <w:top w:val="single" w:sz="8" w:color="CCEEFF"/>
            </w:tcBorders>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3,782,054</w:t>
            </w:r>
          </w:p>
        </w:tc>
        <w:tc>
          <w:tcPr>
            <w:tcW w:w="144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16.9%</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1,192,142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1,321,753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(129,611)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18,745,236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15,901,306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2,843,930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Equity in income from joint ventures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3,719,378</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3,547,325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172,053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2"/>
              </w:rPr>
              <w:t>Fees for services provided to joint ventures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2,865,209</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3,116,032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(250,823)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Selling expenses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5,316,175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5,243,585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72,590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4,459,334</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4,024,961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434,373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1,799,694</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1,721,477</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78,217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4.5%</w:t>
            </w:r>
          </w:p>
        </w:tc>
      </w:tr>
    </w:tbl>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NTIC’s consolidated net sales increased 9.0% and 15.4% to $13,315,404 and $27,409,456 during the three and six months ended February 28,</w:t>
      </w:r>
      <w:r>
        <w:rPr>
          <w:rFonts w:ascii="Arial" w:cs="Arial" w:eastAsia="Arial" w:hAnsi="Arial"/>
          <w:sz w:val="17"/>
          <w:szCs w:val="17"/>
          <w:i w:val="1"/>
          <w:iCs w:val="1"/>
          <w:color w:val="auto"/>
        </w:rPr>
        <w:t xml:space="preserve"> </w:t>
      </w:r>
      <w:r>
        <w:rPr>
          <w:rFonts w:ascii="Arial" w:cs="Arial" w:eastAsia="Arial" w:hAnsi="Arial"/>
          <w:sz w:val="17"/>
          <w:szCs w:val="17"/>
          <w:color w:val="auto"/>
        </w:rPr>
        <w:t>2019, respectively, compared to the three and six months ended February 28, 2018. NTIC’s consolidated net sales to unaffiliated customers excluding NTIC’s joint ventures increased 10.6% and 16.9% to $12,606,449 and $26,217,314 during the three and six months ended February 28, 2019, respectively, compared to the same respective periods in fiscal 2018. These increases were primarily a result of an increase in sales of Natur-Tec® products. Net sales to joint ventures decreased 12.9% and 9.8% to $708,955 and $1,192,142, respectively, during the three and six months ended February 28, 2019, compared to the same respective periods in fiscal 2018. These decreases were primarily a result of decreased demand.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the six months ended February 28, 2019 and 2018 by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7"/>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r>
      <w:tr>
        <w:trPr>
          <w:trHeight w:val="234"/>
        </w:trPr>
        <w:tc>
          <w:tcPr>
            <w:tcW w:w="56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ZERUST®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9,108,395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10,191,459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19,173,569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19,719,196</w:t>
            </w:r>
          </w:p>
        </w:tc>
      </w:tr>
      <w:tr>
        <w:trPr>
          <w:trHeight w:val="23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Natur-Tec® sales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4,207,009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2,022,516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8,235,887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4,037,817</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13,315,404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12,213,975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27,409,456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23,757,013</w:t>
            </w:r>
          </w:p>
        </w:tc>
      </w:tr>
    </w:tbl>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During the three and six months ended February 28, 2019, 68.4% and 70.0% of NTIC’s consolidated net sales, respectively, were derived from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which decreased 10.6% and 2.8% to $9,108,395 and $19,173,569 during the three and six months ended February 28, 2019, respectively, compared to $10,191,459 and $19,719,196 during the three and six months ended February 28, 2018, respectively. NTIC has strategically focused its sales efforts for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w:t>
      </w:r>
    </w:p>
    <w:p>
      <w:pPr>
        <w:spacing w:after="0" w:line="3" w:lineRule="exact"/>
        <w:rPr>
          <w:sz w:val="20"/>
          <w:szCs w:val="20"/>
          <w:color w:val="auto"/>
        </w:rPr>
      </w:pPr>
    </w:p>
    <w:p>
      <w:pPr>
        <w:ind w:right="420"/>
        <w:spacing w:after="0" w:line="218" w:lineRule="auto"/>
        <w:rPr>
          <w:sz w:val="20"/>
          <w:szCs w:val="20"/>
          <w:color w:val="auto"/>
        </w:rPr>
      </w:pPr>
      <w:r>
        <w:rPr>
          <w:rFonts w:ascii="Arial" w:cs="Arial" w:eastAsia="Arial" w:hAnsi="Arial"/>
          <w:sz w:val="17"/>
          <w:szCs w:val="17"/>
          <w:color w:val="auto"/>
        </w:rPr>
        <w:t>opportunities, including the oil and gas sector. Overall, demand for ZERUST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products and services depends heavily on the overall health of the market segments to which NTIC sells its products, including the automotive, oil and gas, agriculture, and mining markets in particular.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sets forth NTIC’s net sales of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for the three and six months ended February 28, 2019 and 2018:</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191"/>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r>
      <w:tr>
        <w:trPr>
          <w:trHeight w:val="268"/>
        </w:trPr>
        <w:tc>
          <w:tcPr>
            <w:tcW w:w="5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3"/>
                <w:szCs w:val="23"/>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03"/>
        </w:trPr>
        <w:tc>
          <w:tcPr>
            <w:tcW w:w="55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ZERUST® industrial net sales</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8,042,154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8,798,319</w:t>
            </w:r>
          </w:p>
        </w:tc>
        <w:tc>
          <w:tcPr>
            <w:tcW w:w="340" w:type="dxa"/>
            <w:vAlign w:val="bottom"/>
            <w:tcBorders>
              <w:top w:val="single" w:sz="8" w:color="CCEEFF"/>
            </w:tcBorders>
            <w:gridSpan w:val="2"/>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(756,165)</w:t>
            </w:r>
          </w:p>
        </w:tc>
        <w:tc>
          <w:tcPr>
            <w:tcW w:w="156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708,954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814,122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(105,168)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357,287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579,018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(221,731)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Total ZERUST® net sales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9,108,395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10,191,459</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(1,083,064)</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191"/>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5"/>
              </w:rPr>
              <w:t>February 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550"/>
              <w:spacing w:after="0" w:line="191" w:lineRule="exact"/>
              <w:rPr>
                <w:sz w:val="20"/>
                <w:szCs w:val="20"/>
                <w:color w:val="auto"/>
              </w:rPr>
            </w:pPr>
            <w:r>
              <w:rPr>
                <w:rFonts w:ascii="Arial" w:cs="Arial" w:eastAsia="Arial" w:hAnsi="Arial"/>
                <w:sz w:val="18"/>
                <w:szCs w:val="18"/>
                <w:b w:val="1"/>
                <w:bCs w:val="1"/>
                <w:color w:val="auto"/>
              </w:rPr>
              <w:t>%</w:t>
            </w:r>
          </w:p>
        </w:tc>
      </w:tr>
      <w:tr>
        <w:trPr>
          <w:trHeight w:val="268"/>
        </w:trPr>
        <w:tc>
          <w:tcPr>
            <w:tcW w:w="5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3"/>
                <w:szCs w:val="23"/>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03"/>
        </w:trPr>
        <w:tc>
          <w:tcPr>
            <w:tcW w:w="55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ZERUST® industrial net sales</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16,637,968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17,534,583</w:t>
            </w:r>
          </w:p>
        </w:tc>
        <w:tc>
          <w:tcPr>
            <w:tcW w:w="340" w:type="dxa"/>
            <w:vAlign w:val="bottom"/>
            <w:tcBorders>
              <w:top w:val="single" w:sz="8" w:color="CCEEFF"/>
            </w:tcBorders>
            <w:gridSpan w:val="2"/>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(896,615)</w:t>
            </w:r>
          </w:p>
        </w:tc>
        <w:tc>
          <w:tcPr>
            <w:tcW w:w="156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ZERUST® joint venture net sales</w:t>
            </w: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1,192,141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1,321,753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(129,612)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ZERUST® oil &amp; gas net sales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1,343,460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862,860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480,600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24"/>
        </w:trPr>
        <w:tc>
          <w:tcPr>
            <w:tcW w:w="5580" w:type="dxa"/>
            <w:vAlign w:val="bottom"/>
          </w:tcPr>
          <w:p>
            <w:pPr>
              <w:ind w:left="180"/>
              <w:spacing w:after="0"/>
              <w:rPr>
                <w:sz w:val="20"/>
                <w:szCs w:val="20"/>
                <w:color w:val="auto"/>
              </w:rPr>
            </w:pPr>
            <w:r>
              <w:rPr>
                <w:rFonts w:ascii="Arial" w:cs="Arial" w:eastAsia="Arial" w:hAnsi="Arial"/>
                <w:sz w:val="18"/>
                <w:szCs w:val="18"/>
                <w:color w:val="auto"/>
              </w:rPr>
              <w:t>Total ZERUST® net sales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19,173,569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19,719,196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(545,627)</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r>
    </w:tbl>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NTIC’s total ZERUST® net sales decreased during the three months and six months ended February 28, 2019, compared to the prior fiscal year periods, primarily due to an overall decreased demand for ZERUST® industrial products and services in North America and China, partially offset by increased demand for ZERUST® oil and gas products and services.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8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During the three and six months ended February 28, 2019, 31.6 % and 30.0% of NTIC’s consolidated net sales, respectively, were derived from sales of Natur-Tec® products, which increased 108.0% and 104.0% to $4,207,009 and $8,235,887 during the three and six months ended February 28, 2019, respectively, compared to the three and six months ended February 28, 2018. These increases were primarily due to an increase in finished product sales in North America and finished product sales at NTIC’s majority-owned subsidiary in India, Natur-Tec India Private Limited (Natur-Tec India).</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increased 15.9% and 17.9% for the three and six months ended February 28, 2019, respectively, compared to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and six months ended February 28, 2018. Cost of goods sold as a percentage of net sales increased to 69.7% during the three months ended February 28, 2019, compared to 65.6% during the three months ended February 28, 2018, and increased to 68.4% during the six months ended February 28, 2019, compared to 66.9% during the six months ended February 28, 2018. These increases were due primarily to an increased percentage of product sales from Natur-Tec® products that have lower gross margins than NTIC’s traditional ZERUST® industrial products.</w:t>
      </w:r>
    </w:p>
    <w:p>
      <w:pPr>
        <w:spacing w:after="0" w:line="1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Equity in Income from Joint Ventures. </w:t>
      </w:r>
      <w:r>
        <w:rPr>
          <w:rFonts w:ascii="Arial" w:cs="Arial" w:eastAsia="Arial" w:hAnsi="Arial"/>
          <w:sz w:val="16"/>
          <w:szCs w:val="16"/>
          <w:color w:val="auto"/>
        </w:rPr>
        <w:t>NTIC’s equity in income from joint ventures decreased 5.0% to $1,715,216 and increased 4.9% to $3,719,378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and six months ended February 28, 2019, respectively, compared to $1,805,997 and $3,547,325 during the three and six months ended February 28, 2018, respectively. These changes were primarily a result of changing profitability of the joint ventures during the respective periods that fluctuate based on net sales. Of the total equity in income from joint ventures, NTIC had equity in income from joint ventures of $2,740,907 attributable to EXCOR during the six months ended February 28, 2019, compared to $2,580,571 during the six months ended February 28, 2018. NTIC had equity in income of all other joint ventures of $978,471 during the six months ended February 28, 2019, compared to $966,754 during the six months ended February 28, 2018.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29" w:name="page30"/>
    <w:bookmarkEnd w:id="29"/>
    <w:p>
      <w:pPr>
        <w:ind w:right="140"/>
        <w:spacing w:after="0" w:line="271" w:lineRule="auto"/>
        <w:rPr>
          <w:sz w:val="20"/>
          <w:szCs w:val="20"/>
          <w:color w:val="auto"/>
        </w:rPr>
      </w:pPr>
      <w:r>
        <w:rPr>
          <w:rFonts w:ascii="Arial" w:cs="Arial" w:eastAsia="Arial" w:hAnsi="Arial"/>
          <w:sz w:val="17"/>
          <w:szCs w:val="17"/>
          <w:i w:val="1"/>
          <w:iCs w:val="1"/>
          <w:color w:val="auto"/>
        </w:rPr>
        <w:t>Fees for Services Provided to Joint Ventures</w:t>
      </w:r>
      <w:r>
        <w:rPr>
          <w:rFonts w:ascii="Arial" w:cs="Arial" w:eastAsia="Arial" w:hAnsi="Arial"/>
          <w:sz w:val="17"/>
          <w:szCs w:val="17"/>
          <w:color w:val="auto"/>
        </w:rPr>
        <w:t>. NTIC recognized fee income for services provided to joint ventures of $1,436,774 and $2,865,209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and six months ended February 28, 2019, respectively, compared to $1,608,890 and $3,116,032 during the three and six months ended February 28, 2018, respectively, representing decreases of 10.7% and 8.0%, respectively. Fee income for services provided to joint ventures is traditionally a function of the sales made by NTIC’s joint ventures. Total net sales of NTIC’s joint ventures decreased to $27,749,880 and $58,229,806 during the three and six months ended February 28, 2019, respectively, compared to $30,220,550 and $58,719,261 during the three and six months ended February 28, 2018, respectively, representing decreases of 8.2% and 0.8%, respectively. Net sales of NTIC’s joint ventures are not included in NTIC’s consolidated financial statements. Of the total fee income for services provided to joint ventures, fees of $430,328 were attributable to EXCOR during the six months ended February 28, 2019, compared to $456,574 attributable to EXCOR during the six months ended February 28, 2018.</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Selling Expenses</w:t>
      </w:r>
      <w:r>
        <w:rPr>
          <w:rFonts w:ascii="Arial" w:cs="Arial" w:eastAsia="Arial" w:hAnsi="Arial"/>
          <w:sz w:val="18"/>
          <w:szCs w:val="18"/>
          <w:color w:val="auto"/>
        </w:rPr>
        <w:t>. NTIC’s selling expenses decreased 5.2% and increased 1.4% for the three and six months ended February 28, 2019, respectively,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respective periods in fiscal 2018 due primarily to increases in operating expenses associated with ZERUST® sales efforts, consisting primarily of selling and personnel expenses. Selling expenses as a percentage of net sales decreased to 18.8% and 19.4% for the three and six months ended February 28, 2019, respectively, from 21.6% and 22.1% for the three and six months ended February 28, 2018, respectively, primarily due to the increase in net sales, as previously described.</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8.8% and 10.8% for the three and six months ended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28, 2019, respectively, compared to the same respective periods in fiscal 2018 primarily due to increased personnel costs. As a percentage of net sales, general and administrative expenses decreased slightly to 14.7% and 16.3% for the three and six months ended February 28, 2019, respectively, from 14.8% and</w:t>
      </w:r>
    </w:p>
    <w:p>
      <w:pPr>
        <w:ind w:right="240"/>
        <w:spacing w:after="0" w:line="261" w:lineRule="auto"/>
        <w:rPr>
          <w:sz w:val="20"/>
          <w:szCs w:val="20"/>
          <w:color w:val="auto"/>
        </w:rPr>
      </w:pPr>
      <w:r>
        <w:rPr>
          <w:rFonts w:ascii="Arial" w:cs="Arial" w:eastAsia="Arial" w:hAnsi="Arial"/>
          <w:sz w:val="18"/>
          <w:szCs w:val="18"/>
          <w:color w:val="auto"/>
        </w:rPr>
        <w:t>16.9% for the same respective periods in fiscal 2018, respectively. The decreases in general and administrative expenses as a percentage of net sales for the three and six-month comparisons were primarily due to the increase in net sales, as previously described.</w:t>
      </w:r>
    </w:p>
    <w:p>
      <w:pPr>
        <w:spacing w:after="0" w:line="18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NTIC’s research and development expenses increased 0.5% and 4.5% for the three and six months ended February 28,</w:t>
      </w:r>
      <w:r>
        <w:rPr>
          <w:rFonts w:ascii="Arial" w:cs="Arial" w:eastAsia="Arial" w:hAnsi="Arial"/>
          <w:sz w:val="16"/>
          <w:szCs w:val="16"/>
          <w:i w:val="1"/>
          <w:iCs w:val="1"/>
          <w:color w:val="auto"/>
        </w:rPr>
        <w:t xml:space="preserve"> </w:t>
      </w:r>
      <w:r>
        <w:rPr>
          <w:rFonts w:ascii="Arial" w:cs="Arial" w:eastAsia="Arial" w:hAnsi="Arial"/>
          <w:sz w:val="16"/>
          <w:szCs w:val="16"/>
          <w:color w:val="auto"/>
        </w:rPr>
        <w:t>2019, respectively, compared to the same respective periods in fiscal 2018 primarily due to increases in research and development efforts.</w:t>
      </w:r>
    </w:p>
    <w:p>
      <w:pPr>
        <w:spacing w:after="0" w:line="12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NTIC’s interest income decreased to $15,122 and $27,909 during the three and six months ended February 28, 2019, respectively,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$24,883 and $48,939 during the three and six months ended February 28, 2018, respectively, due to changing levels of invested cash.</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$3,835 and $6,192 during the three and six months ended February 28, 2019, respectively,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$5,779 and $10,868 during the three and six months ended February 28, 2018, respectively.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ind w:right="420"/>
        <w:spacing w:after="0" w:line="342" w:lineRule="auto"/>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NTIC incurred income before income tax expense equal to $1,798,427 and $3,695,321 for the three and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February 28, 2019, respectively, compared to $2,263,532 and $3,567,112 for the three and six months ended February 28, 2018, respectively.</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was $246,371 and $502,074 for the three and six months ended February 28, 2019, respectively,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$841,909 and $946,900 during the three and six months ended February 28, 2018, respectively. Income tax expense was calculated based on management’s estimate of NTIC’s annual effective income tax rate.</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effective tax rate for the three and six months ended February 28, 2019 was 13.7% and 13.6%, respectively, compared to 37.2% and 26.5% for the three and six months ended February 28, 2018, respectively. These decreases were primarily due to one-time provisional adjustments related to the Tax Reform Act during the prior fiscal year periods. The Tax Reform Act, among other things, reduced the U.S. federal corporate tax rate from 35% to 21% effective January 1, 2018, generally eliminated U.S. federal income taxes on dividends received from foreign subsidiaries and joint ventures after December 31, 2017, and imposed a one-time deemed repatriation tax on certain unremitted earnings of foreign subsidiaries and joint ventures. As a result of the change in the tax law, a one-time non-cash tax provisional charge of $700,000 related to the re-measurement of deferred tax assets and liabilities was recorded in the three months ended February 28, 2018. The impact of this non-cash tax charge increased NTIC’s effective rate by approximately 30.3% for the three months ended February 28, 2018.</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bases of estimates that NTIC’s future domestic cash generation will be sufficient to meet future domestic cash needs. As a result, U.S. income and foreign withholding taxes have not been recognized on the cumulative undistributed earnings of $22,389,278 and $20,921,783 at February 28, 2019, and August 31, 2018, respectively. To the extent undistributed earnings of NTIC’s joint ventures are distributed in the future, they are not expected to result in any material additional income tax liability after the application of foreign tax credits.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Net Income Attributable to NTIC</w:t>
      </w:r>
      <w:r>
        <w:rPr>
          <w:rFonts w:ascii="Arial" w:cs="Arial" w:eastAsia="Arial" w:hAnsi="Arial"/>
          <w:sz w:val="18"/>
          <w:szCs w:val="18"/>
          <w:color w:val="auto"/>
        </w:rPr>
        <w:t>. Net income attributable to NTIC increased $68,721 to $1,401,568, or $0.30 per diluted common share,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February 28, 2019, compared to $1,332,847, or $0.29 per diluted common share, for the three months ended February 28, 2018. Net income attributable to NTIC increased $482,154 to $2,898,627, or $0.61 per diluted common share, for the six months ended February 28, 2019, compared to $2,416,473, or $0.52 per diluted common share, for the six months ended February 28, 2018. These increases were primarily the result of the significant impact of the $700,000 one-time provisional adjustment related to the Tax Reform Act during the prior fiscal year periods, partially offset by the increases in operating expenses. The increase for the six-month comparison is also due to the increase in gross profit during the current fiscal year period compared to the prior fiscal year period.</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Other Comprehensive Income - Foreign Currency Translations Adjustment. </w:t>
      </w:r>
      <w:r>
        <w:rPr>
          <w:rFonts w:ascii="Arial" w:cs="Arial" w:eastAsia="Arial" w:hAnsi="Arial"/>
          <w:sz w:val="18"/>
          <w:szCs w:val="18"/>
          <w:color w:val="auto"/>
        </w:rPr>
        <w:t>The changes in the foreign currency translations adjustment were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of the U.S. dollar compared to the Euro and other foreign currencies during the three and six months ended February 28, 2019 compared to the same period in fiscal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NTIC’s working capital, defined as current assets less current liabilities, was $24,180,032 at February 28, 2019,</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$4,936,377 in cash and cash equivalents and $1,227,268 in available for sale securities, compared to $22,837,591 at August 31, 2018, including $4,163,023 in cash and cash equivalents and $3,300,110 in available for sale securities.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1" w:name="page32"/>
    <w:bookmarkEnd w:id="31"/>
    <w:p>
      <w:pPr>
        <w:ind w:right="80"/>
        <w:spacing w:after="0" w:line="273" w:lineRule="auto"/>
        <w:rPr>
          <w:sz w:val="20"/>
          <w:szCs w:val="20"/>
          <w:color w:val="auto"/>
        </w:rPr>
      </w:pPr>
      <w:r>
        <w:rPr>
          <w:rFonts w:ascii="Arial" w:cs="Arial" w:eastAsia="Arial" w:hAnsi="Arial"/>
          <w:sz w:val="17"/>
          <w:szCs w:val="17"/>
          <w:color w:val="auto"/>
        </w:rPr>
        <w:t>As of February 28, 2019, NTIC had a revolving line of credit with PNC Bank of $3,000,000 with no amounts outstanding.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On November 30, 2018, the Company and PNC Bank extended the maturity date of the line of credit from January 7, 2019, to January 7, 2020. All other terms of the line of credit and the loan agreement and other documents evidencing the line of credit remain the same. It is anticipated that, as historically has been the practice, the line of credit will be renewed each year for one additional year for the immediate foreseeable future.</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lines of credit issued by PNC Bank would decrease the availability under the revolving line of credit.</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February 28, 2019, NTIC was in compliance with all debt covenants.</w:t>
      </w:r>
    </w:p>
    <w:p>
      <w:pPr>
        <w:spacing w:after="0" w:line="1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2019, NTIC expects to continue to invest in NTIC China, research and development, and in marketing efforts and resources for the application of its corrosion prevention technology in the oil and gas industry and its Natur-Tec® bio-plastics business, although the amounts of these various investments are not known at this time.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Uses of Cash and Cash Flows</w:t>
      </w:r>
      <w:r>
        <w:rPr>
          <w:rFonts w:ascii="Arial" w:cs="Arial" w:eastAsia="Arial" w:hAnsi="Arial"/>
          <w:sz w:val="17"/>
          <w:szCs w:val="17"/>
          <w:color w:val="auto"/>
        </w:rPr>
        <w:t>. Net cash provided by operating activities during the six months ended February 28, 2019 was $262,153, which resulted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from NTIC’s net income, depreciation, amortization, and an increase in accounts payable and accounts receivable, partially offset by NTIC’s equity in income from joint ventures, an increase in inventory, a decrease in accrued liabilities, and an increase in income tax receivable. Net cash used in operating activities during the six months ended February 28, 2018, was $516,199, which resulted principally from NTIC’s equity in income from joint ventures, an increase in inventory and increases in trade receivables (excluding joint ventures), accrued liabilities, and income tax payable, partially offset by NTIC’s net income, depreciation, amortization, and an increase in accounts payable.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NTIC experienced a decrease in trade receivables and increase in inventory as of February 28, 2019, compared to August 31, 2018. Trade receivables, excluding joint ventures, as of February 28, 2019, decreased $590,383 compared to August 31, 2018, primarily related to the timing of collections and the increase in sales.</w:t>
      </w:r>
    </w:p>
    <w:p>
      <w:pPr>
        <w:spacing w:after="0" w:line="18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Outstanding trade receivables, excluding joint ventures balances as of February 28, 2019, increased 2 days to an average of 67 days from balances outstanding from these customers as of August 31, 2018.</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Outstanding trade receivables from joint ventures as of February 28, 2019, decreased $82,157 compared to August 31, 2018, primarily due to the timing of payments. Outstanding balances from trade receivables from joint ventures decreased an average of 13 days from an average of 99 days from balances outstanding from these customers compared to August 31, 2018. The average days outstanding of trade receivables from joint ventures as of February 28, 2019, were primarily due to the receivable balances at NTIC’s joint ventures in South Korea, Germany and Thailand.</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Outstanding receivables for services provided to joint ventures as of February 28, 2019, decreased $18,762 compared to August 31, 2018, and the average days to pay increased an average of 2 days to an average of 84 days compared to August 31, 2018.</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investing activities for the six months ended February 28, 2019, was $1,575,542, which was primarily the result of proceeds from the sale of available for sale securities, partially offset by additions to property and equipment, and additions to patents. Net cash provided by investing activities for the six months ended February 28, 2018, was $246,587, which was primarily the result of proceeds from the sale of available for sale securities, partially offset by additions to property and equipment, and additions to patents.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33" w:name="page34"/>
    <w:bookmarkEnd w:id="33"/>
    <w:p>
      <w:pPr>
        <w:spacing w:after="0" w:line="257" w:lineRule="auto"/>
        <w:rPr>
          <w:sz w:val="20"/>
          <w:szCs w:val="20"/>
          <w:color w:val="auto"/>
        </w:rPr>
      </w:pPr>
      <w:r>
        <w:rPr>
          <w:rFonts w:ascii="Arial" w:cs="Arial" w:eastAsia="Arial" w:hAnsi="Arial"/>
          <w:sz w:val="18"/>
          <w:szCs w:val="18"/>
          <w:color w:val="auto"/>
        </w:rPr>
        <w:t>Net cash used in financing activities for the six months ended February 28, 2019 was $1,138,409, which resulted from dividends paid on NTIC common stock and a dividend paid to a non-controlling interest, partially offset by an investment by a non-controlling interest and proceeds from NTIC’s employee stock purchase plan. Net cash used in financing activities for the six months ended February 28, 2018, was $1,079,396, which resulted from dividends paid on NTIC common stock and a dividend paid to a non-controlling interest, partially offset by proceeds from stock option exercises and purchases under NTIC’s employee stock purchase plan.</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Share Repurchase Plan</w:t>
      </w:r>
      <w:r>
        <w:rPr>
          <w:rFonts w:ascii="Arial" w:cs="Arial" w:eastAsia="Arial" w:hAnsi="Arial"/>
          <w:sz w:val="17"/>
          <w:szCs w:val="17"/>
          <w:color w:val="auto"/>
        </w:rPr>
        <w:t>. On January 15, 2015, NTIC’s Board of Directors authorized the repurchase of up to $3,000,000 in shares of NTIC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open market purchases or unsolicited or solicited privately negotiated transactions. This program has no expiration date but may be terminated by NTIC’s Board of Directors at any time. No repurchases occurred during the six months ended February 28, 2019. As of February 28, 2019, up to $2,640,548 in shares of NTIC common stock remained available for repurchase under NTIC’s stock repurchase program.</w:t>
      </w:r>
    </w:p>
    <w:p>
      <w:pPr>
        <w:spacing w:after="0" w:line="17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Cash Dividends</w:t>
      </w:r>
      <w:r>
        <w:rPr>
          <w:rFonts w:ascii="Arial" w:cs="Arial" w:eastAsia="Arial" w:hAnsi="Arial"/>
          <w:sz w:val="16"/>
          <w:szCs w:val="16"/>
          <w:color w:val="auto"/>
        </w:rPr>
        <w:t>. On January 23, 2019, the Company’s Board of Directors declared a cash dividend of $0.12 per share of NTIC’s common stock,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22, 2019, to stockholders of record on February 6, 2019. This was an increase compared to the $0.10 per share of NTIC’s common stock declared and paid during the quarter ended February 28, 2018. Although NTIC’s Board of Directors intends to declare regular quarterly cash dividends going forward,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5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spent $439,899 on capital expenditures during the six months ended February 28, 2019, which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the purchase of new equipment. NTIC expects to spend an aggregate of approximately $600,000 to $900,000 on capital expenditures during fiscal 2019, which it expects will relate primarily to the purchase of new equipment.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There has been no material change to NTIC’s contractual obligations as provided in “</w:t>
      </w:r>
      <w:r>
        <w:rPr>
          <w:rFonts w:ascii="Arial" w:cs="Arial" w:eastAsia="Arial" w:hAnsi="Arial"/>
          <w:sz w:val="16"/>
          <w:szCs w:val="16"/>
          <w:i w:val="1"/>
          <w:iCs w:val="1"/>
          <w:color w:val="auto"/>
        </w:rPr>
        <w:t>Part II. Item 7,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Operations—Contractual Obligations</w:t>
      </w:r>
      <w:r>
        <w:rPr>
          <w:rFonts w:ascii="Arial" w:cs="Arial" w:eastAsia="Arial" w:hAnsi="Arial"/>
          <w:sz w:val="16"/>
          <w:szCs w:val="16"/>
          <w:color w:val="auto"/>
        </w:rPr>
        <w:t>,” included in NTIC’s annual report on Form 10-K for the fiscal year ended August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Inflation in the United States and abroad historically has had little effect on NTIC. Although NTIC’s business historically has not been seasonal, NTIC believes there is now some seasonality in its business. NTIC believes its net sales in the second fiscal quarter were adversely affected by the long Chinese New Year, the North American holiday season, and overall less corrosion taking place at lower winter temperatures worldwide.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Renminbi,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28, 2019, NTIC had no borrowings under the line of credit.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There have been no material changes to NTIC’s critical accounting policies and estimates from the information provided in “</w:t>
      </w:r>
      <w:r>
        <w:rPr>
          <w:rFonts w:ascii="Arial" w:cs="Arial" w:eastAsia="Arial" w:hAnsi="Arial"/>
          <w:sz w:val="18"/>
          <w:szCs w:val="18"/>
          <w:i w:val="1"/>
          <w:iCs w:val="1"/>
          <w:color w:val="auto"/>
        </w:rPr>
        <w:t>Part II. 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Operations—Critical Accounting Policies</w:t>
      </w:r>
      <w:r>
        <w:rPr>
          <w:rFonts w:ascii="Arial" w:cs="Arial" w:eastAsia="Arial" w:hAnsi="Arial"/>
          <w:sz w:val="18"/>
          <w:szCs w:val="18"/>
          <w:color w:val="auto"/>
        </w:rPr>
        <w:t>” included in NTIC’s annual report on Form 10-K</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fiscal year ended August 31, 2018, other than as a result of NTIC’s adoption of ASC 606.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operations of NTIC China.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35" w:name="page36"/>
    <w:bookmarkEnd w:id="35"/>
    <w:p>
      <w:pPr>
        <w:ind w:right="80"/>
        <w:spacing w:after="0" w:line="259" w:lineRule="auto"/>
        <w:rPr>
          <w:sz w:val="20"/>
          <w:szCs w:val="20"/>
          <w:color w:val="auto"/>
        </w:rPr>
      </w:pPr>
      <w:r>
        <w:rPr>
          <w:rFonts w:ascii="Arial" w:cs="Arial" w:eastAsia="Arial" w:hAnsi="Arial"/>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7" w:lineRule="exact"/>
        <w:rPr>
          <w:sz w:val="20"/>
          <w:szCs w:val="20"/>
          <w:color w:val="auto"/>
        </w:rPr>
      </w:pPr>
    </w:p>
    <w:p>
      <w:pPr>
        <w:ind w:left="980" w:right="4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current worldwide economic conditions and any turmoil and disruption in the global credit and financial markets on NTIC’s business;</w:t>
      </w:r>
    </w:p>
    <w:p>
      <w:pPr>
        <w:spacing w:after="0" w:line="174" w:lineRule="exact"/>
        <w:rPr>
          <w:rFonts w:ascii="Arial" w:cs="Arial" w:eastAsia="Arial" w:hAnsi="Arial"/>
          <w:sz w:val="18"/>
          <w:szCs w:val="18"/>
          <w:color w:val="auto"/>
        </w:rPr>
      </w:pPr>
    </w:p>
    <w:p>
      <w:pPr>
        <w:ind w:left="980" w:right="40" w:hanging="324"/>
        <w:spacing w:after="0" w:line="214" w:lineRule="auto"/>
        <w:tabs>
          <w:tab w:leader="none" w:pos="980" w:val="left"/>
        </w:tabs>
        <w:numPr>
          <w:ilvl w:val="0"/>
          <w:numId w:val="17"/>
        </w:numPr>
        <w:rPr>
          <w:rFonts w:ascii="Arial" w:cs="Arial" w:eastAsia="Arial" w:hAnsi="Arial"/>
          <w:sz w:val="31"/>
          <w:szCs w:val="31"/>
          <w:color w:val="auto"/>
          <w:vertAlign w:val="superscript"/>
        </w:rPr>
      </w:pPr>
      <w:r>
        <w:rPr>
          <w:rFonts w:ascii="Arial" w:cs="Arial" w:eastAsia="Arial" w:hAnsi="Arial"/>
          <w:sz w:val="16"/>
          <w:szCs w:val="16"/>
          <w:color w:val="auto"/>
        </w:rPr>
        <w:t>Variability in NTIC’s sales of ZERUST® products and services to the oil and gas industry and Natur-Tec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and NTIC’s equity income of joint ventures, which variability in sales and equity in income from joint venture, in turn, subject NTIC’s earnings to quarterly fluctuations;</w:t>
      </w:r>
    </w:p>
    <w:p>
      <w:pPr>
        <w:spacing w:after="0" w:line="203" w:lineRule="exact"/>
        <w:rPr>
          <w:rFonts w:ascii="Arial" w:cs="Arial" w:eastAsia="Arial" w:hAnsi="Arial"/>
          <w:sz w:val="31"/>
          <w:szCs w:val="31"/>
          <w:color w:val="auto"/>
          <w:vertAlign w:val="superscript"/>
        </w:rPr>
      </w:pPr>
    </w:p>
    <w:p>
      <w:pPr>
        <w:ind w:left="980" w:right="4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NTIC’s international operations and exposure to fluctuations in foreign currency exchange rates and import duties, taxes, and tariffs;</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United Kingdom’s process to exit the European Union on NTIC’s operating results, including in particular future net sales of NTIC’s European and other joint ventures;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the health of the U.S. automotive industry on NTIC’s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dependence on the success of its joint ventures and fees and dividend distributions that NTIC receives from them;</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relationships with its joint ventures and its ability to maintain those relationships, especially in light of anticipated succession planning issues;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cost and availability of raw materials, including resins and other commodities;</w:t>
      </w:r>
    </w:p>
    <w:p>
      <w:pPr>
        <w:spacing w:after="0" w:line="225" w:lineRule="exact"/>
        <w:rPr>
          <w:rFonts w:ascii="Arial" w:cs="Arial" w:eastAsia="Arial" w:hAnsi="Arial"/>
          <w:sz w:val="18"/>
          <w:szCs w:val="18"/>
          <w:color w:val="auto"/>
        </w:rPr>
      </w:pPr>
    </w:p>
    <w:p>
      <w:pPr>
        <w:ind w:left="980" w:hanging="324"/>
        <w:spacing w:after="0" w:line="22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the often lengthy and extensive sales process involved in selling such products and services;</w:t>
      </w:r>
    </w:p>
    <w:p>
      <w:pPr>
        <w:spacing w:after="0" w:line="20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NTIC’s ability to introduce new products and services that respond to changing market conditions and customer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NTIC’s existing and new products, especially in light of existing and new competitive products;</w:t>
      </w:r>
    </w:p>
    <w:p>
      <w:pPr>
        <w:spacing w:after="0" w:line="228" w:lineRule="exact"/>
        <w:rPr>
          <w:rFonts w:ascii="Arial" w:cs="Arial" w:eastAsia="Arial" w:hAnsi="Arial"/>
          <w:sz w:val="18"/>
          <w:szCs w:val="18"/>
          <w:color w:val="auto"/>
        </w:rPr>
      </w:pPr>
    </w:p>
    <w:p>
      <w:pPr>
        <w:ind w:left="980" w:right="240" w:hanging="324"/>
        <w:spacing w:after="0" w:line="186" w:lineRule="auto"/>
        <w:tabs>
          <w:tab w:leader="none" w:pos="980" w:val="left"/>
        </w:tabs>
        <w:numPr>
          <w:ilvl w:val="0"/>
          <w:numId w:val="17"/>
        </w:numPr>
        <w:rPr>
          <w:rFonts w:ascii="Arial" w:cs="Arial" w:eastAsia="Arial" w:hAnsi="Arial"/>
          <w:sz w:val="36"/>
          <w:szCs w:val="36"/>
          <w:color w:val="auto"/>
          <w:vertAlign w:val="superscript"/>
        </w:rPr>
      </w:pPr>
      <w:r>
        <w:rPr>
          <w:rFonts w:ascii="Arial" w:cs="Arial" w:eastAsia="Arial" w:hAnsi="Arial"/>
          <w:sz w:val="18"/>
          <w:szCs w:val="18"/>
          <w:color w:val="auto"/>
        </w:rPr>
        <w:t>Maturation of certain existing markets for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NTIC’s ability to grow market share and succeed in penetrating other existing and new markets;</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692" w:right="339" w:bottom="1440" w:gutter="0" w:footer="0" w:header="0"/>
        </w:sectPr>
      </w:pPr>
    </w:p>
    <w:bookmarkStart w:id="36" w:name="page37"/>
    <w:bookmarkEnd w:id="36"/>
    <w:p>
      <w:pPr>
        <w:ind w:left="980" w:hanging="324"/>
        <w:spacing w:after="0" w:line="186" w:lineRule="auto"/>
        <w:tabs>
          <w:tab w:leader="none" w:pos="980"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Increased competition, especially with respect to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and the effect of such competition on NTIC’s and its joint ventures’ pricing, net sales, and margins;</w:t>
      </w:r>
    </w:p>
    <w:p>
      <w:pPr>
        <w:spacing w:after="0" w:line="203" w:lineRule="exact"/>
        <w:rPr>
          <w:rFonts w:ascii="Arial" w:cs="Arial" w:eastAsia="Arial" w:hAnsi="Arial"/>
          <w:sz w:val="36"/>
          <w:szCs w:val="36"/>
          <w:color w:val="auto"/>
          <w:vertAlign w:val="superscript"/>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and its relationships with its distributors, independent sales representatives, and joint ventures;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suppliers;</w:t>
      </w:r>
    </w:p>
    <w:p>
      <w:pPr>
        <w:spacing w:after="0" w:line="20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36"/>
          <w:szCs w:val="36"/>
          <w:color w:val="auto"/>
          <w:vertAlign w:val="superscript"/>
        </w:rPr>
      </w:pPr>
      <w:r>
        <w:rPr>
          <w:rFonts w:ascii="Arial" w:cs="Arial" w:eastAsia="Arial" w:hAnsi="Arial"/>
          <w:sz w:val="18"/>
          <w:szCs w:val="18"/>
          <w:color w:val="auto"/>
        </w:rPr>
        <w:t>Oil prices, which may affect sales of NTIC’s ZERUST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products and services to the oil and gas industry;</w:t>
      </w:r>
    </w:p>
    <w:p>
      <w:pPr>
        <w:spacing w:after="0" w:line="78" w:lineRule="exact"/>
        <w:rPr>
          <w:rFonts w:ascii="Arial" w:cs="Arial" w:eastAsia="Arial" w:hAnsi="Arial"/>
          <w:sz w:val="36"/>
          <w:szCs w:val="36"/>
          <w:color w:val="auto"/>
          <w:vertAlign w:val="superscript"/>
        </w:rPr>
      </w:pPr>
    </w:p>
    <w:p>
      <w:pPr>
        <w:ind w:left="980" w:right="38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NTIC’s operations in China, and the risks associated therewith, the termination of the joint venture agreements with Tianjin Zerust, and the anticipated liquidation of Tianjin Zerust and the effect of all these events on NTIC’s business and future operating results;</w:t>
      </w:r>
    </w:p>
    <w:p>
      <w:pPr>
        <w:spacing w:after="0" w:line="146" w:lineRule="exact"/>
        <w:rPr>
          <w:rFonts w:ascii="Arial" w:cs="Arial" w:eastAsia="Arial" w:hAnsi="Arial"/>
          <w:sz w:val="17"/>
          <w:szCs w:val="17"/>
          <w:color w:val="auto"/>
        </w:rPr>
      </w:pPr>
    </w:p>
    <w:p>
      <w:pPr>
        <w:ind w:left="980" w:right="2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product quality or other problems in the development, production, and usage of new and existing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production expenses incurred in connection with new customers and new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or changes in executive management or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of management to manage around unplanned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Pending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on its intellectual property rights and the absence of infringement of the intellectual property rights of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ability to maintain effective internal control over financial reporting, especially in light of its joint venture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applicable laws or regulations and NTIC’s failure to comply with applicable laws, rules,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and the effect of new accounting pronouncements;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NTIC’s effective tax rate, including from the Tax Cuts and Jobs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extreme weather conditions on NTIC’s operating results;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NTIC’s reliance upon its management information systems.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2018, under the heading “</w:t>
      </w:r>
      <w:r>
        <w:rPr>
          <w:rFonts w:ascii="Arial" w:cs="Arial" w:eastAsia="Arial" w:hAnsi="Arial"/>
          <w:sz w:val="17"/>
          <w:szCs w:val="17"/>
          <w:i w:val="1"/>
          <w:iCs w:val="1"/>
          <w:color w:val="auto"/>
        </w:rPr>
        <w:t>Part I. Item 1A. Risk Factors</w:t>
      </w:r>
      <w:r>
        <w:rPr>
          <w:rFonts w:ascii="Arial" w:cs="Arial" w:eastAsia="Arial" w:hAnsi="Arial"/>
          <w:sz w:val="17"/>
          <w:szCs w:val="17"/>
          <w:color w:val="auto"/>
        </w:rPr>
        <w:t>.”</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6" w:right="279" w:bottom="1440" w:gutter="0" w:footer="0" w:header="0"/>
        </w:sectPr>
      </w:pPr>
    </w:p>
    <w:bookmarkStart w:id="37" w:name="page38"/>
    <w:bookmarkEnd w:id="37"/>
    <w:p>
      <w:pPr>
        <w:ind w:right="20"/>
        <w:spacing w:after="0" w:line="269" w:lineRule="auto"/>
        <w:rPr>
          <w:sz w:val="20"/>
          <w:szCs w:val="20"/>
          <w:color w:val="auto"/>
        </w:rPr>
      </w:pPr>
      <w:r>
        <w:rPr>
          <w:rFonts w:ascii="Arial" w:cs="Arial" w:eastAsia="Arial" w:hAnsi="Arial"/>
          <w:sz w:val="17"/>
          <w:szCs w:val="17"/>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28, 2019, NTIC had no borrowings under the line of credit.</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Except for the implementation of certain internal controls related to the adoption of the new revenue recognition standard (ASC 606) during the quarter ended November 30, 2018, there were no changes in NTIC’s internal financial control over financial reporting that occurred during the quarter ended February 28, 2019, that have materially affected or are reasonably likely to materially affect the Company’s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March 23, 2015, NTIC and NTI Asean LLC (NTI Asean) filed a lawsuit in Tianjin No 1 Intermediate People’s Court against two individuals, Tao Meng and Xu Hui, related to breaches of duties and contractual commitments owed to NTI Asean under certain agreements related to NTIC’s former joint venture in China, Tianjin Zerust Anti-Corrosion Technologies Ltd. (Tianjin Zerust). The lawsuit alleges, among other things, that Mr. Tao Meng and Xu Hui have engaged in self-dealing, usurped business opportunities, and received economic benefits that were required to go to Tianjin Zerust. As of February 28, 2019, NTIC is not able to reasonably estimate the amount of any recovery to NTI Asean, if any.</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the three months ended February 28, 2019, NTIC did not issue any shares of its common stock or other equity securities of NTIC that were not registered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NTIC’s second quarter of fiscal 2019 stock repurchase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 Shares (or</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3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20" w:type="dxa"/>
            <w:vAlign w:val="bottom"/>
            <w:gridSpan w:val="2"/>
          </w:tcPr>
          <w:p>
            <w:pPr>
              <w:ind w:left="100"/>
              <w:spacing w:after="0"/>
              <w:rPr>
                <w:sz w:val="20"/>
                <w:szCs w:val="20"/>
                <w:color w:val="auto"/>
              </w:rPr>
            </w:pPr>
            <w:r>
              <w:rPr>
                <w:rFonts w:ascii="Arial" w:cs="Arial" w:eastAsia="Arial" w:hAnsi="Arial"/>
                <w:sz w:val="18"/>
                <w:szCs w:val="18"/>
                <w:b w:val="1"/>
                <w:bCs w:val="1"/>
                <w:color w:val="auto"/>
                <w:w w:val="92"/>
              </w:rPr>
              <w:t>Units) Purchased As Part of Shares (or Units) that May</w:t>
            </w:r>
          </w:p>
        </w:tc>
      </w:tr>
      <w:tr>
        <w:trPr>
          <w:trHeight w:val="216"/>
        </w:trPr>
        <w:tc>
          <w:tcPr>
            <w:tcW w:w="3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9"/>
              </w:rPr>
              <w:t>Yet Be Purchased Under</w:t>
            </w:r>
          </w:p>
        </w:tc>
      </w:tr>
      <w:tr>
        <w:trPr>
          <w:trHeight w:val="254"/>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(or Units) Purchased</w:t>
            </w:r>
          </w:p>
        </w:tc>
        <w:tc>
          <w:tcPr>
            <w:tcW w:w="20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Share (or Unit)</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Plans or Programs</w:t>
            </w:r>
          </w:p>
        </w:tc>
      </w:tr>
      <w:tr>
        <w:trPr>
          <w:trHeight w:val="175"/>
        </w:trPr>
        <w:tc>
          <w:tcPr>
            <w:tcW w:w="310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December 1, 2018, through December 31,</w:t>
            </w:r>
          </w:p>
        </w:tc>
        <w:tc>
          <w:tcPr>
            <w:tcW w:w="184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0</w:t>
            </w:r>
          </w:p>
        </w:tc>
        <w:tc>
          <w:tcPr>
            <w:tcW w:w="2060" w:type="dxa"/>
            <w:vAlign w:val="bottom"/>
            <w:tcBorders>
              <w:top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$0</w:t>
            </w:r>
          </w:p>
        </w:tc>
        <w:tc>
          <w:tcPr>
            <w:tcW w:w="2320" w:type="dxa"/>
            <w:vAlign w:val="bottom"/>
            <w:tcBorders>
              <w:top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0</w:t>
            </w:r>
          </w:p>
        </w:tc>
        <w:tc>
          <w:tcPr>
            <w:tcW w:w="2100" w:type="dxa"/>
            <w:vAlign w:val="bottom"/>
            <w:tcBorders>
              <w:top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w:t>
            </w:r>
          </w:p>
        </w:tc>
      </w:tr>
      <w:tr>
        <w:trPr>
          <w:trHeight w:val="230"/>
        </w:trPr>
        <w:tc>
          <w:tcPr>
            <w:tcW w:w="3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2018</w:t>
            </w:r>
          </w:p>
        </w:tc>
        <w:tc>
          <w:tcPr>
            <w:tcW w:w="18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89"/>
              </w:rPr>
              <w:t>January 1, 2019, through January 31, 2019</w:t>
            </w:r>
          </w:p>
        </w:tc>
        <w:tc>
          <w:tcPr>
            <w:tcW w:w="18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23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February 1, 2019, through February 28,</w:t>
            </w:r>
          </w:p>
        </w:tc>
        <w:tc>
          <w:tcPr>
            <w:tcW w:w="1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20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$0</w:t>
            </w:r>
          </w:p>
        </w:tc>
        <w:tc>
          <w:tcPr>
            <w:tcW w:w="2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2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w:t>
            </w:r>
          </w:p>
        </w:tc>
      </w:tr>
      <w:tr>
        <w:trPr>
          <w:trHeight w:val="230"/>
        </w:trPr>
        <w:tc>
          <w:tcPr>
            <w:tcW w:w="3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18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$0</w:t>
            </w:r>
          </w:p>
        </w:tc>
        <w:tc>
          <w:tcPr>
            <w:tcW w:w="23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2100" w:type="dxa"/>
            <w:vAlign w:val="bottom"/>
          </w:tcPr>
          <w:p>
            <w:pPr>
              <w:jc w:val="center"/>
              <w:spacing w:after="0"/>
              <w:rPr>
                <w:sz w:val="20"/>
                <w:szCs w:val="20"/>
                <w:color w:val="auto"/>
              </w:rPr>
            </w:pPr>
            <w:r>
              <w:rPr>
                <w:rFonts w:ascii="Arial" w:cs="Arial" w:eastAsia="Arial" w:hAnsi="Arial"/>
                <w:sz w:val="18"/>
                <w:szCs w:val="18"/>
                <w:color w:val="auto"/>
                <w:w w:val="95"/>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490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2" w:lineRule="exact"/>
        <w:rPr>
          <w:sz w:val="20"/>
          <w:szCs w:val="20"/>
          <w:color w:val="auto"/>
        </w:rPr>
      </w:pPr>
    </w:p>
    <w:p>
      <w:pPr>
        <w:jc w:val="both"/>
        <w:ind w:left="340" w:right="22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1" w:lineRule="exact"/>
        <w:rPr>
          <w:rFonts w:ascii="Arial" w:cs="Arial" w:eastAsia="Arial" w:hAnsi="Arial"/>
          <w:sz w:val="18"/>
          <w:szCs w:val="18"/>
          <w:color w:val="auto"/>
        </w:rPr>
      </w:pPr>
    </w:p>
    <w:p>
      <w:pPr>
        <w:ind w:left="340" w:right="80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February 28, 2019, up to $2,640,548 in shares of NTIC common stock remained available for repurchase under NTIC’s stock repurchase program.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2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13"/>
          </w:tcPr>
          <w:p>
            <w:pPr>
              <w:ind w:left="720"/>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7"/>
          </w:tcPr>
          <w:p>
            <w:pPr>
              <w:jc w:val="center"/>
              <w:ind w:right="1820"/>
              <w:spacing w:after="0"/>
              <w:rPr>
                <w:sz w:val="20"/>
                <w:szCs w:val="20"/>
                <w:color w:val="auto"/>
              </w:rPr>
            </w:pPr>
            <w:r>
              <w:rPr>
                <w:rFonts w:ascii="Arial" w:cs="Arial" w:eastAsia="Arial" w:hAnsi="Arial"/>
                <w:sz w:val="18"/>
                <w:szCs w:val="18"/>
                <w:b w:val="1"/>
                <w:bCs w:val="1"/>
                <w:color w:val="auto"/>
                <w:w w:val="93"/>
              </w:rPr>
              <w:t>Method of Filing</w:t>
            </w:r>
          </w:p>
        </w:tc>
      </w:tr>
      <w:tr>
        <w:trPr>
          <w:trHeight w:val="385"/>
        </w:trPr>
        <w:tc>
          <w:tcPr>
            <w:tcW w:w="620" w:type="dxa"/>
            <w:vAlign w:val="bottom"/>
            <w:gridSpan w:val="2"/>
          </w:tcPr>
          <w:p>
            <w:pPr>
              <w:jc w:val="center"/>
              <w:ind w:left="230"/>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gridSpan w:val="15"/>
          </w:tcPr>
          <w:p>
            <w:pPr>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Certificate of Validation of the Certificate of Amendment to Restated</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9"/>
          </w:tcPr>
          <w:p>
            <w:pPr>
              <w:jc w:val="center"/>
              <w:ind w:right="120"/>
              <w:spacing w:after="0"/>
              <w:rPr>
                <w:rFonts w:ascii="Arial" w:cs="Arial" w:eastAsia="Arial" w:hAnsi="Arial"/>
                <w:sz w:val="18"/>
                <w:szCs w:val="18"/>
                <w:color w:val="0000EE"/>
                <w:w w:val="92"/>
              </w:rPr>
            </w:pPr>
            <w:hyperlink r:id="rId72">
              <w:r>
                <w:rPr>
                  <w:rFonts w:ascii="Arial" w:cs="Arial" w:eastAsia="Arial" w:hAnsi="Arial"/>
                  <w:sz w:val="18"/>
                  <w:szCs w:val="18"/>
                  <w:color w:val="0000EE"/>
                  <w:w w:val="92"/>
                </w:rPr>
                <w:t>Incorporated by reference to Exhibit 3.1 to NTIC’s Current Report</w:t>
              </w:r>
            </w:hyperlink>
          </w:p>
        </w:tc>
      </w:tr>
      <w:tr>
        <w:trPr>
          <w:trHeight w:val="196"/>
        </w:trPr>
        <w:tc>
          <w:tcPr>
            <w:tcW w:w="3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40" w:type="dxa"/>
            <w:vAlign w:val="bottom"/>
            <w:tcBorders>
              <w:top w:val="single" w:sz="8" w:color="0000EE"/>
            </w:tcBorders>
            <w:gridSpan w:val="13"/>
          </w:tcPr>
          <w:p>
            <w:pPr>
              <w:spacing w:after="0" w:line="196" w:lineRule="exact"/>
              <w:rPr>
                <w:rFonts w:ascii="Arial" w:cs="Arial" w:eastAsia="Arial" w:hAnsi="Arial"/>
                <w:sz w:val="18"/>
                <w:szCs w:val="18"/>
                <w:color w:val="0000EE"/>
                <w:w w:val="92"/>
              </w:rPr>
            </w:pPr>
            <w:hyperlink r:id="rId72">
              <w:r>
                <w:rPr>
                  <w:rFonts w:ascii="Arial" w:cs="Arial" w:eastAsia="Arial" w:hAnsi="Arial"/>
                  <w:sz w:val="18"/>
                  <w:szCs w:val="18"/>
                  <w:color w:val="0000EE"/>
                  <w:w w:val="92"/>
                </w:rPr>
                <w:t>Certificate of Incorporation of Northern Technologies International</w:t>
              </w:r>
            </w:hyperlink>
          </w:p>
        </w:tc>
        <w:tc>
          <w:tcPr>
            <w:tcW w:w="1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500" w:type="dxa"/>
            <w:vAlign w:val="bottom"/>
            <w:tcBorders>
              <w:top w:val="single" w:sz="8" w:color="0000EE"/>
            </w:tcBorders>
            <w:gridSpan w:val="6"/>
          </w:tcPr>
          <w:p>
            <w:pPr>
              <w:jc w:val="center"/>
              <w:ind w:right="280"/>
              <w:spacing w:after="0" w:line="196" w:lineRule="exact"/>
              <w:rPr>
                <w:rFonts w:ascii="Arial" w:cs="Arial" w:eastAsia="Arial" w:hAnsi="Arial"/>
                <w:sz w:val="18"/>
                <w:szCs w:val="18"/>
                <w:color w:val="0000EE"/>
                <w:w w:val="90"/>
              </w:rPr>
            </w:pPr>
            <w:hyperlink r:id="rId72">
              <w:r>
                <w:rPr>
                  <w:rFonts w:ascii="Arial" w:cs="Arial" w:eastAsia="Arial" w:hAnsi="Arial"/>
                  <w:sz w:val="18"/>
                  <w:szCs w:val="18"/>
                  <w:color w:val="0000EE"/>
                  <w:w w:val="90"/>
                </w:rPr>
                <w:t>on Form 8-K dated January 18, 2019 (File No. 001-11038)</w:t>
              </w:r>
            </w:hyperlink>
          </w:p>
        </w:tc>
        <w:tc>
          <w:tcPr>
            <w:tcW w:w="120" w:type="dxa"/>
            <w:vAlign w:val="bottom"/>
            <w:gridSpan w:val="2"/>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Corporation dated January 18, 2019</w:t>
              </w:r>
            </w:hyperlink>
          </w:p>
        </w:tc>
        <w:tc>
          <w:tcPr>
            <w:tcW w:w="1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360" w:type="dxa"/>
            <w:vAlign w:val="bottom"/>
          </w:tcPr>
          <w:p>
            <w:pPr>
              <w:spacing w:after="0"/>
              <w:rPr>
                <w:sz w:val="24"/>
                <w:szCs w:val="24"/>
                <w:color w:val="auto"/>
              </w:rPr>
            </w:pPr>
          </w:p>
        </w:tc>
        <w:tc>
          <w:tcPr>
            <w:tcW w:w="560" w:type="dxa"/>
            <w:vAlign w:val="bottom"/>
            <w:gridSpan w:val="2"/>
          </w:tcPr>
          <w:p>
            <w:pPr>
              <w:jc w:val="center"/>
              <w:ind w:right="300"/>
              <w:spacing w:after="0"/>
              <w:rPr>
                <w:rFonts w:ascii="Arial" w:cs="Arial" w:eastAsia="Arial" w:hAnsi="Arial"/>
                <w:sz w:val="18"/>
                <w:szCs w:val="18"/>
                <w:color w:val="0000EE"/>
                <w:w w:val="74"/>
              </w:rPr>
            </w:pPr>
            <w:hyperlink r:id="rId73">
              <w:r>
                <w:rPr>
                  <w:rFonts w:ascii="Arial" w:cs="Arial" w:eastAsia="Arial" w:hAnsi="Arial"/>
                  <w:sz w:val="18"/>
                  <w:szCs w:val="18"/>
                  <w:color w:val="0000EE"/>
                  <w:w w:val="74"/>
                </w:rPr>
                <w:t>10.</w:t>
              </w:r>
              <w:r>
                <w:rPr>
                  <w:rFonts w:ascii="Arial" w:cs="Arial" w:eastAsia="Arial" w:hAnsi="Arial"/>
                  <w:sz w:val="18"/>
                  <w:szCs w:val="18"/>
                  <w:u w:val="single" w:color="auto"/>
                  <w:color w:val="0000EE"/>
                  <w:w w:val="74"/>
                </w:rPr>
                <w:t>1</w:t>
              </w:r>
            </w:hyperlink>
          </w:p>
        </w:tc>
        <w:tc>
          <w:tcPr>
            <w:tcW w:w="240" w:type="dxa"/>
            <w:vAlign w:val="bottom"/>
          </w:tcPr>
          <w:p>
            <w:pPr>
              <w:spacing w:after="0"/>
              <w:rPr>
                <w:sz w:val="24"/>
                <w:szCs w:val="24"/>
                <w:color w:val="auto"/>
              </w:rPr>
            </w:pPr>
          </w:p>
        </w:tc>
        <w:tc>
          <w:tcPr>
            <w:tcW w:w="5020" w:type="dxa"/>
            <w:vAlign w:val="bottom"/>
            <w:gridSpan w:val="15"/>
          </w:tcPr>
          <w:p>
            <w:pPr>
              <w:spacing w:after="0"/>
              <w:rPr>
                <w:rFonts w:ascii="Arial" w:cs="Arial" w:eastAsia="Arial" w:hAnsi="Arial"/>
                <w:sz w:val="18"/>
                <w:szCs w:val="18"/>
                <w:color w:val="0000EE"/>
              </w:rPr>
            </w:pPr>
            <w:hyperlink r:id="rId73">
              <w:r>
                <w:rPr>
                  <w:rFonts w:ascii="Arial" w:cs="Arial" w:eastAsia="Arial" w:hAnsi="Arial"/>
                  <w:sz w:val="18"/>
                  <w:szCs w:val="18"/>
                  <w:color w:val="0000EE"/>
                </w:rPr>
                <w:t>Northern Technologies International Corporation 2019 Stock</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9"/>
          </w:tcPr>
          <w:p>
            <w:pPr>
              <w:jc w:val="center"/>
              <w:ind w:right="60"/>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Incorporated by reference to Exhibit 10.1 to NTIC’s Current Report</w:t>
              </w:r>
            </w:hyperlink>
          </w:p>
        </w:tc>
      </w:tr>
      <w:tr>
        <w:trPr>
          <w:trHeight w:val="196"/>
        </w:trPr>
        <w:tc>
          <w:tcPr>
            <w:tcW w:w="3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Borders>
              <w:top w:val="single" w:sz="8" w:color="0000EE"/>
            </w:tcBorders>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Incentive Plan</w:t>
              </w:r>
            </w:hyperlink>
          </w:p>
        </w:tc>
        <w:tc>
          <w:tcPr>
            <w:tcW w:w="3340" w:type="dxa"/>
            <w:vAlign w:val="bottom"/>
            <w:tcBorders>
              <w:top w:val="single" w:sz="8" w:color="0000EE"/>
            </w:tcBorders>
            <w:gridSpan w:val="6"/>
          </w:tcPr>
          <w:p>
            <w:pPr>
              <w:spacing w:after="0"/>
              <w:rPr>
                <w:sz w:val="17"/>
                <w:szCs w:val="17"/>
                <w:color w:val="auto"/>
              </w:rPr>
            </w:pPr>
          </w:p>
        </w:tc>
        <w:tc>
          <w:tcPr>
            <w:tcW w:w="64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560" w:type="dxa"/>
            <w:vAlign w:val="bottom"/>
            <w:tcBorders>
              <w:top w:val="single" w:sz="8" w:color="0000EE"/>
            </w:tcBorders>
            <w:gridSpan w:val="7"/>
          </w:tcPr>
          <w:p>
            <w:pPr>
              <w:jc w:val="center"/>
              <w:ind w:right="340"/>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on Form 8-K dated January 18, 2019 (File No. 001-11038)</w:t>
              </w:r>
            </w:hyperlink>
          </w:p>
        </w:tc>
        <w:tc>
          <w:tcPr>
            <w:tcW w:w="60" w:type="dxa"/>
            <w:vAlign w:val="bottom"/>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60" w:type="dxa"/>
            <w:vAlign w:val="bottom"/>
            <w:gridSpan w:val="2"/>
          </w:tcPr>
          <w:p>
            <w:pPr>
              <w:jc w:val="center"/>
              <w:ind w:right="300"/>
              <w:spacing w:after="0"/>
              <w:rPr>
                <w:rFonts w:ascii="Arial" w:cs="Arial" w:eastAsia="Arial" w:hAnsi="Arial"/>
                <w:sz w:val="18"/>
                <w:szCs w:val="18"/>
                <w:color w:val="0000EE"/>
                <w:w w:val="74"/>
              </w:rPr>
            </w:pPr>
            <w:hyperlink r:id="rId74">
              <w:r>
                <w:rPr>
                  <w:rFonts w:ascii="Arial" w:cs="Arial" w:eastAsia="Arial" w:hAnsi="Arial"/>
                  <w:sz w:val="18"/>
                  <w:szCs w:val="18"/>
                  <w:color w:val="0000EE"/>
                  <w:w w:val="74"/>
                </w:rPr>
                <w:t>10.</w:t>
              </w:r>
              <w:r>
                <w:rPr>
                  <w:rFonts w:ascii="Arial" w:cs="Arial" w:eastAsia="Arial" w:hAnsi="Arial"/>
                  <w:sz w:val="18"/>
                  <w:szCs w:val="18"/>
                  <w:u w:val="single" w:color="auto"/>
                  <w:color w:val="0000EE"/>
                  <w:w w:val="74"/>
                </w:rPr>
                <w:t>2</w:t>
              </w:r>
            </w:hyperlink>
          </w:p>
        </w:tc>
        <w:tc>
          <w:tcPr>
            <w:tcW w:w="240" w:type="dxa"/>
            <w:vAlign w:val="bottom"/>
          </w:tcPr>
          <w:p>
            <w:pPr>
              <w:spacing w:after="0"/>
              <w:rPr>
                <w:sz w:val="24"/>
                <w:szCs w:val="24"/>
                <w:color w:val="auto"/>
              </w:rPr>
            </w:pPr>
          </w:p>
        </w:tc>
        <w:tc>
          <w:tcPr>
            <w:tcW w:w="5020" w:type="dxa"/>
            <w:vAlign w:val="bottom"/>
            <w:gridSpan w:val="15"/>
          </w:tcPr>
          <w:p>
            <w:pPr>
              <w:spacing w:after="0"/>
              <w:rPr>
                <w:rFonts w:ascii="Arial" w:cs="Arial" w:eastAsia="Arial" w:hAnsi="Arial"/>
                <w:sz w:val="18"/>
                <w:szCs w:val="18"/>
                <w:color w:val="0000EE"/>
              </w:rPr>
            </w:pPr>
            <w:hyperlink r:id="rId74">
              <w:r>
                <w:rPr>
                  <w:rFonts w:ascii="Arial" w:cs="Arial" w:eastAsia="Arial" w:hAnsi="Arial"/>
                  <w:sz w:val="18"/>
                  <w:szCs w:val="18"/>
                  <w:color w:val="0000EE"/>
                </w:rPr>
                <w:t>Form of Incentive Stock Option Agreement for Northern</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9"/>
          </w:tcPr>
          <w:p>
            <w:pPr>
              <w:jc w:val="center"/>
              <w:ind w:right="60"/>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Incorporated by reference to Exhibit 10.2 to NTIC’s Current Report</w:t>
              </w:r>
            </w:hyperlink>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80" w:type="dxa"/>
            <w:vAlign w:val="bottom"/>
            <w:gridSpan w:val="10"/>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Technologies International Corporation 2019 Stock Incentive Plan</w:t>
              </w:r>
            </w:hyperlink>
          </w:p>
        </w:tc>
        <w:tc>
          <w:tcPr>
            <w:tcW w:w="24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20" w:type="dxa"/>
            <w:vAlign w:val="bottom"/>
            <w:gridSpan w:val="8"/>
          </w:tcPr>
          <w:p>
            <w:pPr>
              <w:jc w:val="center"/>
              <w:ind w:right="400"/>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on Form 8-K dated January 18, 2019 (File No. 001-11038)</w:t>
              </w:r>
            </w:hyperlink>
          </w:p>
        </w:tc>
      </w:tr>
      <w:tr>
        <w:trPr>
          <w:trHeight w:val="20"/>
        </w:trPr>
        <w:tc>
          <w:tcPr>
            <w:tcW w:w="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628"/>
        </w:trPr>
        <w:tc>
          <w:tcPr>
            <w:tcW w:w="360" w:type="dxa"/>
            <w:vAlign w:val="bottom"/>
          </w:tcPr>
          <w:p>
            <w:pPr>
              <w:spacing w:after="0"/>
              <w:rPr>
                <w:sz w:val="24"/>
                <w:szCs w:val="24"/>
                <w:color w:val="auto"/>
              </w:rPr>
            </w:pPr>
          </w:p>
        </w:tc>
        <w:tc>
          <w:tcPr>
            <w:tcW w:w="560" w:type="dxa"/>
            <w:vAlign w:val="bottom"/>
            <w:gridSpan w:val="2"/>
          </w:tcPr>
          <w:p>
            <w:pPr>
              <w:jc w:val="center"/>
              <w:ind w:right="300"/>
              <w:spacing w:after="0"/>
              <w:rPr>
                <w:rFonts w:ascii="Arial" w:cs="Arial" w:eastAsia="Arial" w:hAnsi="Arial"/>
                <w:sz w:val="18"/>
                <w:szCs w:val="18"/>
                <w:color w:val="0000EE"/>
                <w:w w:val="74"/>
              </w:rPr>
            </w:pPr>
            <w:hyperlink r:id="rId75">
              <w:r>
                <w:rPr>
                  <w:rFonts w:ascii="Arial" w:cs="Arial" w:eastAsia="Arial" w:hAnsi="Arial"/>
                  <w:sz w:val="18"/>
                  <w:szCs w:val="18"/>
                  <w:color w:val="0000EE"/>
                  <w:w w:val="74"/>
                </w:rPr>
                <w:t>10.</w:t>
              </w:r>
              <w:r>
                <w:rPr>
                  <w:rFonts w:ascii="Arial" w:cs="Arial" w:eastAsia="Arial" w:hAnsi="Arial"/>
                  <w:sz w:val="18"/>
                  <w:szCs w:val="18"/>
                  <w:u w:val="single" w:color="auto"/>
                  <w:color w:val="0000EE"/>
                  <w:w w:val="74"/>
                </w:rPr>
                <w:t>3</w:t>
              </w:r>
            </w:hyperlink>
          </w:p>
        </w:tc>
        <w:tc>
          <w:tcPr>
            <w:tcW w:w="240" w:type="dxa"/>
            <w:vAlign w:val="bottom"/>
          </w:tcPr>
          <w:p>
            <w:pPr>
              <w:spacing w:after="0"/>
              <w:rPr>
                <w:sz w:val="24"/>
                <w:szCs w:val="24"/>
                <w:color w:val="auto"/>
              </w:rPr>
            </w:pPr>
          </w:p>
        </w:tc>
        <w:tc>
          <w:tcPr>
            <w:tcW w:w="4780" w:type="dxa"/>
            <w:vAlign w:val="bottom"/>
            <w:gridSpan w:val="10"/>
          </w:tcPr>
          <w:p>
            <w:pPr>
              <w:spacing w:after="0"/>
              <w:rPr>
                <w:rFonts w:ascii="Arial" w:cs="Arial" w:eastAsia="Arial" w:hAnsi="Arial"/>
                <w:sz w:val="18"/>
                <w:szCs w:val="18"/>
                <w:color w:val="0000EE"/>
                <w:w w:val="98"/>
              </w:rPr>
            </w:pPr>
            <w:hyperlink r:id="rId75">
              <w:r>
                <w:rPr>
                  <w:rFonts w:ascii="Arial" w:cs="Arial" w:eastAsia="Arial" w:hAnsi="Arial"/>
                  <w:sz w:val="18"/>
                  <w:szCs w:val="18"/>
                  <w:color w:val="0000EE"/>
                  <w:w w:val="98"/>
                </w:rPr>
                <w:t>Form of Non-Statutory Stock Option Agreement for Northern</w:t>
              </w:r>
            </w:hyperlink>
          </w:p>
        </w:tc>
        <w:tc>
          <w:tcPr>
            <w:tcW w:w="24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9"/>
          </w:tcPr>
          <w:p>
            <w:pPr>
              <w:jc w:val="center"/>
              <w:ind w:right="60"/>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Incorporated by reference to Exhibit 10.3 to NTIC’s Current Report</w:t>
              </w:r>
            </w:hyperlink>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80" w:type="dxa"/>
            <w:vAlign w:val="bottom"/>
            <w:gridSpan w:val="10"/>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Technologies International Corporation 2019 Stock Incentive Plan</w:t>
              </w:r>
            </w:hyperlink>
          </w:p>
        </w:tc>
        <w:tc>
          <w:tcPr>
            <w:tcW w:w="24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20" w:type="dxa"/>
            <w:vAlign w:val="bottom"/>
            <w:gridSpan w:val="8"/>
          </w:tcPr>
          <w:p>
            <w:pPr>
              <w:jc w:val="center"/>
              <w:ind w:right="400"/>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on Form 8-K dated January 18, 2019 (File No. 001-11038)</w:t>
              </w:r>
            </w:hyperlink>
          </w:p>
        </w:tc>
      </w:tr>
      <w:tr>
        <w:trPr>
          <w:trHeight w:val="20"/>
        </w:trPr>
        <w:tc>
          <w:tcPr>
            <w:tcW w:w="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628"/>
        </w:trPr>
        <w:tc>
          <w:tcPr>
            <w:tcW w:w="360" w:type="dxa"/>
            <w:vAlign w:val="bottom"/>
          </w:tcPr>
          <w:p>
            <w:pPr>
              <w:spacing w:after="0"/>
              <w:rPr>
                <w:sz w:val="24"/>
                <w:szCs w:val="24"/>
                <w:color w:val="auto"/>
              </w:rPr>
            </w:pPr>
          </w:p>
        </w:tc>
        <w:tc>
          <w:tcPr>
            <w:tcW w:w="560" w:type="dxa"/>
            <w:vAlign w:val="bottom"/>
            <w:gridSpan w:val="2"/>
          </w:tcPr>
          <w:p>
            <w:pPr>
              <w:jc w:val="center"/>
              <w:ind w:right="300"/>
              <w:spacing w:after="0"/>
              <w:rPr>
                <w:rFonts w:ascii="Arial" w:cs="Arial" w:eastAsia="Arial" w:hAnsi="Arial"/>
                <w:sz w:val="18"/>
                <w:szCs w:val="18"/>
                <w:color w:val="0000EE"/>
                <w:w w:val="74"/>
              </w:rPr>
            </w:pPr>
            <w:hyperlink w:anchor="page43">
              <w:r>
                <w:rPr>
                  <w:rFonts w:ascii="Arial" w:cs="Arial" w:eastAsia="Arial" w:hAnsi="Arial"/>
                  <w:sz w:val="18"/>
                  <w:szCs w:val="18"/>
                  <w:color w:val="0000EE"/>
                  <w:w w:val="74"/>
                </w:rPr>
                <w:t>31.</w:t>
              </w:r>
              <w:r>
                <w:rPr>
                  <w:rFonts w:ascii="Arial" w:cs="Arial" w:eastAsia="Arial" w:hAnsi="Arial"/>
                  <w:sz w:val="18"/>
                  <w:szCs w:val="18"/>
                  <w:u w:val="single" w:color="auto"/>
                  <w:color w:val="0000EE"/>
                  <w:w w:val="74"/>
                </w:rPr>
                <w:t>1</w:t>
              </w:r>
            </w:hyperlink>
          </w:p>
        </w:tc>
        <w:tc>
          <w:tcPr>
            <w:tcW w:w="240" w:type="dxa"/>
            <w:vAlign w:val="bottom"/>
          </w:tcPr>
          <w:p>
            <w:pPr>
              <w:spacing w:after="0"/>
              <w:rPr>
                <w:sz w:val="24"/>
                <w:szCs w:val="24"/>
                <w:color w:val="auto"/>
              </w:rPr>
            </w:pPr>
          </w:p>
        </w:tc>
        <w:tc>
          <w:tcPr>
            <w:tcW w:w="5020" w:type="dxa"/>
            <w:vAlign w:val="bottom"/>
            <w:gridSpan w:val="15"/>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Certification of Chief Executive Officer Pursuant to Exchange Act</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0" w:type="dxa"/>
            <w:vAlign w:val="bottom"/>
            <w:gridSpan w:val="7"/>
          </w:tcPr>
          <w:p>
            <w:pPr>
              <w:jc w:val="center"/>
              <w:ind w:right="1800"/>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Filed herewith</w:t>
              </w:r>
            </w:hyperlink>
          </w:p>
        </w:tc>
      </w:tr>
      <w:tr>
        <w:trPr>
          <w:trHeight w:val="196"/>
        </w:trPr>
        <w:tc>
          <w:tcPr>
            <w:tcW w:w="36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0" w:type="dxa"/>
            <w:vAlign w:val="bottom"/>
            <w:tcBorders>
              <w:top w:val="single" w:sz="8" w:color="0000EE"/>
            </w:tcBorders>
            <w:gridSpan w:val="11"/>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Rules 13a-14(a)/15d-14(a), as Adopted Pursuant to Section 302 of</w:t>
              </w:r>
            </w:hyperlink>
          </w:p>
        </w:tc>
        <w:tc>
          <w:tcPr>
            <w:tcW w:w="2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the Sarbanes-Oxley Act of 2002</w:t>
              </w:r>
            </w:hyperlink>
          </w:p>
        </w:tc>
        <w:tc>
          <w:tcPr>
            <w:tcW w:w="2440" w:type="dxa"/>
            <w:vAlign w:val="bottom"/>
            <w:tcBorders>
              <w:top w:val="single" w:sz="8" w:color="0000EE"/>
            </w:tcBorders>
            <w:gridSpan w:val="6"/>
          </w:tcPr>
          <w:p>
            <w:pPr>
              <w:spacing w:after="0"/>
              <w:rPr>
                <w:sz w:val="17"/>
                <w:szCs w:val="17"/>
                <w:color w:val="auto"/>
              </w:rPr>
            </w:pPr>
          </w:p>
        </w:tc>
        <w:tc>
          <w:tcPr>
            <w:tcW w:w="24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360" w:type="dxa"/>
            <w:vAlign w:val="bottom"/>
          </w:tcPr>
          <w:p>
            <w:pPr>
              <w:spacing w:after="0"/>
              <w:rPr>
                <w:sz w:val="24"/>
                <w:szCs w:val="24"/>
                <w:color w:val="auto"/>
              </w:rPr>
            </w:pPr>
          </w:p>
        </w:tc>
        <w:tc>
          <w:tcPr>
            <w:tcW w:w="560" w:type="dxa"/>
            <w:vAlign w:val="bottom"/>
            <w:gridSpan w:val="2"/>
          </w:tcPr>
          <w:p>
            <w:pPr>
              <w:jc w:val="center"/>
              <w:ind w:right="300"/>
              <w:spacing w:after="0"/>
              <w:rPr>
                <w:rFonts w:ascii="Arial" w:cs="Arial" w:eastAsia="Arial" w:hAnsi="Arial"/>
                <w:sz w:val="18"/>
                <w:szCs w:val="18"/>
                <w:color w:val="0000EE"/>
                <w:w w:val="74"/>
              </w:rPr>
            </w:pPr>
            <w:hyperlink w:anchor="page44">
              <w:r>
                <w:rPr>
                  <w:rFonts w:ascii="Arial" w:cs="Arial" w:eastAsia="Arial" w:hAnsi="Arial"/>
                  <w:sz w:val="18"/>
                  <w:szCs w:val="18"/>
                  <w:color w:val="0000EE"/>
                  <w:w w:val="74"/>
                </w:rPr>
                <w:t>31.</w:t>
              </w:r>
              <w:r>
                <w:rPr>
                  <w:rFonts w:ascii="Arial" w:cs="Arial" w:eastAsia="Arial" w:hAnsi="Arial"/>
                  <w:sz w:val="18"/>
                  <w:szCs w:val="18"/>
                  <w:u w:val="single" w:color="auto"/>
                  <w:color w:val="0000EE"/>
                  <w:w w:val="74"/>
                </w:rPr>
                <w:t>2</w:t>
              </w:r>
            </w:hyperlink>
          </w:p>
        </w:tc>
        <w:tc>
          <w:tcPr>
            <w:tcW w:w="240" w:type="dxa"/>
            <w:vAlign w:val="bottom"/>
          </w:tcPr>
          <w:p>
            <w:pPr>
              <w:spacing w:after="0"/>
              <w:rPr>
                <w:sz w:val="24"/>
                <w:szCs w:val="24"/>
                <w:color w:val="auto"/>
              </w:rPr>
            </w:pPr>
          </w:p>
        </w:tc>
        <w:tc>
          <w:tcPr>
            <w:tcW w:w="5020" w:type="dxa"/>
            <w:vAlign w:val="bottom"/>
            <w:gridSpan w:val="15"/>
          </w:tcPr>
          <w:p>
            <w:pPr>
              <w:spacing w:after="0"/>
              <w:rPr>
                <w:rFonts w:ascii="Arial" w:cs="Arial" w:eastAsia="Arial" w:hAnsi="Arial"/>
                <w:sz w:val="18"/>
                <w:szCs w:val="18"/>
                <w:color w:val="0000EE"/>
                <w:w w:val="97"/>
              </w:rPr>
            </w:pPr>
            <w:hyperlink w:anchor="page44">
              <w:r>
                <w:rPr>
                  <w:rFonts w:ascii="Arial" w:cs="Arial" w:eastAsia="Arial" w:hAnsi="Arial"/>
                  <w:sz w:val="18"/>
                  <w:szCs w:val="18"/>
                  <w:color w:val="0000EE"/>
                  <w:w w:val="97"/>
                </w:rPr>
                <w:t>Certification of Chief Financial Officer Pursuant to Exchange Act</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0" w:type="dxa"/>
            <w:vAlign w:val="bottom"/>
            <w:gridSpan w:val="7"/>
          </w:tcPr>
          <w:p>
            <w:pPr>
              <w:jc w:val="center"/>
              <w:ind w:right="1800"/>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Filed herewith</w:t>
              </w:r>
            </w:hyperlink>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Rules 13a-14(a)/15d-14(a), as Adopted Pursuant to Section 302 of</w:t>
              </w:r>
            </w:hyperlink>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the Sarbanes-Oxley Act of 2002</w:t>
              </w:r>
            </w:hyperlink>
          </w:p>
        </w:tc>
        <w:tc>
          <w:tcPr>
            <w:tcW w:w="2460" w:type="dxa"/>
            <w:vAlign w:val="bottom"/>
            <w:tcBorders>
              <w:top w:val="single" w:sz="8" w:color="0000EE"/>
            </w:tcBorders>
            <w:gridSpan w:val="7"/>
          </w:tcPr>
          <w:p>
            <w:pPr>
              <w:spacing w:after="0"/>
              <w:rPr>
                <w:sz w:val="17"/>
                <w:szCs w:val="17"/>
                <w:color w:val="auto"/>
              </w:rPr>
            </w:pPr>
          </w:p>
        </w:tc>
        <w:tc>
          <w:tcPr>
            <w:tcW w:w="240" w:type="dxa"/>
            <w:vAlign w:val="bottom"/>
            <w:gridSpan w:val="5"/>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360" w:type="dxa"/>
            <w:vAlign w:val="bottom"/>
          </w:tcPr>
          <w:p>
            <w:pPr>
              <w:spacing w:after="0"/>
              <w:rPr>
                <w:sz w:val="24"/>
                <w:szCs w:val="24"/>
                <w:color w:val="auto"/>
              </w:rPr>
            </w:pPr>
          </w:p>
        </w:tc>
        <w:tc>
          <w:tcPr>
            <w:tcW w:w="560" w:type="dxa"/>
            <w:vAlign w:val="bottom"/>
            <w:gridSpan w:val="2"/>
          </w:tcPr>
          <w:p>
            <w:pPr>
              <w:jc w:val="center"/>
              <w:ind w:right="300"/>
              <w:spacing w:after="0"/>
              <w:rPr>
                <w:rFonts w:ascii="Arial" w:cs="Arial" w:eastAsia="Arial" w:hAnsi="Arial"/>
                <w:sz w:val="18"/>
                <w:szCs w:val="18"/>
                <w:color w:val="0000EE"/>
                <w:w w:val="74"/>
              </w:rPr>
            </w:pPr>
            <w:hyperlink w:anchor="page45">
              <w:r>
                <w:rPr>
                  <w:rFonts w:ascii="Arial" w:cs="Arial" w:eastAsia="Arial" w:hAnsi="Arial"/>
                  <w:sz w:val="18"/>
                  <w:szCs w:val="18"/>
                  <w:color w:val="0000EE"/>
                  <w:w w:val="74"/>
                </w:rPr>
                <w:t>32.</w:t>
              </w:r>
              <w:r>
                <w:rPr>
                  <w:rFonts w:ascii="Arial" w:cs="Arial" w:eastAsia="Arial" w:hAnsi="Arial"/>
                  <w:sz w:val="18"/>
                  <w:szCs w:val="18"/>
                  <w:u w:val="single" w:color="auto"/>
                  <w:color w:val="0000EE"/>
                  <w:w w:val="74"/>
                </w:rPr>
                <w:t>1</w:t>
              </w:r>
            </w:hyperlink>
          </w:p>
        </w:tc>
        <w:tc>
          <w:tcPr>
            <w:tcW w:w="240" w:type="dxa"/>
            <w:vAlign w:val="bottom"/>
          </w:tcPr>
          <w:p>
            <w:pPr>
              <w:spacing w:after="0"/>
              <w:rPr>
                <w:sz w:val="24"/>
                <w:szCs w:val="24"/>
                <w:color w:val="auto"/>
              </w:rPr>
            </w:pPr>
          </w:p>
        </w:tc>
        <w:tc>
          <w:tcPr>
            <w:tcW w:w="5020" w:type="dxa"/>
            <w:vAlign w:val="bottom"/>
            <w:gridSpan w:val="1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Certification of Chief Executive Officer Pursuant to 18 U.S.C.</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0" w:type="dxa"/>
            <w:vAlign w:val="bottom"/>
            <w:gridSpan w:val="7"/>
          </w:tcPr>
          <w:p>
            <w:pPr>
              <w:jc w:val="center"/>
              <w:ind w:right="1800"/>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Furnished herewith</w:t>
              </w:r>
            </w:hyperlink>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100" w:type="dxa"/>
            <w:vAlign w:val="bottom"/>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Section 1350, as Adopted Pursuant to Section 906 of the Sarbanes-</w:t>
              </w:r>
            </w:hyperlink>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Oxley Act of 2002</w:t>
              </w:r>
            </w:hyperlink>
          </w:p>
        </w:tc>
        <w:tc>
          <w:tcPr>
            <w:tcW w:w="2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560" w:type="dxa"/>
            <w:vAlign w:val="bottom"/>
            <w:gridSpan w:val="2"/>
          </w:tcPr>
          <w:p>
            <w:pPr>
              <w:jc w:val="center"/>
              <w:ind w:right="300"/>
              <w:spacing w:after="0"/>
              <w:rPr>
                <w:rFonts w:ascii="Arial" w:cs="Arial" w:eastAsia="Arial" w:hAnsi="Arial"/>
                <w:sz w:val="18"/>
                <w:szCs w:val="18"/>
                <w:color w:val="0000EE"/>
                <w:w w:val="74"/>
              </w:rPr>
            </w:pPr>
            <w:hyperlink w:anchor="page46">
              <w:r>
                <w:rPr>
                  <w:rFonts w:ascii="Arial" w:cs="Arial" w:eastAsia="Arial" w:hAnsi="Arial"/>
                  <w:sz w:val="18"/>
                  <w:szCs w:val="18"/>
                  <w:color w:val="0000EE"/>
                  <w:w w:val="74"/>
                </w:rPr>
                <w:t>32.</w:t>
              </w:r>
              <w:r>
                <w:rPr>
                  <w:rFonts w:ascii="Arial" w:cs="Arial" w:eastAsia="Arial" w:hAnsi="Arial"/>
                  <w:sz w:val="18"/>
                  <w:szCs w:val="18"/>
                  <w:u w:val="single" w:color="auto"/>
                  <w:color w:val="0000EE"/>
                  <w:w w:val="74"/>
                </w:rPr>
                <w:t>2</w:t>
              </w:r>
            </w:hyperlink>
          </w:p>
        </w:tc>
        <w:tc>
          <w:tcPr>
            <w:tcW w:w="240" w:type="dxa"/>
            <w:vAlign w:val="bottom"/>
          </w:tcPr>
          <w:p>
            <w:pPr>
              <w:spacing w:after="0"/>
              <w:rPr>
                <w:sz w:val="24"/>
                <w:szCs w:val="24"/>
                <w:color w:val="auto"/>
              </w:rPr>
            </w:pPr>
          </w:p>
        </w:tc>
        <w:tc>
          <w:tcPr>
            <w:tcW w:w="5020" w:type="dxa"/>
            <w:vAlign w:val="bottom"/>
            <w:gridSpan w:val="1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Certification of Chief Financial Officer Pursuant to 18 U.S.C.</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0" w:type="dxa"/>
            <w:vAlign w:val="bottom"/>
            <w:gridSpan w:val="7"/>
          </w:tcPr>
          <w:p>
            <w:pPr>
              <w:jc w:val="center"/>
              <w:ind w:right="1800"/>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Furnished herewith</w:t>
              </w:r>
            </w:hyperlink>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40" w:type="dxa"/>
            <w:vAlign w:val="bottom"/>
            <w:gridSpan w:val="8"/>
            <w:shd w:val="clear" w:color="auto" w:fill="0000EE"/>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20" w:type="dxa"/>
            <w:vAlign w:val="bottom"/>
            <w:gridSpan w:val="15"/>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Section 1350, as Adopted Pursuant to Section 906 of the Sarbanes-</w:t>
              </w:r>
            </w:hyperlink>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Oxley Act of 2002</w:t>
              </w:r>
            </w:hyperlink>
          </w:p>
        </w:tc>
        <w:tc>
          <w:tcPr>
            <w:tcW w:w="2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8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r>
      <w:tr>
        <w:trPr>
          <w:trHeight w:val="438"/>
        </w:trPr>
        <w:tc>
          <w:tcPr>
            <w:tcW w:w="620" w:type="dxa"/>
            <w:vAlign w:val="bottom"/>
            <w:gridSpan w:val="2"/>
          </w:tcPr>
          <w:p>
            <w:pPr>
              <w:jc w:val="center"/>
              <w:ind w:left="230"/>
              <w:spacing w:after="0"/>
              <w:rPr>
                <w:sz w:val="20"/>
                <w:szCs w:val="20"/>
                <w:color w:val="auto"/>
              </w:rPr>
            </w:pPr>
            <w:r>
              <w:rPr>
                <w:rFonts w:ascii="Arial" w:cs="Arial" w:eastAsia="Arial" w:hAnsi="Arial"/>
                <w:sz w:val="18"/>
                <w:szCs w:val="18"/>
                <w:color w:val="auto"/>
                <w:w w:val="86"/>
              </w:rPr>
              <w:t>101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20" w:type="dxa"/>
            <w:vAlign w:val="bottom"/>
            <w:gridSpan w:val="15"/>
          </w:tcPr>
          <w:p>
            <w:pPr>
              <w:spacing w:after="0"/>
              <w:rPr>
                <w:sz w:val="20"/>
                <w:szCs w:val="20"/>
                <w:color w:val="auto"/>
              </w:rPr>
            </w:pPr>
            <w:r>
              <w:rPr>
                <w:rFonts w:ascii="Arial" w:cs="Arial" w:eastAsia="Arial" w:hAnsi="Arial"/>
                <w:sz w:val="18"/>
                <w:szCs w:val="18"/>
                <w:color w:val="auto"/>
                <w:w w:val="95"/>
              </w:rPr>
              <w:t>The following materials from NTIC’s Quarterly Report on Form 10-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0" w:type="dxa"/>
            <w:vAlign w:val="bottom"/>
            <w:gridSpan w:val="7"/>
          </w:tcPr>
          <w:p>
            <w:pPr>
              <w:jc w:val="center"/>
              <w:ind w:right="1800"/>
              <w:spacing w:after="0"/>
              <w:rPr>
                <w:sz w:val="20"/>
                <w:szCs w:val="20"/>
                <w:color w:val="auto"/>
              </w:rPr>
            </w:pPr>
            <w:r>
              <w:rPr>
                <w:rFonts w:ascii="Arial" w:cs="Arial" w:eastAsia="Arial" w:hAnsi="Arial"/>
                <w:sz w:val="18"/>
                <w:szCs w:val="18"/>
                <w:color w:val="auto"/>
                <w:w w:val="92"/>
              </w:rPr>
              <w:t>Filed herewith</w:t>
            </w:r>
          </w:p>
        </w:tc>
      </w:tr>
      <w:tr>
        <w:trPr>
          <w:trHeight w:val="216"/>
        </w:trPr>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20" w:type="dxa"/>
            <w:vAlign w:val="bottom"/>
            <w:gridSpan w:val="15"/>
          </w:tcPr>
          <w:p>
            <w:pPr>
              <w:spacing w:after="0"/>
              <w:rPr>
                <w:sz w:val="20"/>
                <w:szCs w:val="20"/>
                <w:color w:val="auto"/>
              </w:rPr>
            </w:pPr>
            <w:r>
              <w:rPr>
                <w:rFonts w:ascii="Arial" w:cs="Arial" w:eastAsia="Arial" w:hAnsi="Arial"/>
                <w:sz w:val="18"/>
                <w:szCs w:val="18"/>
                <w:color w:val="auto"/>
                <w:w w:val="92"/>
              </w:rPr>
              <w:t>Q for the fiscal quarter ended February 28, 2019, formatted in XBRL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5"/>
          </w:tcPr>
          <w:p>
            <w:pPr>
              <w:spacing w:after="0"/>
              <w:rPr>
                <w:sz w:val="20"/>
                <w:szCs w:val="20"/>
                <w:color w:val="auto"/>
              </w:rPr>
            </w:pPr>
            <w:r>
              <w:rPr>
                <w:rFonts w:ascii="Arial" w:cs="Arial" w:eastAsia="Arial" w:hAnsi="Arial"/>
                <w:sz w:val="18"/>
                <w:szCs w:val="18"/>
                <w:color w:val="auto"/>
              </w:rPr>
              <w:t>(Extensible Business Reporting Language): (i) the 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ind w:left="1160"/>
        <w:spacing w:after="0"/>
        <w:rPr>
          <w:sz w:val="20"/>
          <w:szCs w:val="20"/>
          <w:color w:val="auto"/>
        </w:rPr>
      </w:pPr>
      <w:r>
        <w:rPr>
          <w:rFonts w:ascii="Arial" w:cs="Arial" w:eastAsia="Arial" w:hAnsi="Arial"/>
          <w:sz w:val="18"/>
          <w:szCs w:val="18"/>
          <w:color w:val="auto"/>
        </w:rPr>
        <w:t>Consolidated Balance Sheets, (ii) the unaudited Consolidated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Statements of Operations, (iii) the unaudited Consolidated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Statements of Comprehensive Income, (iv) the unaudited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Consolidated Statements of Equity, (v) the unaudited Consolidated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Statements of Cash Flows, and (vi) Notes to Consolidated Financial</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41" w:name="page42"/>
    <w:bookmarkEnd w:id="41"/>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154940</wp:posOffset>
            </wp:positionV>
            <wp:extent cx="1431925" cy="668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1431925" cy="66865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Date: April 8,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Duly Authorized to Sign on Behalf of the Registrant)</w:t>
      </w:r>
    </w:p>
    <w:p>
      <w:pPr>
        <w:spacing w:after="0" w:line="200" w:lineRule="exact"/>
        <w:rPr>
          <w:sz w:val="20"/>
          <w:szCs w:val="20"/>
          <w:color w:val="auto"/>
        </w:rPr>
      </w:pPr>
    </w:p>
    <w:p>
      <w:pPr>
        <w:sectPr>
          <w:pgSz w:w="11900" w:h="16838" w:orient="portrait"/>
          <w:cols w:equalWidth="0" w:num="2">
            <w:col w:w="5100" w:space="720"/>
            <w:col w:w="5460"/>
          </w:cols>
          <w:pgMar w:left="240" w:top="904"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right="180" w:hanging="6"/>
        <w:spacing w:after="0" w:line="264" w:lineRule="auto"/>
        <w:tabs>
          <w:tab w:leader="none" w:pos="101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right="400" w:hanging="6"/>
        <w:spacing w:after="0" w:line="264" w:lineRule="auto"/>
        <w:tabs>
          <w:tab w:leader="none" w:pos="10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700" w:hanging="6"/>
        <w:spacing w:after="0" w:line="342" w:lineRule="auto"/>
        <w:tabs>
          <w:tab w:leader="none" w:pos="1015"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00" w:right="180" w:hanging="6"/>
        <w:spacing w:after="0" w:line="264" w:lineRule="auto"/>
        <w:tabs>
          <w:tab w:leader="none" w:pos="10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00" w:hanging="6"/>
        <w:spacing w:after="0" w:line="277" w:lineRule="auto"/>
        <w:tabs>
          <w:tab w:leader="none" w:pos="100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60"/>
        <w:spacing w:after="0" w:line="277" w:lineRule="auto"/>
        <w:tabs>
          <w:tab w:leader="none" w:pos="10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-121920</wp:posOffset>
            </wp:positionV>
            <wp:extent cx="1818005" cy="325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1818005" cy="325755"/>
                    </a:xfrm>
                    <a:prstGeom prst="rect">
                      <a:avLst/>
                    </a:prstGeom>
                    <a:noFill/>
                  </pic:spPr>
                </pic:pic>
              </a:graphicData>
            </a:graphic>
          </wp:anchor>
        </w:drawing>
      </w:r>
    </w:p>
    <w:p>
      <w:pPr>
        <w:spacing w:after="0" w:line="28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G. Patrick Lynch</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Northern Technologies International Corporation;</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80" w:right="100" w:hanging="5"/>
        <w:spacing w:after="0" w:line="264" w:lineRule="auto"/>
        <w:tabs>
          <w:tab w:leader="none" w:pos="10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80" w:right="320" w:hanging="5"/>
        <w:spacing w:after="0" w:line="264" w:lineRule="auto"/>
        <w:tabs>
          <w:tab w:leader="none" w:pos="11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80" w:right="620" w:hanging="5"/>
        <w:spacing w:after="0" w:line="342" w:lineRule="auto"/>
        <w:tabs>
          <w:tab w:leader="none" w:pos="1095"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580" w:right="100" w:hanging="5"/>
        <w:spacing w:after="0" w:line="264" w:lineRule="auto"/>
        <w:tabs>
          <w:tab w:leader="none" w:pos="11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80" w:right="20" w:hanging="5"/>
        <w:spacing w:after="0" w:line="277" w:lineRule="auto"/>
        <w:tabs>
          <w:tab w:leader="none" w:pos="10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80" w:right="540" w:hanging="5"/>
        <w:spacing w:after="0" w:line="277" w:lineRule="auto"/>
        <w:tabs>
          <w:tab w:leader="none" w:pos="10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117475</wp:posOffset>
            </wp:positionV>
            <wp:extent cx="1431925" cy="668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1431925" cy="6686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Date: April 8,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Corporate Secretary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2">
            <w:col w:w="6940" w:space="720"/>
            <w:col w:w="3760"/>
          </w:cols>
          <w:pgMar w:left="240" w:top="121" w:right="2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28, 2019,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1818005"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1818005" cy="3257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8, 2019</w:t>
      </w:r>
    </w:p>
    <w:p>
      <w:pPr>
        <w:sectPr>
          <w:pgSz w:w="11900" w:h="16838" w:orient="portrait"/>
          <w:cols w:equalWidth="0" w:num="1">
            <w:col w:w="11420"/>
          </w:cols>
          <w:pgMar w:left="240" w:top="11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18 U.S.C. SECTION 1350, 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 for the period ended February 28, 2019,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7" w:lineRule="exact"/>
        <w:rPr>
          <w:sz w:val="20"/>
          <w:szCs w:val="20"/>
          <w:color w:val="auto"/>
        </w:rPr>
      </w:pPr>
    </w:p>
    <w:p>
      <w:pPr>
        <w:ind w:left="1600" w:hanging="944"/>
        <w:spacing w:after="0"/>
        <w:tabs>
          <w:tab w:leader="none" w:pos="1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00" w:right="160" w:hanging="944"/>
        <w:spacing w:after="0" w:line="277" w:lineRule="auto"/>
        <w:tabs>
          <w:tab w:leader="none" w:pos="1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31925" cy="6686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14319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right="5700"/>
        <w:spacing w:after="0" w:line="261" w:lineRule="auto"/>
        <w:rPr>
          <w:sz w:val="20"/>
          <w:szCs w:val="20"/>
          <w:color w:val="auto"/>
        </w:rPr>
      </w:pPr>
      <w:r>
        <w:rPr>
          <w:rFonts w:ascii="Arial" w:cs="Arial" w:eastAsia="Arial" w:hAnsi="Arial"/>
          <w:sz w:val="18"/>
          <w:szCs w:val="18"/>
          <w:color w:val="auto"/>
        </w:rPr>
        <w:t>Chief Financial Officer and Corporate Secretary (principal financial officer and principal accounting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8, 2019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5"/>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1."/>
      <w:numFmt w:val="decimal"/>
      <w:start w:val="6"/>
    </w:lvl>
  </w:abstractNum>
  <w:abstractNum w:abstractNumId="6">
    <w:nsid w:val="41A7C4C9"/>
    <w:multiLevelType w:val="hybridMultilevel"/>
    <w:lvl w:ilvl="0">
      <w:lvlJc w:val="left"/>
      <w:lvlText w:val="%1."/>
      <w:numFmt w:val="decimal"/>
      <w:start w:val="7"/>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1."/>
      <w:numFmt w:val="decimal"/>
      <w:start w:val="13"/>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upperLetter"/>
      <w:start w:val="1"/>
    </w:lvl>
    <w:lvl w:ilvl="1">
      <w:lvlJc w:val="left"/>
      <w:lvlText w:val="(%2)"/>
      <w:numFmt w:val="decimal"/>
      <w:start w:val="1"/>
    </w:lvl>
  </w:abstractNum>
  <w:abstractNum w:abstractNumId="22">
    <w:nsid w:val="6763845E"/>
    <w:multiLevelType w:val="hybridMultilevel"/>
    <w:lvl w:ilvl="0">
      <w:lvlJc w:val="left"/>
      <w:lvlText w:val="%1."/>
      <w:numFmt w:val="upperLetter"/>
      <w:start w:val="7"/>
    </w:lvl>
    <w:lvl w:ilvl="1">
      <w:lvlJc w:val="left"/>
      <w:lvlText w:val="%2"/>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jpeg"/><Relationship Id="rId78" Type="http://schemas.openxmlformats.org/officeDocument/2006/relationships/image" Target="media/image67.png"/><Relationship Id="rId79" Type="http://schemas.openxmlformats.org/officeDocument/2006/relationships/image" Target="media/image68.jpeg"/><Relationship Id="rId80" Type="http://schemas.openxmlformats.org/officeDocument/2006/relationships/image" Target="media/image69.jpeg"/><Relationship Id="rId81" Type="http://schemas.openxmlformats.org/officeDocument/2006/relationships/image" Target="media/image70.jpeg"/><Relationship Id="rId82" Type="http://schemas.openxmlformats.org/officeDocument/2006/relationships/image" Target="media/image71.jpeg"/><Relationship Id="rId72" Type="http://schemas.openxmlformats.org/officeDocument/2006/relationships/hyperlink" Target="http://www.sec.gov/Archives/edgar/data/875582/000117184319000517/exh_31.htm" TargetMode="External"/><Relationship Id="rId73" Type="http://schemas.openxmlformats.org/officeDocument/2006/relationships/hyperlink" Target="http://www.sec.gov/Archives/edgar/data/875582/000117184319000517/exh_101.htm" TargetMode="External"/><Relationship Id="rId74" Type="http://schemas.openxmlformats.org/officeDocument/2006/relationships/hyperlink" Target="http://www.sec.gov/Archives/edgar/data/875582/000117184319000517/exh_102.htm" TargetMode="External"/><Relationship Id="rId75" Type="http://schemas.openxmlformats.org/officeDocument/2006/relationships/hyperlink" Target="http://www.sec.gov/Archives/edgar/data/875582/000117184319000517/exh_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2019-12-28T14:06:15Z</dcterms:created>
  <dcterms:modified xsi:type="dcterms:W3CDTF">2019-12-28T14:06:15Z</dcterms:modified>
</cp:coreProperties>
</file>