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______________________________</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1080" w:hanging="1072"/>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November 30, 2017</w:t>
      </w:r>
    </w:p>
    <w:p>
      <w:pPr>
        <w:spacing w:after="0" w:line="225" w:lineRule="exact"/>
        <w:rPr>
          <w:sz w:val="24"/>
          <w:szCs w:val="24"/>
          <w:color w:val="auto"/>
        </w:rPr>
      </w:pPr>
    </w:p>
    <w:p>
      <w:pPr>
        <w:ind w:left="1080" w:hanging="1072"/>
        <w:spacing w:after="0"/>
        <w:tabs>
          <w:tab w:leader="none" w:pos="10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37"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For the transition period from ________________ to __________________.</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229" w:right="279" w:bottom="1440" w:gutter="0" w:footer="0" w:header="0"/>
        </w:sectPr>
      </w:pPr>
    </w:p>
    <w:p>
      <w:pPr>
        <w:spacing w:after="0" w:line="20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41-0857886</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4120"/>
          </w:cols>
          <w:pgMar w:left="240" w:top="229" w:right="279" w:bottom="1440" w:gutter="0" w:footer="0" w:header="0"/>
          <w:type w:val="continuous"/>
        </w:sectPr>
      </w:pP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4201 Woodland Road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P.O. Box 69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Circle Pines, Minnesota 55014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type w:val="continuous"/>
        </w:sectPr>
      </w:pPr>
    </w:p>
    <w:p>
      <w:pPr>
        <w:spacing w:after="0" w:line="1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(Do not check if a 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060" w:space="720"/>
            <w:col w:w="3600"/>
          </w:cols>
          <w:pgMar w:left="240" w:top="229" w:right="279" w:bottom="1440" w:gutter="0" w:footer="0" w:header="0"/>
          <w:type w:val="continuous"/>
        </w:sect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January 12, 2018, there were 4,537,408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30,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5"/>
          </w:tcPr>
          <w:p>
            <w:pPr>
              <w:spacing w:after="0"/>
              <w:rPr>
                <w:sz w:val="20"/>
                <w:szCs w:val="20"/>
                <w:color w:val="auto"/>
              </w:rPr>
            </w:pPr>
            <w:r>
              <w:rPr>
                <w:rFonts w:ascii="Arial" w:cs="Arial" w:eastAsia="Arial" w:hAnsi="Arial"/>
                <w:sz w:val="18"/>
                <w:szCs w:val="18"/>
                <w:b w:val="1"/>
                <w:bCs w:val="1"/>
                <w:color w:val="auto"/>
                <w:w w:val="88"/>
              </w:rPr>
              <w:t>Description</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412"/>
        </w:trPr>
        <w:tc>
          <w:tcPr>
            <w:tcW w:w="640" w:type="dxa"/>
            <w:vAlign w:val="bottom"/>
            <w:tcBorders>
              <w:top w:val="single" w:sz="8" w:color="auto"/>
              <w:bottom w:val="single" w:sz="8" w:color="0000EE"/>
            </w:tcBorders>
            <w:gridSpan w:val="3"/>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PART I.</w:t>
              </w:r>
            </w:hyperlink>
          </w:p>
        </w:tc>
        <w:tc>
          <w:tcPr>
            <w:tcW w:w="260" w:type="dxa"/>
            <w:vAlign w:val="bottom"/>
            <w:tcBorders>
              <w:top w:val="single" w:sz="8" w:color="auto"/>
            </w:tcBorders>
            <w:gridSpan w:val="2"/>
          </w:tcPr>
          <w:p>
            <w:pPr>
              <w:spacing w:after="0"/>
              <w:rPr>
                <w:sz w:val="24"/>
                <w:szCs w:val="24"/>
                <w:color w:val="auto"/>
              </w:rPr>
            </w:pPr>
          </w:p>
        </w:tc>
        <w:tc>
          <w:tcPr>
            <w:tcW w:w="480" w:type="dxa"/>
            <w:vAlign w:val="bottom"/>
          </w:tcPr>
          <w:p>
            <w:pPr>
              <w:spacing w:after="0"/>
              <w:rPr>
                <w:sz w:val="24"/>
                <w:szCs w:val="24"/>
                <w:color w:val="auto"/>
              </w:rPr>
            </w:pPr>
          </w:p>
        </w:tc>
        <w:tc>
          <w:tcPr>
            <w:tcW w:w="240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6760" w:type="dxa"/>
            <w:vAlign w:val="bottom"/>
            <w:gridSpan w:val="9"/>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860" w:type="dxa"/>
            <w:vAlign w:val="bottom"/>
            <w:gridSpan w:val="5"/>
          </w:tcPr>
          <w:p>
            <w:pPr>
              <w:spacing w:after="0"/>
              <w:rPr>
                <w:sz w:val="24"/>
                <w:szCs w:val="24"/>
                <w:color w:val="auto"/>
              </w:rPr>
            </w:pPr>
          </w:p>
        </w:tc>
        <w:tc>
          <w:tcPr>
            <w:tcW w:w="15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7640" w:type="dxa"/>
            <w:vAlign w:val="bottom"/>
            <w:gridSpan w:val="13"/>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80" w:type="dxa"/>
            <w:vAlign w:val="bottom"/>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as of November 30, 2017 (unaudited) and August 31, 2017</w:t>
              </w:r>
            </w:hyperlink>
          </w:p>
        </w:tc>
        <w:tc>
          <w:tcPr>
            <w:tcW w:w="2780" w:type="dxa"/>
            <w:vAlign w:val="bottom"/>
            <w:gridSpan w:val="5"/>
          </w:tcPr>
          <w:p>
            <w:pPr>
              <w:spacing w:after="0"/>
              <w:rPr>
                <w:sz w:val="24"/>
                <w:szCs w:val="24"/>
                <w:color w:val="auto"/>
              </w:rPr>
            </w:pPr>
          </w:p>
        </w:tc>
        <w:tc>
          <w:tcPr>
            <w:tcW w:w="880" w:type="dxa"/>
            <w:vAlign w:val="bottom"/>
            <w:gridSpan w:val="6"/>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16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(unaudited) for the Three Months Ended November 30, 2017 and 2016</w:t>
              </w:r>
            </w:hyperlink>
          </w:p>
        </w:tc>
        <w:tc>
          <w:tcPr>
            <w:tcW w:w="880" w:type="dxa"/>
            <w:vAlign w:val="bottom"/>
            <w:gridSpan w:val="6"/>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160" w:type="dxa"/>
            <w:vAlign w:val="bottom"/>
            <w:gridSpan w:val="20"/>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Consolidated Statements of Comprehensive Income (Loss) (unaudited) for the Three Months Ended November 30, 2017</w:t>
              </w:r>
            </w:hyperlink>
          </w:p>
        </w:tc>
        <w:tc>
          <w:tcPr>
            <w:tcW w:w="880" w:type="dxa"/>
            <w:vAlign w:val="bottom"/>
            <w:gridSpan w:val="6"/>
            <w:vMerge w:val="restart"/>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Borders>
              <w:top w:val="single" w:sz="8" w:color="0000EE"/>
            </w:tcBorders>
            <w:gridSpan w:val="3"/>
            <w:vMerge w:val="restart"/>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and 2016</w:t>
              </w:r>
            </w:hyperlink>
          </w:p>
        </w:tc>
        <w:tc>
          <w:tcPr>
            <w:tcW w:w="8000" w:type="dxa"/>
            <w:vAlign w:val="bottom"/>
            <w:tcBorders>
              <w:top w:val="single" w:sz="8" w:color="0000EE"/>
            </w:tcBorders>
            <w:gridSpan w:val="16"/>
            <w:vMerge w:val="restart"/>
          </w:tcPr>
          <w:p>
            <w:pPr>
              <w:spacing w:after="0"/>
              <w:rPr>
                <w:sz w:val="7"/>
                <w:szCs w:val="7"/>
                <w:color w:val="auto"/>
              </w:rPr>
            </w:pPr>
          </w:p>
        </w:tc>
        <w:tc>
          <w:tcPr>
            <w:tcW w:w="480" w:type="dxa"/>
            <w:vAlign w:val="bottom"/>
            <w:vMerge w:val="restart"/>
          </w:tcPr>
          <w:p>
            <w:pPr>
              <w:spacing w:after="0"/>
              <w:rPr>
                <w:sz w:val="7"/>
                <w:szCs w:val="7"/>
                <w:color w:val="auto"/>
              </w:rPr>
            </w:pPr>
          </w:p>
        </w:tc>
        <w:tc>
          <w:tcPr>
            <w:tcW w:w="8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Borders>
              <w:top w:val="single" w:sz="8" w:color="0000EE"/>
              <w:bottom w:val="single" w:sz="8" w:color="0000EE"/>
            </w:tcBorders>
            <w:gridSpan w:val="3"/>
            <w:vMerge w:val="continue"/>
          </w:tcPr>
          <w:p>
            <w:pPr>
              <w:spacing w:after="0"/>
              <w:rPr>
                <w:sz w:val="7"/>
                <w:szCs w:val="7"/>
                <w:color w:val="auto"/>
              </w:rPr>
            </w:pPr>
          </w:p>
        </w:tc>
        <w:tc>
          <w:tcPr>
            <w:tcW w:w="8000" w:type="dxa"/>
            <w:vAlign w:val="bottom"/>
            <w:tcBorders>
              <w:top w:val="single" w:sz="8" w:color="0000EE"/>
            </w:tcBorders>
            <w:gridSpan w:val="16"/>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16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(unaudited) for the Three Months Ended November 30, 2017 and 2016</w:t>
              </w:r>
            </w:hyperlink>
          </w:p>
        </w:tc>
        <w:tc>
          <w:tcPr>
            <w:tcW w:w="880" w:type="dxa"/>
            <w:vAlign w:val="bottom"/>
            <w:gridSpan w:val="6"/>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2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1140" w:type="dxa"/>
            <w:vAlign w:val="bottom"/>
            <w:gridSpan w:val="2"/>
          </w:tcPr>
          <w:p>
            <w:pPr>
              <w:spacing w:after="0"/>
              <w:rPr>
                <w:sz w:val="24"/>
                <w:szCs w:val="24"/>
                <w:color w:val="auto"/>
              </w:rPr>
            </w:pPr>
          </w:p>
        </w:tc>
        <w:tc>
          <w:tcPr>
            <w:tcW w:w="880" w:type="dxa"/>
            <w:vAlign w:val="bottom"/>
            <w:gridSpan w:val="6"/>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5-15</w:t>
              </w:r>
            </w:hyperlink>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2.</w:t>
              </w:r>
            </w:hyperlink>
          </w:p>
        </w:tc>
        <w:tc>
          <w:tcPr>
            <w:tcW w:w="840" w:type="dxa"/>
            <w:vAlign w:val="bottom"/>
            <w:gridSpan w:val="4"/>
          </w:tcPr>
          <w:p>
            <w:pPr>
              <w:spacing w:after="0"/>
              <w:rPr>
                <w:sz w:val="24"/>
                <w:szCs w:val="24"/>
                <w:color w:val="auto"/>
              </w:rPr>
            </w:pPr>
          </w:p>
        </w:tc>
        <w:tc>
          <w:tcPr>
            <w:tcW w:w="916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880" w:type="dxa"/>
            <w:vAlign w:val="bottom"/>
            <w:gridSpan w:val="6"/>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16-28</w:t>
              </w:r>
            </w:hyperlink>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Item 3.</w:t>
              </w:r>
            </w:hyperlink>
          </w:p>
        </w:tc>
        <w:tc>
          <w:tcPr>
            <w:tcW w:w="840" w:type="dxa"/>
            <w:vAlign w:val="bottom"/>
            <w:gridSpan w:val="4"/>
          </w:tcPr>
          <w:p>
            <w:pPr>
              <w:spacing w:after="0"/>
              <w:rPr>
                <w:sz w:val="24"/>
                <w:szCs w:val="24"/>
                <w:color w:val="auto"/>
              </w:rPr>
            </w:pPr>
          </w:p>
        </w:tc>
        <w:tc>
          <w:tcPr>
            <w:tcW w:w="43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2700" w:type="dxa"/>
            <w:vAlign w:val="bottom"/>
            <w:gridSpan w:val="4"/>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top w:val="single" w:sz="8" w:color="0000EE"/>
            </w:tcBorders>
            <w:gridSpan w:val="3"/>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28</w:t>
              </w:r>
            </w:hyperlink>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4.</w:t>
              </w:r>
            </w:hyperlink>
          </w:p>
        </w:tc>
        <w:tc>
          <w:tcPr>
            <w:tcW w:w="860" w:type="dxa"/>
            <w:vAlign w:val="bottom"/>
            <w:gridSpan w:val="5"/>
          </w:tcPr>
          <w:p>
            <w:pPr>
              <w:spacing w:after="0"/>
              <w:rPr>
                <w:sz w:val="24"/>
                <w:szCs w:val="24"/>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Controls and Procedures</w:t>
              </w:r>
            </w:hyperlink>
          </w:p>
        </w:tc>
        <w:tc>
          <w:tcPr>
            <w:tcW w:w="7380" w:type="dxa"/>
            <w:vAlign w:val="bottom"/>
            <w:gridSpan w:val="12"/>
          </w:tcPr>
          <w:p>
            <w:pPr>
              <w:spacing w:after="0"/>
              <w:rPr>
                <w:sz w:val="24"/>
                <w:szCs w:val="24"/>
                <w:color w:val="auto"/>
              </w:rPr>
            </w:pPr>
          </w:p>
        </w:tc>
        <w:tc>
          <w:tcPr>
            <w:tcW w:w="70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29</w:t>
              </w:r>
            </w:hyperlink>
          </w:p>
        </w:tc>
        <w:tc>
          <w:tcPr>
            <w:tcW w:w="0" w:type="dxa"/>
            <w:vAlign w:val="bottom"/>
          </w:tcPr>
          <w:p>
            <w:pPr>
              <w:spacing w:after="0"/>
              <w:rPr>
                <w:sz w:val="1"/>
                <w:szCs w:val="1"/>
                <w:color w:val="auto"/>
              </w:rPr>
            </w:pPr>
          </w:p>
        </w:tc>
      </w:tr>
      <w:tr>
        <w:trPr>
          <w:trHeight w:val="412"/>
        </w:trPr>
        <w:tc>
          <w:tcPr>
            <w:tcW w:w="1380" w:type="dxa"/>
            <w:vAlign w:val="bottom"/>
            <w:gridSpan w:val="6"/>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w:t>
              </w:r>
            </w:hyperlink>
          </w:p>
        </w:tc>
        <w:tc>
          <w:tcPr>
            <w:tcW w:w="9160" w:type="dxa"/>
            <w:vAlign w:val="bottom"/>
            <w:gridSpan w:val="20"/>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OTHER INFORMATION</w:t>
              </w:r>
            </w:hyperlink>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Item 1.</w:t>
              </w:r>
            </w:hyperlink>
          </w:p>
        </w:tc>
        <w:tc>
          <w:tcPr>
            <w:tcW w:w="160" w:type="dxa"/>
            <w:vAlign w:val="bottom"/>
            <w:tcBorders>
              <w:top w:val="single" w:sz="8" w:color="0000EE"/>
            </w:tcBorders>
            <w:gridSpan w:val="2"/>
          </w:tcPr>
          <w:p>
            <w:pPr>
              <w:spacing w:after="0"/>
              <w:rPr>
                <w:sz w:val="24"/>
                <w:szCs w:val="24"/>
                <w:color w:val="auto"/>
              </w:rPr>
            </w:pPr>
          </w:p>
        </w:tc>
        <w:tc>
          <w:tcPr>
            <w:tcW w:w="680" w:type="dxa"/>
            <w:vAlign w:val="bottom"/>
            <w:gridSpan w:val="2"/>
          </w:tcPr>
          <w:p>
            <w:pPr>
              <w:spacing w:after="0"/>
              <w:rPr>
                <w:sz w:val="24"/>
                <w:szCs w:val="24"/>
                <w:color w:val="auto"/>
              </w:rPr>
            </w:pP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24"/>
                <w:szCs w:val="24"/>
                <w:color w:val="auto"/>
              </w:rPr>
            </w:pPr>
          </w:p>
        </w:tc>
        <w:tc>
          <w:tcPr>
            <w:tcW w:w="7140" w:type="dxa"/>
            <w:vAlign w:val="bottom"/>
            <w:gridSpan w:val="11"/>
          </w:tcPr>
          <w:p>
            <w:pPr>
              <w:spacing w:after="0"/>
              <w:rPr>
                <w:sz w:val="24"/>
                <w:szCs w:val="24"/>
                <w:color w:val="auto"/>
              </w:rPr>
            </w:pPr>
          </w:p>
        </w:tc>
        <w:tc>
          <w:tcPr>
            <w:tcW w:w="70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30</w:t>
              </w:r>
            </w:hyperlink>
          </w:p>
        </w:tc>
        <w:tc>
          <w:tcPr>
            <w:tcW w:w="0" w:type="dxa"/>
            <w:vAlign w:val="bottom"/>
          </w:tcPr>
          <w:p>
            <w:pPr>
              <w:spacing w:after="0"/>
              <w:rPr>
                <w:sz w:val="1"/>
                <w:szCs w:val="1"/>
                <w:color w:val="auto"/>
              </w:rPr>
            </w:pPr>
          </w:p>
        </w:tc>
      </w:tr>
      <w:tr>
        <w:trPr>
          <w:trHeight w:val="412"/>
        </w:trPr>
        <w:tc>
          <w:tcPr>
            <w:tcW w:w="1380" w:type="dxa"/>
            <w:vAlign w:val="bottom"/>
            <w:gridSpan w:val="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1A.</w:t>
              </w:r>
            </w:hyperlink>
          </w:p>
        </w:tc>
        <w:tc>
          <w:tcPr>
            <w:tcW w:w="916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880" w:type="dxa"/>
            <w:vAlign w:val="bottom"/>
            <w:gridSpan w:val="6"/>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Item 2.</w:t>
              </w:r>
            </w:hyperlink>
          </w:p>
        </w:tc>
        <w:tc>
          <w:tcPr>
            <w:tcW w:w="100" w:type="dxa"/>
            <w:vAlign w:val="bottom"/>
          </w:tcPr>
          <w:p>
            <w:pPr>
              <w:spacing w:after="0"/>
              <w:rPr>
                <w:sz w:val="24"/>
                <w:szCs w:val="24"/>
                <w:color w:val="auto"/>
              </w:rPr>
            </w:pPr>
          </w:p>
        </w:tc>
        <w:tc>
          <w:tcPr>
            <w:tcW w:w="740" w:type="dxa"/>
            <w:vAlign w:val="bottom"/>
            <w:gridSpan w:val="3"/>
          </w:tcPr>
          <w:p>
            <w:pPr>
              <w:spacing w:after="0"/>
              <w:rPr>
                <w:sz w:val="24"/>
                <w:szCs w:val="24"/>
                <w:color w:val="auto"/>
              </w:rPr>
            </w:pP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Unregistered Sales of Equity Securities and Use of Proceeds</w:t>
              </w:r>
            </w:hyperlink>
          </w:p>
        </w:tc>
        <w:tc>
          <w:tcPr>
            <w:tcW w:w="4800" w:type="dxa"/>
            <w:vAlign w:val="bottom"/>
            <w:gridSpan w:val="6"/>
          </w:tcPr>
          <w:p>
            <w:pPr>
              <w:spacing w:after="0"/>
              <w:rPr>
                <w:sz w:val="24"/>
                <w:szCs w:val="24"/>
                <w:color w:val="auto"/>
              </w:rPr>
            </w:pPr>
          </w:p>
        </w:tc>
        <w:tc>
          <w:tcPr>
            <w:tcW w:w="70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30</w:t>
              </w:r>
            </w:hyperlink>
          </w:p>
        </w:tc>
        <w:tc>
          <w:tcPr>
            <w:tcW w:w="0" w:type="dxa"/>
            <w:vAlign w:val="bottom"/>
          </w:tcPr>
          <w:p>
            <w:pPr>
              <w:spacing w:after="0"/>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3.</w:t>
              </w:r>
            </w:hyperlink>
          </w:p>
        </w:tc>
        <w:tc>
          <w:tcPr>
            <w:tcW w:w="840" w:type="dxa"/>
            <w:vAlign w:val="bottom"/>
            <w:gridSpan w:val="4"/>
          </w:tcPr>
          <w:p>
            <w:pPr>
              <w:spacing w:after="0"/>
              <w:rPr>
                <w:sz w:val="24"/>
                <w:szCs w:val="24"/>
                <w:color w:val="auto"/>
              </w:rPr>
            </w:pPr>
          </w:p>
        </w:tc>
        <w:tc>
          <w:tcPr>
            <w:tcW w:w="916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c>
          <w:tcPr>
            <w:tcW w:w="880" w:type="dxa"/>
            <w:vAlign w:val="bottom"/>
            <w:gridSpan w:val="6"/>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4.</w:t>
              </w:r>
            </w:hyperlink>
          </w:p>
        </w:tc>
        <w:tc>
          <w:tcPr>
            <w:tcW w:w="840" w:type="dxa"/>
            <w:vAlign w:val="bottom"/>
            <w:gridSpan w:val="4"/>
          </w:tcPr>
          <w:p>
            <w:pPr>
              <w:spacing w:after="0"/>
              <w:rPr>
                <w:sz w:val="24"/>
                <w:szCs w:val="24"/>
                <w:color w:val="auto"/>
              </w:rPr>
            </w:pP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6840" w:type="dxa"/>
            <w:vAlign w:val="bottom"/>
            <w:gridSpan w:val="10"/>
          </w:tcPr>
          <w:p>
            <w:pPr>
              <w:spacing w:after="0"/>
              <w:rPr>
                <w:sz w:val="24"/>
                <w:szCs w:val="24"/>
                <w:color w:val="auto"/>
              </w:rPr>
            </w:pPr>
          </w:p>
        </w:tc>
        <w:tc>
          <w:tcPr>
            <w:tcW w:w="70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5.</w:t>
              </w:r>
            </w:hyperlink>
          </w:p>
        </w:tc>
        <w:tc>
          <w:tcPr>
            <w:tcW w:w="840" w:type="dxa"/>
            <w:vAlign w:val="bottom"/>
            <w:gridSpan w:val="4"/>
          </w:tcPr>
          <w:p>
            <w:pPr>
              <w:spacing w:after="0"/>
              <w:rPr>
                <w:sz w:val="24"/>
                <w:szCs w:val="24"/>
                <w:color w:val="auto"/>
              </w:rPr>
            </w:pPr>
          </w:p>
        </w:tc>
        <w:tc>
          <w:tcPr>
            <w:tcW w:w="916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880" w:type="dxa"/>
            <w:vAlign w:val="bottom"/>
            <w:gridSpan w:val="6"/>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6.</w:t>
              </w:r>
            </w:hyperlink>
          </w:p>
        </w:tc>
        <w:tc>
          <w:tcPr>
            <w:tcW w:w="840" w:type="dxa"/>
            <w:vAlign w:val="bottom"/>
            <w:gridSpan w:val="4"/>
          </w:tcPr>
          <w:p>
            <w:pPr>
              <w:spacing w:after="0"/>
              <w:rPr>
                <w:sz w:val="24"/>
                <w:szCs w:val="24"/>
                <w:color w:val="auto"/>
              </w:rPr>
            </w:pP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7840" w:type="dxa"/>
            <w:vAlign w:val="bottom"/>
            <w:gridSpan w:val="15"/>
          </w:tcPr>
          <w:p>
            <w:pPr>
              <w:spacing w:after="0"/>
              <w:rPr>
                <w:sz w:val="24"/>
                <w:szCs w:val="24"/>
                <w:color w:val="auto"/>
              </w:rPr>
            </w:pPr>
          </w:p>
        </w:tc>
        <w:tc>
          <w:tcPr>
            <w:tcW w:w="700" w:type="dxa"/>
            <w:vAlign w:val="bottom"/>
            <w:gridSpan w:val="4"/>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560" w:type="dxa"/>
            <w:vAlign w:val="bottom"/>
            <w:gridSpan w:val="18"/>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0" w:type="dxa"/>
            <w:vAlign w:val="bottom"/>
            <w:tcBorders>
              <w:bottom w:val="single" w:sz="8" w:color="0000EE"/>
            </w:tcBorders>
            <w:gridSpan w:val="7"/>
          </w:tcPr>
          <w:p>
            <w:pPr>
              <w:spacing w:after="0"/>
              <w:rPr>
                <w:rFonts w:ascii="Arial" w:cs="Arial" w:eastAsia="Arial" w:hAnsi="Arial"/>
                <w:sz w:val="18"/>
                <w:szCs w:val="18"/>
                <w:b w:val="1"/>
                <w:bCs w:val="1"/>
                <w:color w:val="0000EE"/>
                <w:w w:val="97"/>
              </w:rPr>
            </w:pPr>
            <w:hyperlink w:anchor="page35">
              <w:r>
                <w:rPr>
                  <w:rFonts w:ascii="Arial" w:cs="Arial" w:eastAsia="Arial" w:hAnsi="Arial"/>
                  <w:sz w:val="18"/>
                  <w:szCs w:val="18"/>
                  <w:b w:val="1"/>
                  <w:bCs w:val="1"/>
                  <w:color w:val="0000EE"/>
                  <w:w w:val="97"/>
                </w:rPr>
                <w:t>SIGNATURE PAGE</w:t>
              </w:r>
            </w:hyperlink>
          </w:p>
        </w:tc>
        <w:tc>
          <w:tcPr>
            <w:tcW w:w="8940" w:type="dxa"/>
            <w:vAlign w:val="bottom"/>
            <w:gridSpan w:val="19"/>
          </w:tcPr>
          <w:p>
            <w:pPr>
              <w:spacing w:after="0"/>
              <w:rPr>
                <w:sz w:val="24"/>
                <w:szCs w:val="24"/>
                <w:color w:val="auto"/>
              </w:rPr>
            </w:pPr>
          </w:p>
        </w:tc>
        <w:tc>
          <w:tcPr>
            <w:tcW w:w="70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32</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_________________</w:t>
      </w:r>
    </w:p>
    <w:p>
      <w:pPr>
        <w:spacing w:after="0" w:line="225"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 Forward-Looking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color w:val="auto"/>
        </w:rPr>
        <w:t>_________________</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As used in this report, references to “NTIC,” the “Company,” “we,” “our” or “us,” unless the context otherwise requires, refer to Northern Technologies International Corporation and its wholly-owned and majority-owned subsidiaries, all of which are consolidated on NTIC’s consolidated financial statements.</w:t>
      </w:r>
    </w:p>
    <w:p>
      <w:pPr>
        <w:spacing w:after="0" w:line="12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As used in this report, references to: (1) “NTIC China” refer to NTIC’s wholly-owned subsidiary in China, NTIC (Shanghai) Co., Ltd.; (2) “NTI Europe” refer to NTIC’s wholly-owned subsidiary in Germany, NTIC Europe GmbH; (3) “Zerust Mexico” refer to NTIC’s wholly-owned subsidiary in Mexico, ZERUST-EXCOR MEXICO, S. de R.L. de C.V; (4) “Zerust Brazil” refer to NTIC’s majority-owned Brazilian subsidiary, Zerust Prevenção de Corrosão S.A.;</w:t>
      </w:r>
    </w:p>
    <w:p>
      <w:pPr>
        <w:jc w:val="both"/>
        <w:ind w:right="160" w:firstLine="8"/>
        <w:spacing w:after="0" w:line="254" w:lineRule="auto"/>
        <w:tabs>
          <w:tab w:leader="none" w:pos="2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“Natur-Tec India” refer to NTIC’s majority-owned subsidiary in India, Natur-Tec India Private Limited; and (6) “NTI Asean” refer to NTIC’s majority-owned holding company subsidiary, NTI Asean LLC, which is a holding company that holds investments in seven entities that operate in the Association of Southeast Asian Nations (ASEAN) region, including the following countries: Indonesia, South Korea, Malaysia, Philippines, Singapore, Taiwan and Thailand.</w:t>
      </w:r>
    </w:p>
    <w:p>
      <w:pPr>
        <w:spacing w:after="0" w:line="1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NTIC’s consolidated financial statements do not include the accounts of any of its joint ventures. Except as otherwise indicated, references in this report to NTIC’s joint ventures do not include any of NTIC’s wholly-owned or majority-owned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 used in this report, references to “EXCOR” refer to NTIC’s joint venture in Germany, Excor Korrosionsschutz – Technologien und Produkte GmbH.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“Tianjin Zerust” refer to NTIC’s former joint venture in China, Tianjin-Zerust Anticorrosion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w w:val="99"/>
              </w:rPr>
              <w:t>PART I -</w:t>
            </w:r>
          </w:p>
        </w:tc>
        <w:tc>
          <w:tcPr>
            <w:tcW w:w="7940" w:type="dxa"/>
            <w:vAlign w:val="bottom"/>
          </w:tcPr>
          <w:p>
            <w:pPr>
              <w:ind w:left="580"/>
              <w:spacing w:after="0"/>
              <w:rPr>
                <w:sz w:val="20"/>
                <w:szCs w:val="20"/>
                <w:color w:val="auto"/>
              </w:rPr>
            </w:pPr>
            <w:r>
              <w:rPr>
                <w:rFonts w:ascii="Arial" w:cs="Arial" w:eastAsia="Arial" w:hAnsi="Arial"/>
                <w:sz w:val="18"/>
                <w:szCs w:val="18"/>
                <w:b w:val="1"/>
                <w:bCs w:val="1"/>
                <w:color w:val="auto"/>
              </w:rPr>
              <w:t>FINANCIAL INFORMATION</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940" w:type="dxa"/>
            <w:vAlign w:val="bottom"/>
          </w:tcPr>
          <w:p>
            <w:pPr>
              <w:ind w:left="580"/>
              <w:spacing w:after="0"/>
              <w:rPr>
                <w:sz w:val="20"/>
                <w:szCs w:val="20"/>
                <w:color w:val="auto"/>
              </w:rPr>
            </w:pPr>
            <w:r>
              <w:rPr>
                <w:rFonts w:ascii="Arial" w:cs="Arial" w:eastAsia="Arial" w:hAnsi="Arial"/>
                <w:sz w:val="18"/>
                <w:szCs w:val="18"/>
                <w:b w:val="1"/>
                <w:bCs w:val="1"/>
                <w:color w:val="auto"/>
              </w:rPr>
              <w:t>FINANCIAL STATEMENTS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60" w:type="dxa"/>
            <w:vAlign w:val="bottom"/>
            <w:gridSpan w:val="3"/>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6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 AS OF NOVEMBER 30, 2017 (UNAUDITED)</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60" w:type="dxa"/>
            <w:vAlign w:val="bottom"/>
            <w:gridSpan w:val="3"/>
          </w:tcPr>
          <w:p>
            <w:pPr>
              <w:spacing w:after="0"/>
              <w:rPr>
                <w:sz w:val="20"/>
                <w:szCs w:val="20"/>
                <w:color w:val="auto"/>
              </w:rPr>
            </w:pPr>
            <w:r>
              <w:rPr>
                <w:rFonts w:ascii="Arial" w:cs="Arial" w:eastAsia="Arial" w:hAnsi="Arial"/>
                <w:sz w:val="18"/>
                <w:szCs w:val="18"/>
                <w:b w:val="1"/>
                <w:bCs w:val="1"/>
                <w:color w:val="auto"/>
              </w:rPr>
              <w:t>AND AUGUST 31, 2017 (AUDITED)</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7940" w:type="dxa"/>
            <w:vAlign w:val="bottom"/>
            <w:tcBorders>
              <w:top w:val="single" w:sz="8" w:color="auto"/>
            </w:tcBorders>
          </w:tcPr>
          <w:p>
            <w:pPr>
              <w:spacing w:after="0"/>
              <w:rPr>
                <w:sz w:val="20"/>
                <w:szCs w:val="20"/>
                <w:color w:val="auto"/>
              </w:rPr>
            </w:pPr>
          </w:p>
        </w:tc>
        <w:tc>
          <w:tcPr>
            <w:tcW w:w="276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9"/>
              </w:rPr>
              <w:t>November 30, 2017 August 31, 2017</w:t>
            </w:r>
          </w:p>
        </w:tc>
        <w:tc>
          <w:tcPr>
            <w:tcW w:w="0" w:type="dxa"/>
            <w:vAlign w:val="bottom"/>
          </w:tcPr>
          <w:p>
            <w:pPr>
              <w:spacing w:after="0"/>
              <w:rPr>
                <w:sz w:val="1"/>
                <w:szCs w:val="1"/>
                <w:color w:val="auto"/>
              </w:rPr>
            </w:pPr>
          </w:p>
        </w:tc>
      </w:tr>
      <w:tr>
        <w:trPr>
          <w:trHeight w:val="20"/>
        </w:trPr>
        <w:tc>
          <w:tcPr>
            <w:tcW w:w="7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ASSETS</w:t>
            </w:r>
          </w:p>
        </w:tc>
        <w:tc>
          <w:tcPr>
            <w:tcW w:w="7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 w:type="dxa"/>
            <w:vAlign w:val="bottom"/>
            <w:gridSpan w:val="2"/>
            <w:vMerge w:val="continue"/>
          </w:tcPr>
          <w:p>
            <w:pPr>
              <w:spacing w:after="0"/>
              <w:rPr>
                <w:sz w:val="17"/>
                <w:szCs w:val="17"/>
                <w:color w:val="auto"/>
              </w:rPr>
            </w:pPr>
          </w:p>
        </w:tc>
        <w:tc>
          <w:tcPr>
            <w:tcW w:w="7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4,627,213</w:t>
            </w:r>
          </w:p>
        </w:tc>
        <w:tc>
          <w:tcPr>
            <w:tcW w:w="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6,360,201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Available for sale securities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3,770,241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3,766,984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Receivables: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w w:val="95"/>
              </w:rPr>
              <w:t>Trade excluding joint ventures, less allowance for doubtful accounts of $40,000 at November 30, 2017 and</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August 31, 2017</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7,251,821</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5,912,631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Trade joint ventures</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520,653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691,752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Fees for services provided to joint ventures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1,310,818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1,302,944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137,256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7,969,328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7,456,552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760,567</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439,298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26,210,641</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26,067,618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7,235,301</w:t>
            </w: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7,359,662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Investments in joint ventures</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21,701,913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20,035,074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1,756,565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1,756,565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Patents and trademarks, net</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1,291,335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1,322,089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71,685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Total other assets</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24,749,813</w:t>
            </w: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23,185,413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58,195,755</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56,612,693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16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3,797,674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2,676,610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15,565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Payroll and related benefits</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955,903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1,540,386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1,058,793</w:t>
            </w: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677,621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7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5,827,935</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4,894,617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160"/>
              <w:spacing w:after="0"/>
              <w:rPr>
                <w:sz w:val="20"/>
                <w:szCs w:val="20"/>
                <w:color w:val="auto"/>
              </w:rPr>
            </w:pPr>
            <w:r>
              <w:rPr>
                <w:rFonts w:ascii="Arial" w:cs="Arial" w:eastAsia="Arial" w:hAnsi="Arial"/>
                <w:sz w:val="18"/>
                <w:szCs w:val="18"/>
                <w:color w:val="auto"/>
              </w:rPr>
              <w:t>COMMITMENTS AND CONTINGENCIES (Note 12)</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160"/>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2"/>
              </w:rPr>
              <w:t>Common stock, $0.02 par value per share; authorized 10,000,000 shares; issued and outstanding 4,537,408 and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4,535,018, respectively</w:t>
            </w: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90,748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90,700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14,294,584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14,163,509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37,706,367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37,077,483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(2,518,243)</w:t>
            </w: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(2,471,064)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49,573,456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48,860,628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2,794,364</w:t>
            </w: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2,857,448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52,367,820</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51,718,076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58,195,755</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56,612,693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ind w:right="4140"/>
        <w:spacing w:after="0" w:line="265"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OPERATIONS (UNAUDITED) FOR THE THREE MONTHS ENDED NOVEMBER 30, 2017 AND 2016</w:t>
      </w: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7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2080" w:type="dxa"/>
            <w:vAlign w:val="bottom"/>
            <w:tcBorders>
              <w:top w:val="single" w:sz="8" w:color="auto"/>
              <w:bottom w:val="single" w:sz="8" w:color="auto"/>
            </w:tcBorders>
            <w:gridSpan w:val="3"/>
          </w:tcPr>
          <w:p>
            <w:pPr>
              <w:jc w:val="right"/>
              <w:spacing w:after="0" w:line="204" w:lineRule="exact"/>
              <w:rPr>
                <w:sz w:val="20"/>
                <w:szCs w:val="20"/>
                <w:color w:val="auto"/>
              </w:rPr>
            </w:pPr>
            <w:r>
              <w:rPr>
                <w:rFonts w:ascii="Arial" w:cs="Arial" w:eastAsia="Arial" w:hAnsi="Arial"/>
                <w:sz w:val="18"/>
                <w:szCs w:val="18"/>
                <w:b w:val="1"/>
                <w:bCs w:val="1"/>
                <w:color w:val="auto"/>
              </w:rPr>
              <w:t>Three Months Ended</w:t>
            </w:r>
          </w:p>
        </w:tc>
        <w:tc>
          <w:tcPr>
            <w:tcW w:w="8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7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November 30, 2017</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November 30, 2016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Net sales, excluding joint ventures</w:t>
            </w:r>
          </w:p>
        </w:tc>
        <w:tc>
          <w:tcPr>
            <w:tcW w:w="7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11,035,407</w:t>
            </w:r>
          </w:p>
        </w:tc>
        <w:tc>
          <w:tcPr>
            <w:tcW w:w="860" w:type="dxa"/>
            <w:vAlign w:val="bottom"/>
            <w:gridSpan w:val="2"/>
          </w:tcPr>
          <w:p>
            <w:pPr>
              <w:jc w:val="right"/>
              <w:ind w:right="59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87"/>
              </w:rPr>
              <w:t>9,000,224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joint ventures</w:t>
            </w:r>
          </w:p>
        </w:tc>
        <w:tc>
          <w:tcPr>
            <w:tcW w:w="3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507,631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701,799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Total net sales</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11,543,038</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87"/>
              </w:rPr>
              <w:t>9,702,023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7,888,470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6,612,766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3,654,568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3,089,257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JOINT VENTURE OPERATIONS:</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Equity in income from joint ventures</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1,741,328</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87"/>
              </w:rPr>
              <w:t>1,274,004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for services provided to joint ventures</w:t>
            </w:r>
          </w:p>
        </w:tc>
        <w:tc>
          <w:tcPr>
            <w:tcW w:w="3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1,507,142</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1,315,591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Pr>
          <w:p>
            <w:pPr>
              <w:ind w:left="520"/>
              <w:spacing w:after="0"/>
              <w:rPr>
                <w:sz w:val="20"/>
                <w:szCs w:val="20"/>
                <w:color w:val="auto"/>
              </w:rPr>
            </w:pPr>
            <w:r>
              <w:rPr>
                <w:rFonts w:ascii="Arial" w:cs="Arial" w:eastAsia="Arial" w:hAnsi="Arial"/>
                <w:sz w:val="18"/>
                <w:szCs w:val="18"/>
                <w:color w:val="auto"/>
              </w:rPr>
              <w:t>Total joint venture operations</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3,248,470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87"/>
              </w:rPr>
              <w:t>2,589,595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expenses</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2,599,949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2,039,084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2,219,745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87"/>
              </w:rPr>
              <w:t>2,471,780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798,731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642,522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5,618,425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87"/>
              </w:rPr>
              <w:t>5,153,386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1,284,613</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525,466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24,056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3,563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1,303,580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524,406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104,991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117,713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1,198,589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406,693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114,963</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109,054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7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1,083,626</w:t>
            </w:r>
          </w:p>
        </w:tc>
        <w:tc>
          <w:tcPr>
            <w:tcW w:w="860" w:type="dxa"/>
            <w:vAlign w:val="bottom"/>
            <w:gridSpan w:val="2"/>
            <w:shd w:val="clear" w:color="auto" w:fill="CCEEFF"/>
          </w:tcPr>
          <w:p>
            <w:pPr>
              <w:jc w:val="right"/>
              <w:ind w:right="59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 PER COMMON SHARE:</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Basic</w:t>
            </w:r>
          </w:p>
        </w:tc>
        <w:tc>
          <w:tcPr>
            <w:tcW w:w="7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0.24</w:t>
            </w:r>
          </w:p>
        </w:tc>
        <w:tc>
          <w:tcPr>
            <w:tcW w:w="860" w:type="dxa"/>
            <w:vAlign w:val="bottom"/>
            <w:gridSpan w:val="2"/>
          </w:tcPr>
          <w:p>
            <w:pPr>
              <w:jc w:val="right"/>
              <w:ind w:right="59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4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0.24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59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ASSUMED OUTSTANDING:</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7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4,537,368</w:t>
            </w:r>
          </w:p>
        </w:tc>
        <w:tc>
          <w:tcPr>
            <w:tcW w:w="10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4,531,950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4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4,608,788</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4,558,878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7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0.10</w:t>
            </w:r>
          </w:p>
        </w:tc>
        <w:tc>
          <w:tcPr>
            <w:tcW w:w="860" w:type="dxa"/>
            <w:vAlign w:val="bottom"/>
            <w:gridSpan w:val="2"/>
            <w:shd w:val="clear" w:color="auto" w:fill="CCEEFF"/>
          </w:tcPr>
          <w:p>
            <w:pPr>
              <w:jc w:val="right"/>
              <w:ind w:right="59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Borders>
              <w:top w:val="single" w:sz="8" w:color="CCEEFF"/>
              <w:bottom w:val="single" w:sz="8" w:color="CCEEFF"/>
            </w:tcBorders>
            <w:vMerge w:val="restart"/>
          </w:tcPr>
          <w:p>
            <w:pPr>
              <w:jc w:val="center"/>
              <w:ind w:left="3550"/>
              <w:spacing w:after="0"/>
              <w:rPr>
                <w:sz w:val="20"/>
                <w:szCs w:val="20"/>
                <w:color w:val="auto"/>
              </w:rPr>
            </w:pPr>
            <w:r>
              <w:rPr>
                <w:rFonts w:ascii="Arial" w:cs="Arial" w:eastAsia="Arial" w:hAnsi="Arial"/>
                <w:sz w:val="18"/>
                <w:szCs w:val="18"/>
                <w:color w:val="auto"/>
                <w:w w:val="88"/>
              </w:rPr>
              <w:t>See notes to consolidated financial statements.</w:t>
            </w:r>
          </w:p>
        </w:tc>
        <w:tc>
          <w:tcPr>
            <w:tcW w:w="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60" w:type="dxa"/>
            <w:vAlign w:val="bottom"/>
            <w:gridSpan w:val="2"/>
          </w:tcPr>
          <w:p>
            <w:pPr>
              <w:jc w:val="right"/>
              <w:ind w:right="191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74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NOVEMBER 30, 2017 AND 2016</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6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120" w:type="dxa"/>
            <w:vAlign w:val="bottom"/>
            <w:tcBorders>
              <w:top w:val="single" w:sz="8" w:color="auto"/>
              <w:bottom w:val="single" w:sz="8" w:color="auto"/>
            </w:tcBorders>
            <w:gridSpan w:val="5"/>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November 30,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4"/>
              </w:rPr>
              <w:t>November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1,198,589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406,693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 FOREIGN CURRENCY TRANSLATION ADJUSTMENT</w:t>
            </w:r>
          </w:p>
        </w:tc>
        <w:tc>
          <w:tcPr>
            <w:tcW w:w="4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(1,250,812)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1,173,363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(844,119)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NON-CONTROLLING INTERESTS</w:t>
            </w:r>
          </w:p>
        </w:tc>
        <w:tc>
          <w:tcPr>
            <w:tcW w:w="4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136,916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60,372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COMPREHENSIVE INCOME (LOSS) ATTRIBUTABLE TO NTIC</w:t>
            </w:r>
          </w:p>
        </w:tc>
        <w:tc>
          <w:tcPr>
            <w:tcW w:w="4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1,036,447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ind w:right="4140"/>
        <w:spacing w:after="0" w:line="265"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CASH FLOWS (UNAUDITED) FOR THE THREE MONTHS ENDED NOVEMBER 30, 2017 AND 2016</w:t>
      </w: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9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180" w:type="dxa"/>
            <w:vAlign w:val="bottom"/>
            <w:tcBorders>
              <w:top w:val="single" w:sz="8" w:color="auto"/>
              <w:bottom w:val="single" w:sz="8" w:color="auto"/>
            </w:tcBorders>
            <w:gridSpan w:val="6"/>
          </w:tcPr>
          <w:p>
            <w:pPr>
              <w:jc w:val="right"/>
              <w:ind w:right="880"/>
              <w:spacing w:after="0" w:line="204" w:lineRule="exact"/>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9"/>
              </w:rPr>
              <w:t>November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1"/>
              </w:rPr>
              <w:t>November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1,198,589</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406,693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103,267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97,916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208,486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Amortization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62,177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29,759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income from joint ventures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(1,741,328)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(1,274,004)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25,242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received from joint ventures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Changes in current assets and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Receivables: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Arial" w:cs="Arial" w:eastAsia="Arial" w:hAnsi="Arial"/>
                <w:sz w:val="18"/>
                <w:szCs w:val="18"/>
                <w:color w:val="auto"/>
              </w:rPr>
              <w:t>Trade, excluding joint ventures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(1,364,409)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(762,525)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Trade, joint ventures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171,099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Arial" w:cs="Arial" w:eastAsia="Arial" w:hAnsi="Arial"/>
                <w:sz w:val="18"/>
                <w:szCs w:val="18"/>
                <w:color w:val="auto"/>
              </w:rPr>
              <w:t>Fees for services provided to joint ventures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(7,874)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(15,518)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(101,908)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(530,401)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274,437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(250,280)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1,278,940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378,397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tax payable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102,618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(102,314)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(622,696)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(172,691)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(1,429,783)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(924,426)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Additions to property and equipment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(87,250)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(112,589)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available for sale securities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Purchase of available for sale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patents</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(used in) provided by investing activities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(121,930)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327,105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received by non-controlling interest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Repurchase of common 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option exercises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12,481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32,955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(172,144)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(238,757)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(1,732,988)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(866,134)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6,360,201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3,395,274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4,627,213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2,529,140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bottom w:val="single" w:sz="8" w:color="CCEEFF"/>
            </w:tcBorders>
            <w:vMerge w:val="restart"/>
          </w:tcPr>
          <w:p>
            <w:pPr>
              <w:jc w:val="center"/>
              <w:ind w:left="3310"/>
              <w:spacing w:after="0"/>
              <w:rPr>
                <w:sz w:val="20"/>
                <w:szCs w:val="20"/>
                <w:color w:val="auto"/>
              </w:rPr>
            </w:pPr>
            <w:r>
              <w:rPr>
                <w:rFonts w:ascii="Arial" w:cs="Arial" w:eastAsia="Arial" w:hAnsi="Arial"/>
                <w:sz w:val="18"/>
                <w:szCs w:val="18"/>
                <w:color w:val="auto"/>
                <w:w w:val="88"/>
              </w:rPr>
              <w:t>See notes to consolidated financial statements.</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7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0" w:type="dxa"/>
            <w:vAlign w:val="bottom"/>
            <w:gridSpan w:val="2"/>
          </w:tcPr>
          <w:p>
            <w:pPr>
              <w:jc w:val="right"/>
              <w:ind w:right="21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9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3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7" w:name="page8"/>
    <w:bookmarkEnd w:id="7"/>
    <w:p>
      <w:pPr>
        <w:ind w:right="412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November 30, 2017 and August 31, 2017 and the results of their operations for the three months ended November 30, 2017 and 2016 and their cash flows for the three months ended November 30, 2017 and 2016, in conformity with accounting principles generally accepted in the United States of America (U.S. GAAP).</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These consolidated financial statements should be read in conjunction with the consolidated financial statements and related notes contained in the Company’s annual report on Form 10-K for the fiscal year ended August 31, 2017. These consolidated financial statements also should be read in conjunction with the “Management’s Discussion and Analysis of Financial Condition and Results of Operations” section appearing in this report.</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Operating results for the three months ended November 30, 2017 are not necessarily indicative of the results that may be expected for the full fiscal year ending August 31, 2018.</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evaluates events occurring after the date of the consolidated financial statements requiring recording or disclosure in the consolidated financial statements.</w:t>
      </w:r>
    </w:p>
    <w:p>
      <w:pPr>
        <w:spacing w:after="0" w:line="166"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Adopted</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July 2015, the Financial Accounting Standards Board (FASB) issued Accounting Standards Update (ASU) No. 2015-11, “</w:t>
      </w:r>
      <w:r>
        <w:rPr>
          <w:rFonts w:ascii="Arial" w:cs="Arial" w:eastAsia="Arial" w:hAnsi="Arial"/>
          <w:sz w:val="17"/>
          <w:szCs w:val="17"/>
          <w:i w:val="1"/>
          <w:iCs w:val="1"/>
          <w:color w:val="auto"/>
        </w:rPr>
        <w:t>Inventory</w:t>
      </w:r>
      <w:r>
        <w:rPr>
          <w:rFonts w:ascii="Arial" w:cs="Arial" w:eastAsia="Arial" w:hAnsi="Arial"/>
          <w:sz w:val="17"/>
          <w:szCs w:val="17"/>
          <w:color w:val="auto"/>
        </w:rPr>
        <w:t>,” which modifies the subsequent measurement of inventories recorded under a first-in-first-out or average cost method. Under the new standard, such inventories are required to be measured at the lower of cost and net realizable value. The Company has adopted this new standard in the first quarter of fiscal 2018 on a prospective basis. The adoption of this standard did not have a material impact on the Company’s consolidated financial statements.</w:t>
      </w:r>
    </w:p>
    <w:p>
      <w:pPr>
        <w:spacing w:after="0" w:line="17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March 2016, the FASB issued ASU No. 2016-07, “</w:t>
      </w:r>
      <w:r>
        <w:rPr>
          <w:rFonts w:ascii="Arial" w:cs="Arial" w:eastAsia="Arial" w:hAnsi="Arial"/>
          <w:sz w:val="17"/>
          <w:szCs w:val="17"/>
          <w:i w:val="1"/>
          <w:iCs w:val="1"/>
          <w:color w:val="auto"/>
        </w:rPr>
        <w:t>Investments – Equity Method and Joint Ventures (Topic 323): Simplifying the Transition to the Equity</w:t>
      </w:r>
      <w:r>
        <w:rPr>
          <w:rFonts w:ascii="Arial" w:cs="Arial" w:eastAsia="Arial" w:hAnsi="Arial"/>
          <w:sz w:val="17"/>
          <w:szCs w:val="17"/>
          <w:color w:val="auto"/>
        </w:rPr>
        <w:t xml:space="preserve"> </w:t>
      </w:r>
      <w:r>
        <w:rPr>
          <w:rFonts w:ascii="Arial" w:cs="Arial" w:eastAsia="Arial" w:hAnsi="Arial"/>
          <w:sz w:val="17"/>
          <w:szCs w:val="17"/>
          <w:i w:val="1"/>
          <w:iCs w:val="1"/>
          <w:color w:val="auto"/>
        </w:rPr>
        <w:t>Method of Accounting</w:t>
      </w:r>
      <w:r>
        <w:rPr>
          <w:rFonts w:ascii="Arial" w:cs="Arial" w:eastAsia="Arial" w:hAnsi="Arial"/>
          <w:sz w:val="17"/>
          <w:szCs w:val="17"/>
          <w:color w:val="auto"/>
        </w:rPr>
        <w:t>.” Among other things, the amendments in ASU 2016-07 eliminate the requirement that when an investment qualifies for use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equity method as a result of an increase in the level of ownership interest or degree of influence, an investor must adjust the investment, results of operations, and retained earnings retroactively on a step-by-step basis as if the equity method had been in effect during all previous periods that the investment had been held.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Therefore, upon qualifying for the equity method of accounting, no retroactive adjustment of the investment is required. The amendments require that an entity that has an available-for-sale equity security that becomes qualified for the equity method of accounting recognize through earnings the unrealized holding gain or loss in accumulated other comprehensive income at the date the investment becomes qualified for use of the equity method. The Company adopted this new standard in the first quarter of fiscal 2018 on a prospective basis. The adoption of this standard did not have a material impact on the Company’s consolidated financial statements.</w:t>
      </w:r>
    </w:p>
    <w:p>
      <w:pPr>
        <w:spacing w:after="0" w:line="18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Stock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(Topic 718)</w:t>
      </w:r>
      <w:r>
        <w:rPr>
          <w:rFonts w:ascii="Arial" w:cs="Arial" w:eastAsia="Arial" w:hAnsi="Arial"/>
          <w:sz w:val="18"/>
          <w:szCs w:val="18"/>
          <w:color w:val="auto"/>
        </w:rPr>
        <w:t>, which is intended to simplify several aspects of the accounting for share-based payment award transactions. The Company adopted this new guidance in the first quarter of fiscal 2018. The adoption of this guidance did not have a material effect on the Company’s consolidated results of operations and financial position.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May 2014, the FASB issued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No. 2014-09), which provides a framework for the recognition of revenue, with the objective that recognized revenues properly reflect amounts an entity is entitled to receive in exchange for goods and services. This guidance, which includes additional disclosure requirements regarding revenue, cash flows and obligations related to contracts with customers, was originally to be effective for the Company beginning in fiscal year 2018. In July 2015, the FASB confirmed a one-year deferral of the effective date of the new revenue standard which also allows early adoption as of the original effective date. The updated guidance will be effective for the Company’s first quarter of 2019. The Company is currently evaluating the impact of adopting ASU 2014-09 on its consolidated financial statements, but currently believes that the timeline established for implementation is attainable.</w:t>
      </w:r>
    </w:p>
    <w:p>
      <w:pPr>
        <w:spacing w:after="0" w:line="18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During February 2016,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ASU No. 2016-02 was issued to increase transparency and comparability among organizations by recognizing all lease transactions (with terms in excess of 12 months) on the balance sheet as a lease liability and a right-of-use asset (as defined). ASU No. 2016-02 is effective for fiscal years beginning after December 15, 2018, including interim periods within those fiscal years, with earlier application permitted. Upon adoption, the lessee will apply the new standard retrospectively to all periods presented or retrospectively using a cumulative effect adjustment in the year of adoption. The guidance will be effective for the Company’s first quarter of 2020. The Company is currently assessing the effect that ASU No. 2016-02 will have on its consolidated financial statements.</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xml:space="preserve"> ASU 2016-15 eliminates the diversity in practice related to the classification of certain cash receipts and payments for debt prepayments or extinguishment costs, the maturing of a zero coupon bond, the settlement of contingent liabilities arising from a business combination, proceeds from insurance settlements, distributions from certain equity method investees and beneficial interests obtained in a financial asset securitization. ASU 2016-15 designates the appropriate cash flow classification, including requirements to allocate certain components of these cash receipts and payments among operating, investing and financing activities. The guidance is effective for fiscal years beginning December 15, 2017. Early adoption is permitted. The Company is currently evaluating the effects of adopting ASU 2016-15 on its consolidated financial statements, but the adoption is not expected to have a significant impact on its consolidated financial statements.</w:t>
      </w:r>
    </w:p>
    <w:p>
      <w:pPr>
        <w:spacing w:after="0" w:line="19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3920" w:type="dxa"/>
            <w:vAlign w:val="bottom"/>
          </w:tcPr>
          <w:p>
            <w:pPr>
              <w:ind w:left="160"/>
              <w:spacing w:after="0"/>
              <w:rPr>
                <w:sz w:val="20"/>
                <w:szCs w:val="20"/>
                <w:color w:val="auto"/>
              </w:rPr>
            </w:pPr>
            <w:r>
              <w:rPr>
                <w:rFonts w:ascii="Arial" w:cs="Arial" w:eastAsia="Arial" w:hAnsi="Arial"/>
                <w:sz w:val="18"/>
                <w:szCs w:val="18"/>
                <w:b w:val="1"/>
                <w:bCs w:val="1"/>
                <w:color w:val="auto"/>
              </w:rPr>
              <w:t>INVENTORIES</w:t>
            </w:r>
          </w:p>
        </w:tc>
        <w:tc>
          <w:tcPr>
            <w:tcW w:w="3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3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00" w:type="dxa"/>
            <w:vAlign w:val="bottom"/>
            <w:tcBorders>
              <w:bottom w:val="single" w:sz="8" w:color="CCEEFF"/>
            </w:tcBorders>
          </w:tcPr>
          <w:p>
            <w:pPr>
              <w:spacing w:after="0"/>
              <w:rPr>
                <w:sz w:val="24"/>
                <w:szCs w:val="24"/>
                <w:color w:val="auto"/>
              </w:rPr>
            </w:pPr>
          </w:p>
        </w:tc>
        <w:tc>
          <w:tcPr>
            <w:tcW w:w="3920" w:type="dxa"/>
            <w:vAlign w:val="bottom"/>
            <w:tcBorders>
              <w:bottom w:val="single" w:sz="8" w:color="CCEEFF"/>
            </w:tcBorders>
          </w:tcPr>
          <w:p>
            <w:pPr>
              <w:spacing w:after="0"/>
              <w:rPr>
                <w:sz w:val="24"/>
                <w:szCs w:val="24"/>
                <w:color w:val="auto"/>
              </w:rPr>
            </w:pPr>
          </w:p>
        </w:tc>
        <w:tc>
          <w:tcPr>
            <w:tcW w:w="39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November 30, 2017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August 31, 2017</w:t>
            </w:r>
          </w:p>
        </w:tc>
        <w:tc>
          <w:tcPr>
            <w:tcW w:w="0" w:type="dxa"/>
            <w:vAlign w:val="bottom"/>
          </w:tcPr>
          <w:p>
            <w:pPr>
              <w:spacing w:after="0"/>
              <w:rPr>
                <w:sz w:val="1"/>
                <w:szCs w:val="1"/>
                <w:color w:val="auto"/>
              </w:rPr>
            </w:pPr>
          </w:p>
        </w:tc>
      </w:tr>
      <w:tr>
        <w:trPr>
          <w:trHeight w:val="210"/>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39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1,851,735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1,747,189</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Finished goods</w:t>
            </w:r>
          </w:p>
        </w:tc>
        <w:tc>
          <w:tcPr>
            <w:tcW w:w="39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6,117,593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5,709,363</w:t>
            </w:r>
          </w:p>
        </w:tc>
        <w:tc>
          <w:tcPr>
            <w:tcW w:w="0" w:type="dxa"/>
            <w:vAlign w:val="bottom"/>
          </w:tcPr>
          <w:p>
            <w:pPr>
              <w:spacing w:after="0"/>
              <w:rPr>
                <w:sz w:val="1"/>
                <w:szCs w:val="1"/>
                <w:color w:val="auto"/>
              </w:rPr>
            </w:pPr>
          </w:p>
        </w:tc>
      </w:tr>
      <w:tr>
        <w:trPr>
          <w:trHeight w:val="223"/>
        </w:trPr>
        <w:tc>
          <w:tcPr>
            <w:tcW w:w="300" w:type="dxa"/>
            <w:vAlign w:val="bottom"/>
            <w:tcBorders>
              <w:bottom w:val="single" w:sz="8" w:color="CCEEFF"/>
            </w:tcBorders>
            <w:shd w:val="clear" w:color="auto" w:fill="CCEEFF"/>
          </w:tcPr>
          <w:p>
            <w:pPr>
              <w:spacing w:after="0"/>
              <w:rPr>
                <w:sz w:val="19"/>
                <w:szCs w:val="19"/>
                <w:color w:val="auto"/>
              </w:rPr>
            </w:pPr>
          </w:p>
        </w:tc>
        <w:tc>
          <w:tcPr>
            <w:tcW w:w="39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7,969,328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7,456,552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900" w:type="dxa"/>
            <w:vAlign w:val="bottom"/>
            <w:vMerge w:val="restart"/>
          </w:tcPr>
          <w:p>
            <w:pPr>
              <w:jc w:val="right"/>
              <w:ind w:right="2270"/>
              <w:spacing w:after="0"/>
              <w:rPr>
                <w:sz w:val="20"/>
                <w:szCs w:val="20"/>
                <w:color w:val="auto"/>
              </w:rPr>
            </w:pPr>
            <w:r>
              <w:rPr>
                <w:rFonts w:ascii="Arial" w:cs="Arial" w:eastAsia="Arial" w:hAnsi="Arial"/>
                <w:sz w:val="18"/>
                <w:szCs w:val="18"/>
                <w:color w:val="auto"/>
              </w:rPr>
              <w:t>6</w:t>
            </w: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00" w:type="dxa"/>
            <w:vAlign w:val="bottom"/>
            <w:shd w:val="clear" w:color="auto" w:fill="000000"/>
          </w:tcPr>
          <w:p>
            <w:pPr>
              <w:spacing w:after="0"/>
              <w:rPr>
                <w:sz w:val="5"/>
                <w:szCs w:val="5"/>
                <w:color w:val="auto"/>
              </w:rPr>
            </w:pPr>
          </w:p>
        </w:tc>
        <w:tc>
          <w:tcPr>
            <w:tcW w:w="3920" w:type="dxa"/>
            <w:vAlign w:val="bottom"/>
            <w:shd w:val="clear" w:color="auto" w:fill="000000"/>
          </w:tcPr>
          <w:p>
            <w:pPr>
              <w:spacing w:after="0"/>
              <w:rPr>
                <w:sz w:val="5"/>
                <w:szCs w:val="5"/>
                <w:color w:val="auto"/>
              </w:rPr>
            </w:pPr>
          </w:p>
        </w:tc>
        <w:tc>
          <w:tcPr>
            <w:tcW w:w="390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4.</w:t>
            </w:r>
          </w:p>
        </w:tc>
        <w:tc>
          <w:tcPr>
            <w:tcW w:w="8100" w:type="dxa"/>
            <w:vAlign w:val="bottom"/>
            <w:gridSpan w:val="2"/>
          </w:tcPr>
          <w:p>
            <w:pPr>
              <w:jc w:val="right"/>
              <w:ind w:right="4950"/>
              <w:spacing w:after="0"/>
              <w:rPr>
                <w:sz w:val="20"/>
                <w:szCs w:val="20"/>
                <w:color w:val="auto"/>
              </w:rPr>
            </w:pPr>
            <w:r>
              <w:rPr>
                <w:rFonts w:ascii="Arial" w:cs="Arial" w:eastAsia="Arial" w:hAnsi="Arial"/>
                <w:sz w:val="18"/>
                <w:szCs w:val="18"/>
                <w:b w:val="1"/>
                <w:bCs w:val="1"/>
                <w:color w:val="auto"/>
              </w:rPr>
              <w:t>PROPERTY AND EQUIPMENT, NET</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32"/>
        </w:trPr>
        <w:tc>
          <w:tcPr>
            <w:tcW w:w="8520" w:type="dxa"/>
            <w:vAlign w:val="bottom"/>
            <w:gridSpan w:val="3"/>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46"/>
        </w:trPr>
        <w:tc>
          <w:tcPr>
            <w:tcW w:w="4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November 30, 2017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August 31, 2017</w:t>
            </w:r>
          </w:p>
        </w:tc>
      </w:tr>
      <w:tr>
        <w:trPr>
          <w:trHeight w:val="210"/>
        </w:trPr>
        <w:tc>
          <w:tcPr>
            <w:tcW w:w="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Land</w:t>
            </w:r>
          </w:p>
        </w:tc>
        <w:tc>
          <w:tcPr>
            <w:tcW w:w="77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310,365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r>
      <w:tr>
        <w:trPr>
          <w:trHeight w:val="216"/>
        </w:trPr>
        <w:tc>
          <w:tcPr>
            <w:tcW w:w="8520" w:type="dxa"/>
            <w:vAlign w:val="bottom"/>
            <w:gridSpan w:val="3"/>
          </w:tcPr>
          <w:p>
            <w:pPr>
              <w:spacing w:after="0"/>
              <w:rPr>
                <w:sz w:val="20"/>
                <w:szCs w:val="20"/>
                <w:color w:val="auto"/>
              </w:rPr>
            </w:pPr>
            <w:r>
              <w:rPr>
                <w:rFonts w:ascii="Arial" w:cs="Arial" w:eastAsia="Arial" w:hAnsi="Arial"/>
                <w:sz w:val="18"/>
                <w:szCs w:val="18"/>
                <w:color w:val="auto"/>
              </w:rPr>
              <w:t>Buildings and improvements</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6,855,488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6,847,177</w:t>
            </w:r>
          </w:p>
        </w:tc>
      </w:tr>
      <w:tr>
        <w:trPr>
          <w:trHeight w:val="230"/>
        </w:trPr>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4,246,967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4,171,387</w:t>
            </w:r>
          </w:p>
        </w:tc>
      </w:tr>
      <w:tr>
        <w:trPr>
          <w:trHeight w:val="210"/>
        </w:trPr>
        <w:tc>
          <w:tcPr>
            <w:tcW w:w="4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11,412,820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11,328,929</w:t>
            </w:r>
          </w:p>
        </w:tc>
      </w:tr>
      <w:tr>
        <w:trPr>
          <w:trHeight w:val="230"/>
        </w:trPr>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(4,177,519)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(3,969,267)</w:t>
            </w:r>
          </w:p>
        </w:tc>
      </w:tr>
      <w:tr>
        <w:trPr>
          <w:trHeight w:val="223"/>
        </w:trPr>
        <w:tc>
          <w:tcPr>
            <w:tcW w:w="4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7,235,301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7,359,662</w:t>
            </w:r>
          </w:p>
        </w:tc>
      </w:tr>
      <w:tr>
        <w:trPr>
          <w:trHeight w:val="20"/>
        </w:trPr>
        <w:tc>
          <w:tcPr>
            <w:tcW w:w="4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5.   PATENTS AND TRADEMARKS, NET</w:t>
            </w:r>
          </w:p>
        </w:tc>
        <w:tc>
          <w:tcPr>
            <w:tcW w:w="2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32"/>
        </w:trPr>
        <w:tc>
          <w:tcPr>
            <w:tcW w:w="6040" w:type="dxa"/>
            <w:vAlign w:val="bottom"/>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2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46"/>
        </w:trPr>
        <w:tc>
          <w:tcPr>
            <w:tcW w:w="604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November 30, 2017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August 31, 2017</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0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2,769,382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2,737,959</w:t>
            </w:r>
          </w:p>
        </w:tc>
      </w:tr>
      <w:tr>
        <w:trPr>
          <w:trHeight w:val="230"/>
        </w:trPr>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20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(1,478,047)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(1,415,870)</w:t>
            </w:r>
          </w:p>
        </w:tc>
      </w:tr>
      <w:tr>
        <w:trPr>
          <w:trHeight w:val="223"/>
        </w:trPr>
        <w:tc>
          <w:tcPr>
            <w:tcW w:w="604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1,291,335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1,322,089</w:t>
            </w:r>
          </w:p>
        </w:tc>
      </w:tr>
      <w:tr>
        <w:trPr>
          <w:trHeight w:val="20"/>
        </w:trPr>
        <w:tc>
          <w:tcPr>
            <w:tcW w:w="6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$240,000 in each of the next five fiscal years.</w:t>
      </w:r>
    </w:p>
    <w:p>
      <w:pPr>
        <w:spacing w:after="0" w:line="17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29"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recorded that remain on the balance sheet on sales from the Company to its joint ventures and from joint ventures to other joint ventures have been eliminated for financial reporting purposes.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Financial information from the audited and unaudited financial statements of the Company’s joint ventures in Germany, Excor Korrosionsschutz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Technologien und Produkte GmbH (EXCOR) and all the Company’s other joint ventures,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0"/>
              </w:rPr>
              <w:t>As of November 30, 2017</w:t>
            </w:r>
          </w:p>
        </w:tc>
        <w:tc>
          <w:tcPr>
            <w:tcW w:w="132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EXCOR</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57,249,505</w:t>
            </w: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25,234,973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32,014,532</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61,290,726</w:t>
            </w:r>
          </w:p>
        </w:tc>
        <w:tc>
          <w:tcPr>
            <w:tcW w:w="4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27,337,417</w:t>
            </w:r>
          </w:p>
        </w:tc>
        <w:tc>
          <w:tcPr>
            <w:tcW w:w="3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33,953,309</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17,410,457</w:t>
            </w: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4,987,804</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12,422,653</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184,251</w:t>
            </w:r>
          </w:p>
        </w:tc>
        <w:tc>
          <w:tcPr>
            <w:tcW w:w="4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184,251</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43,696,018</w:t>
            </w: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22,349,613</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21,346,405</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21,701,913</w:t>
            </w:r>
          </w:p>
        </w:tc>
        <w:tc>
          <w:tcPr>
            <w:tcW w:w="4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11,174,808</w:t>
            </w:r>
          </w:p>
        </w:tc>
        <w:tc>
          <w:tcPr>
            <w:tcW w:w="3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10,527,105</w:t>
            </w:r>
          </w:p>
        </w:tc>
      </w:tr>
      <w:tr>
        <w:trPr>
          <w:trHeight w:val="202"/>
        </w:trPr>
        <w:tc>
          <w:tcPr>
            <w:tcW w:w="6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 ventures’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undistributed earnings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19,590,029</w:t>
            </w: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11,143,903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8,446,126</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 dividends received from joint</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ventures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63,937</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63,937</w:t>
            </w:r>
          </w:p>
        </w:tc>
      </w:tr>
      <w:tr>
        <w:trPr>
          <w:trHeight w:val="648"/>
        </w:trPr>
        <w:tc>
          <w:tcPr>
            <w:tcW w:w="6400" w:type="dxa"/>
            <w:vAlign w:val="bottom"/>
          </w:tcPr>
          <w:p>
            <w:pPr>
              <w:ind w:left="566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68"/>
        </w:trPr>
        <w:tc>
          <w:tcPr>
            <w:tcW w:w="64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88"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5"/>
          </w:tcPr>
          <w:p>
            <w:pPr>
              <w:jc w:val="right"/>
              <w:ind w:right="830"/>
              <w:spacing w:after="0"/>
              <w:rPr>
                <w:sz w:val="20"/>
                <w:szCs w:val="20"/>
                <w:color w:val="auto"/>
              </w:rPr>
            </w:pPr>
            <w:r>
              <w:rPr>
                <w:rFonts w:ascii="Arial" w:cs="Arial" w:eastAsia="Arial" w:hAnsi="Arial"/>
                <w:sz w:val="18"/>
                <w:szCs w:val="18"/>
                <w:b w:val="1"/>
                <w:bCs w:val="1"/>
                <w:color w:val="auto"/>
              </w:rPr>
              <w:t>Three Months Ended November 30, 2017</w:t>
            </w: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EXCOR</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28,498,711</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11,026,514</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17,472,197</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12,788,122</w:t>
            </w:r>
          </w:p>
        </w:tc>
        <w:tc>
          <w:tcPr>
            <w:tcW w:w="3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5,933,526</w:t>
            </w:r>
          </w:p>
        </w:tc>
        <w:tc>
          <w:tcPr>
            <w:tcW w:w="3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6,854,596</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3,499,815</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2,483,800</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1,016,015</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w w:val="99"/>
              </w:rPr>
              <w:t>Northern Technologies International Corporation’s share of equity in income from</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1,741,328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1,241,900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499,428</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As of August 31, 2017</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EXCOR</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51,518,210</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22,142,514</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29,375,696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55,633,891</w:t>
            </w:r>
          </w:p>
        </w:tc>
        <w:tc>
          <w:tcPr>
            <w:tcW w:w="42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24,301,194</w:t>
            </w:r>
          </w:p>
        </w:tc>
        <w:tc>
          <w:tcPr>
            <w:tcW w:w="3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31,332,697</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15,118,074</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4,469,567</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10,648,507</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181,210</w:t>
            </w:r>
          </w:p>
        </w:tc>
        <w:tc>
          <w:tcPr>
            <w:tcW w:w="42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181,210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40,334,607</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19,831,627</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20,502,980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3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20,035,074</w:t>
            </w:r>
          </w:p>
        </w:tc>
        <w:tc>
          <w:tcPr>
            <w:tcW w:w="42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9,915,816</w:t>
            </w:r>
          </w:p>
        </w:tc>
        <w:tc>
          <w:tcPr>
            <w:tcW w:w="3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10,119,258</w:t>
            </w:r>
          </w:p>
        </w:tc>
      </w:tr>
      <w:tr>
        <w:trPr>
          <w:trHeight w:val="202"/>
        </w:trPr>
        <w:tc>
          <w:tcPr>
            <w:tcW w:w="6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  ventures’</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undistributed earnings</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17,960,860</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9,884,911</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8,075,949</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 dividends received from joint</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ventures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6,377,054</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5,379,062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997,992</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5"/>
          </w:tcPr>
          <w:p>
            <w:pPr>
              <w:jc w:val="right"/>
              <w:ind w:right="830"/>
              <w:spacing w:after="0"/>
              <w:rPr>
                <w:sz w:val="20"/>
                <w:szCs w:val="20"/>
                <w:color w:val="auto"/>
              </w:rPr>
            </w:pPr>
            <w:r>
              <w:rPr>
                <w:rFonts w:ascii="Arial" w:cs="Arial" w:eastAsia="Arial" w:hAnsi="Arial"/>
                <w:sz w:val="18"/>
                <w:szCs w:val="18"/>
                <w:b w:val="1"/>
                <w:bCs w:val="1"/>
                <w:color w:val="auto"/>
              </w:rPr>
              <w:t>Three Months Ended November 30, 2016</w:t>
            </w: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EXCOR</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24,200,447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9,208,524</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14,991,923</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10,697,027</w:t>
            </w:r>
          </w:p>
        </w:tc>
        <w:tc>
          <w:tcPr>
            <w:tcW w:w="3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4,894,179</w:t>
            </w:r>
          </w:p>
        </w:tc>
        <w:tc>
          <w:tcPr>
            <w:tcW w:w="3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5,802,848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2,408,008</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1,856,338</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551,670</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w w:val="99"/>
              </w:rPr>
              <w:t>Northern Technologies International Corporation’s share of equity in income from</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1,274,004</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928,169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345,835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any joint venture investments during the three months ended November 30, 2017 or 2016.</w:t>
      </w:r>
    </w:p>
    <w:p>
      <w:pPr>
        <w:spacing w:after="0" w:line="22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has a revolving line of credit with PNC Bank, National Association (PNC Bank) of $3,000,000. No amounts were outstanding under the line of credit as of both November 30, 2017 and August 31, 2017. At the option of the Company, outstanding advances under the line of credit bear interest at either</w:t>
      </w:r>
    </w:p>
    <w:p>
      <w:pPr>
        <w:ind w:right="320" w:firstLine="8"/>
        <w:spacing w:after="0" w:line="261" w:lineRule="auto"/>
        <w:tabs>
          <w:tab w:leader="none" w:pos="24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annual rate based on LIBOR plus 2.15% for the applicable LIBOR interest period selected by the Company or (b) at the rate publicly announced by PNC Bank from time to time as its prime rate.</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line of credit is governed under a loan agreement.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November 30, 2017, the Company was in compliance with all debt covenants.</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revolving credit facility allows the Company to request that PNC Bank issue letters of credit up to $1,200,000. The Company did not have any letters of credit reserved against the available letters of credit balance as of November 30, 2017 and August 31, 2017 with PNC Bank. The availability of advances under the line of credit will be reduced by the face amount of any letter of credit issued and outstanding (whether or not drawn) under the revolving credit facility.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1" w:name="page12"/>
    <w:bookmarkEnd w:id="11"/>
    <w:p>
      <w:pPr>
        <w:ind w:right="60"/>
        <w:spacing w:after="0" w:line="277" w:lineRule="auto"/>
        <w:rPr>
          <w:sz w:val="20"/>
          <w:szCs w:val="20"/>
          <w:color w:val="auto"/>
        </w:rPr>
      </w:pPr>
      <w:r>
        <w:rPr>
          <w:rFonts w:ascii="Arial" w:cs="Arial" w:eastAsia="Arial" w:hAnsi="Arial"/>
          <w:sz w:val="18"/>
          <w:szCs w:val="18"/>
          <w:color w:val="auto"/>
        </w:rPr>
        <w:t>As of November 30, 2017 and August 31, 2017, the Company had $88,831 and $89,543, respectively, of letters of credit with JP Morgan Chase Bank that are performance based and set to expire between 2020 and 2022.</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January 5, 2018, the Company and PNC Bank extended the maturity date of the line of credit to January 7, 2019. All other terms of the line of credit and the loan agreement and other documents evidencing the line of credit remain the same.</w:t>
      </w:r>
    </w:p>
    <w:p>
      <w:pPr>
        <w:spacing w:after="0" w:line="16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On November 20, 2017, the Company’s Board of Directors declared a cash dividend of $0.10 per share of the Company’s common stock, payable on December 21, 2017 to stockholders of record on December 8, 2017.</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During the three months ended November 30, 2017, the Company repurchased no shares of its common stock. During the three months ended November 30, 2017, stock options to purchase an aggregate of 1,500 shares of common stock were exercised at a weighted average exercise price of $10.25 per share.</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granted stock options under the Northern Technologies International Corporation Amended and Restated 2007 Stock Incentive Plan (the 2007 Plan) to purchase an aggregate of 47,252 shares of its common stock to various employees and directors during the three months ended November 30, 2017. The weighted average per share exercise price of the stock options is $18.35, which was equal to the fair market value of the Company’s common stock on the date of grant.</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three months ended November 30, 2016, the Company repurchased and retired 5,575 shares of its common stock at a price of $12.87 per share. No stock options to purchase shares of common stock were exercised during the three months ended November 30, 2016.</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issued 891 and 3,029 shares of common stock on September 1, 2017 and 2016, respectively, under the Northern Technologies International Corporation Employee Stock Purchase Plan (the ESPP).</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granted stock options under the 2007 Plan to purchase an aggregate of 56,677 shares of its common stock to various employees and directors during the three months ended November 30, 2016. The weighted average per share exercise price of the stock options is $13.40, which is equal to the fair market value of the Company’s common stock on the date of grant.</w:t>
      </w:r>
    </w:p>
    <w:p>
      <w:pPr>
        <w:spacing w:after="0" w:line="17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earnings per share computation for the three months ended November 30, 2017 and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324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November 30, 2017</w:t>
            </w:r>
          </w:p>
        </w:tc>
        <w:tc>
          <w:tcPr>
            <w:tcW w:w="1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November 30,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3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1,083,626</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297,639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Basic – weighted shares outstanding</w:t>
            </w:r>
          </w:p>
        </w:tc>
        <w:tc>
          <w:tcPr>
            <w:tcW w:w="3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4,537,368</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87"/>
              </w:rPr>
              <w:t>4,531,950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3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71,420</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26,928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 weighted shares outstanding</w:t>
            </w:r>
          </w:p>
        </w:tc>
        <w:tc>
          <w:tcPr>
            <w:tcW w:w="3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4,608,788</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4,558,878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6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0.24</w:t>
            </w:r>
          </w:p>
        </w:tc>
        <w:tc>
          <w:tcPr>
            <w:tcW w:w="8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240" w:type="dxa"/>
            <w:vAlign w:val="bottom"/>
          </w:tcPr>
          <w:p>
            <w:pPr>
              <w:jc w:val="right"/>
              <w:ind w:right="2270"/>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860" w:type="dxa"/>
            <w:vAlign w:val="bottom"/>
            <w:shd w:val="clear" w:color="auto" w:fill="000000"/>
          </w:tcPr>
          <w:p>
            <w:pPr>
              <w:spacing w:after="0"/>
              <w:rPr>
                <w:sz w:val="5"/>
                <w:szCs w:val="5"/>
                <w:color w:val="auto"/>
              </w:rPr>
            </w:pPr>
          </w:p>
        </w:tc>
        <w:tc>
          <w:tcPr>
            <w:tcW w:w="324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2" w:name="page13"/>
    <w:bookmarkEnd w:id="12"/>
    <w:p>
      <w:pPr>
        <w:ind w:right="180"/>
        <w:spacing w:after="0" w:line="259" w:lineRule="auto"/>
        <w:rPr>
          <w:sz w:val="20"/>
          <w:szCs w:val="20"/>
          <w:color w:val="auto"/>
        </w:rPr>
      </w:pPr>
      <w:r>
        <w:rPr>
          <w:rFonts w:ascii="Arial" w:cs="Arial" w:eastAsia="Arial" w:hAnsi="Arial"/>
          <w:sz w:val="18"/>
          <w:szCs w:val="18"/>
          <w:color w:val="auto"/>
        </w:rPr>
        <w:t>The dilutive impact summarized above relates to the periods when the average market price of the Company’s common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w:t>
      </w:r>
    </w:p>
    <w:p>
      <w:pPr>
        <w:spacing w:after="0" w:line="18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Excluded from the computation of diluted income per share for the three months ended November 30, 2017 were options outstanding to purchase 92,319 shares of common stock. Excluded from the computation of diluted earnings per share for the three months ended November 30, 2016 were options outstanding to purchase 211,564 shares of common stock.</w:t>
      </w:r>
    </w:p>
    <w:p>
      <w:pPr>
        <w:spacing w:after="0" w:line="177"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has two stock-based compensation plans under which stock options and other stock-based awards have been granted, the Northern Technologies International Corporation Amended and Restated 2007 Stock Incentive Plan and the Northern Technologies International Corporation Employee Stock Purchase Plan. The Compensation Committee of the Board of Directors and the Board of Directors administer these plans.</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ten years and become exercisable over a three- or four-year period beginning on the one-year anniversary of the date of grant. Options are granted at per share exercise prices equal to the market value of the Company’s common stock on the date of grant. The Company issues new shares upon the exercise of options. As of November 30, 2017, only stock options and stock bonuses had been granted under the 2007 Plan.</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Company granted options to purchase an aggregate of 47,252 and 56,677 shares of its common stock during the three months ended November 30, 2017</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2016, respectively. The fair value of option grants is determined at date of grant, using the Black-Scholes option pricing model with the assumptions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listed below. The Company recognized compensation expense of $103,267 and $97,916 during the three months ended November 30, 2017 and 2016,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respectively, related to the options that vested during such time period. As of November 30, 2017, the total compensation cost for nonvested options not yet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recognized in the Company’s consolidated statements of operations was $528,936, net of estimated forfeitures. Stock-based compensation expense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$309,801 is expected through the remainder of fiscal year 2018, and $153,901 and $65,234 is expected to be recognized during fiscal 2019 and fiscal 2020,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based on outstanding options as of November 30, 2017. Future option grants will impact the compensation expense recognized. Stock-based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 is included in general and administrative expense on the consolidated statements of operations.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3" w:name="page14"/>
    <w:bookmarkEnd w:id="13"/>
    <w:p>
      <w:pPr>
        <w:ind w:right="4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 pricing model with the following assumptions and results for the grants: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November 30,</w:t>
            </w:r>
          </w:p>
        </w:tc>
      </w:tr>
      <w:tr>
        <w:trPr>
          <w:trHeight w:val="210"/>
        </w:trPr>
        <w:tc>
          <w:tcPr>
            <w:tcW w:w="5940" w:type="dxa"/>
            <w:vAlign w:val="bottom"/>
          </w:tcPr>
          <w:p>
            <w:pPr>
              <w:spacing w:after="0"/>
              <w:rPr>
                <w:sz w:val="18"/>
                <w:szCs w:val="18"/>
                <w:color w:val="auto"/>
              </w:rPr>
            </w:pPr>
          </w:p>
        </w:tc>
        <w:tc>
          <w:tcPr>
            <w:tcW w:w="182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2017</w:t>
            </w:r>
          </w:p>
        </w:tc>
        <w:tc>
          <w:tcPr>
            <w:tcW w:w="3660" w:type="dxa"/>
            <w:vAlign w:val="bottom"/>
            <w:gridSpan w:val="3"/>
          </w:tcPr>
          <w:p>
            <w:pPr>
              <w:jc w:val="center"/>
              <w:ind w:left="1130"/>
              <w:spacing w:after="0"/>
              <w:rPr>
                <w:sz w:val="20"/>
                <w:szCs w:val="20"/>
                <w:color w:val="auto"/>
              </w:rPr>
            </w:pPr>
            <w:r>
              <w:rPr>
                <w:rFonts w:ascii="Arial" w:cs="Arial" w:eastAsia="Arial" w:hAnsi="Arial"/>
                <w:sz w:val="18"/>
                <w:szCs w:val="18"/>
                <w:b w:val="1"/>
                <w:bCs w:val="1"/>
                <w:color w:val="auto"/>
                <w:w w:val="89"/>
              </w:rPr>
              <w:t>2016</w:t>
            </w: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820" w:type="dxa"/>
            <w:vAlign w:val="bottom"/>
            <w:tcBorders>
              <w:top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93"/>
              </w:rPr>
              <w:t>2.18%</w:t>
            </w:r>
          </w:p>
        </w:tc>
        <w:tc>
          <w:tcPr>
            <w:tcW w:w="6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0.00%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Expected volatility</w:t>
            </w:r>
          </w:p>
        </w:tc>
        <w:tc>
          <w:tcPr>
            <w:tcW w:w="1820" w:type="dxa"/>
            <w:vAlign w:val="bottom"/>
          </w:tcPr>
          <w:p>
            <w:pPr>
              <w:jc w:val="center"/>
              <w:ind w:left="530"/>
              <w:spacing w:after="0"/>
              <w:rPr>
                <w:sz w:val="20"/>
                <w:szCs w:val="20"/>
                <w:color w:val="auto"/>
              </w:rPr>
            </w:pPr>
            <w:r>
              <w:rPr>
                <w:rFonts w:ascii="Arial" w:cs="Arial" w:eastAsia="Arial" w:hAnsi="Arial"/>
                <w:sz w:val="18"/>
                <w:szCs w:val="18"/>
                <w:color w:val="auto"/>
                <w:w w:val="93"/>
              </w:rPr>
              <w:t>45.9%</w:t>
            </w:r>
          </w:p>
        </w:tc>
        <w:tc>
          <w:tcPr>
            <w:tcW w:w="3660" w:type="dxa"/>
            <w:vAlign w:val="bottom"/>
            <w:gridSpan w:val="3"/>
          </w:tcPr>
          <w:p>
            <w:pPr>
              <w:jc w:val="center"/>
              <w:ind w:left="1130"/>
              <w:spacing w:after="0"/>
              <w:rPr>
                <w:sz w:val="20"/>
                <w:szCs w:val="20"/>
                <w:color w:val="auto"/>
              </w:rPr>
            </w:pPr>
            <w:r>
              <w:rPr>
                <w:rFonts w:ascii="Arial" w:cs="Arial" w:eastAsia="Arial" w:hAnsi="Arial"/>
                <w:sz w:val="18"/>
                <w:szCs w:val="18"/>
                <w:color w:val="auto"/>
                <w:w w:val="93"/>
              </w:rPr>
              <w:t>46.4%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182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89"/>
              </w:rPr>
              <w:t>10</w:t>
            </w:r>
          </w:p>
        </w:tc>
        <w:tc>
          <w:tcPr>
            <w:tcW w:w="3660" w:type="dxa"/>
            <w:vAlign w:val="bottom"/>
            <w:gridSpan w:val="3"/>
            <w:shd w:val="clear" w:color="auto" w:fill="CCEEFF"/>
          </w:tcPr>
          <w:p>
            <w:pPr>
              <w:jc w:val="center"/>
              <w:ind w:left="1110"/>
              <w:spacing w:after="0"/>
              <w:rPr>
                <w:sz w:val="20"/>
                <w:szCs w:val="20"/>
                <w:color w:val="auto"/>
              </w:rPr>
            </w:pPr>
            <w:r>
              <w:rPr>
                <w:rFonts w:ascii="Arial" w:cs="Arial" w:eastAsia="Arial" w:hAnsi="Arial"/>
                <w:sz w:val="18"/>
                <w:szCs w:val="18"/>
                <w:color w:val="auto"/>
                <w:w w:val="89"/>
              </w:rPr>
              <w:t>10</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820" w:type="dxa"/>
            <w:vAlign w:val="bottom"/>
          </w:tcPr>
          <w:p>
            <w:pPr>
              <w:jc w:val="center"/>
              <w:ind w:left="530"/>
              <w:spacing w:after="0"/>
              <w:rPr>
                <w:sz w:val="20"/>
                <w:szCs w:val="20"/>
                <w:color w:val="auto"/>
              </w:rPr>
            </w:pPr>
            <w:r>
              <w:rPr>
                <w:rFonts w:ascii="Arial" w:cs="Arial" w:eastAsia="Arial" w:hAnsi="Arial"/>
                <w:sz w:val="18"/>
                <w:szCs w:val="18"/>
                <w:color w:val="auto"/>
                <w:w w:val="93"/>
              </w:rPr>
              <w:t>1.87%</w:t>
            </w:r>
          </w:p>
        </w:tc>
        <w:tc>
          <w:tcPr>
            <w:tcW w:w="3660" w:type="dxa"/>
            <w:vAlign w:val="bottom"/>
            <w:gridSpan w:val="3"/>
          </w:tcPr>
          <w:p>
            <w:pPr>
              <w:jc w:val="center"/>
              <w:ind w:left="1130"/>
              <w:spacing w:after="0"/>
              <w:rPr>
                <w:sz w:val="20"/>
                <w:szCs w:val="20"/>
                <w:color w:val="auto"/>
              </w:rPr>
            </w:pPr>
            <w:r>
              <w:rPr>
                <w:rFonts w:ascii="Arial" w:cs="Arial" w:eastAsia="Arial" w:hAnsi="Arial"/>
                <w:sz w:val="18"/>
                <w:szCs w:val="18"/>
                <w:color w:val="auto"/>
                <w:w w:val="93"/>
              </w:rPr>
              <w:t>1.63%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per share fair value of options granted during the three months ended November 30, 2017 and 2016 was $7.75 and $7.69,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contractual life of the options outstanding as of November 30, 2017 and 2016 was 6.95 years and 7.15 years, respectively.</w:t>
      </w:r>
    </w:p>
    <w:p>
      <w:pPr>
        <w:spacing w:after="0" w:line="230"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The Company’s chief operating decision maker (CODM)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over 40 years, and more recently, has targeted and expanded into the oil and gas industry. The Company also sells a portfolio of bio-based and compostable (fully biodegradable) polymer resins and finished products under the Natur-Tec® brand.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net sales for the three months ended November 30, 2017 and 2016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820" w:type="dxa"/>
            <w:vAlign w:val="bottom"/>
            <w:tcBorders>
              <w:bottom w:val="single" w:sz="8" w:color="auto"/>
            </w:tcBorders>
          </w:tcPr>
          <w:p>
            <w:pPr>
              <w:spacing w:after="0"/>
              <w:rPr>
                <w:sz w:val="20"/>
                <w:szCs w:val="20"/>
                <w:color w:val="auto"/>
              </w:rPr>
            </w:pPr>
          </w:p>
        </w:tc>
      </w:tr>
      <w:tr>
        <w:trPr>
          <w:trHeight w:val="223"/>
        </w:trPr>
        <w:tc>
          <w:tcPr>
            <w:tcW w:w="8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November 30, 2017</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November 30, 2016</w:t>
            </w: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ZERUST® net sales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9,527,737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8,084,678</w:t>
            </w:r>
          </w:p>
        </w:tc>
      </w:tr>
      <w:tr>
        <w:trPr>
          <w:trHeight w:val="230"/>
        </w:trPr>
        <w:tc>
          <w:tcPr>
            <w:tcW w:w="8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Natur-Tec® net sales</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2,015,301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1,617,345</w:t>
            </w:r>
          </w:p>
        </w:tc>
      </w:tr>
      <w:tr>
        <w:trPr>
          <w:trHeight w:val="223"/>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11,543,038</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9,702,023</w:t>
            </w:r>
          </w:p>
        </w:tc>
      </w:tr>
      <w:tr>
        <w:trPr>
          <w:trHeight w:val="20"/>
        </w:trPr>
        <w:tc>
          <w:tcPr>
            <w:tcW w:w="8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cost of goods sold for the three months ended November 30, 2017 and 2016 by segment:</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 of</w:t>
            </w:r>
          </w:p>
        </w:tc>
      </w:tr>
      <w:tr>
        <w:trPr>
          <w:trHeight w:val="216"/>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November 30,</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Product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November 30,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Product</w:t>
            </w:r>
          </w:p>
        </w:tc>
      </w:tr>
      <w:tr>
        <w:trPr>
          <w:trHeight w:val="234"/>
        </w:trPr>
        <w:tc>
          <w:tcPr>
            <w:tcW w:w="56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Sales*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Sales*</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Direct cost of goods sold</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ZERUST®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5,803,980</w:t>
            </w:r>
          </w:p>
        </w:tc>
        <w:tc>
          <w:tcPr>
            <w:tcW w:w="150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60.9%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4,699,537</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58.1%</w:t>
            </w: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Natur-Tec®</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1,479,199</w:t>
            </w:r>
          </w:p>
        </w:tc>
        <w:tc>
          <w:tcPr>
            <w:tcW w:w="1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3"/>
              </w:rPr>
              <w:t>73.4%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1,213,168</w:t>
            </w:r>
          </w:p>
        </w:tc>
        <w:tc>
          <w:tcPr>
            <w:tcW w:w="1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75.0%</w:t>
            </w:r>
          </w:p>
        </w:tc>
      </w:tr>
      <w:tr>
        <w:trPr>
          <w:trHeight w:val="23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Indirect cost of goods sold</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605,291</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700,061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NA</w:t>
            </w: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cost of goods sold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7,888,470</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6,612,766</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80" w:hanging="6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goods sold for each individual segment category by the net sales for each segment category.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 w:name="page15"/>
    <w:bookmarkEnd w:id="14"/>
    <w:p>
      <w:pPr>
        <w:ind w:right="180"/>
        <w:spacing w:after="0" w:line="264" w:lineRule="auto"/>
        <w:rPr>
          <w:sz w:val="20"/>
          <w:szCs w:val="20"/>
          <w:color w:val="auto"/>
        </w:rPr>
      </w:pPr>
      <w:r>
        <w:rPr>
          <w:rFonts w:ascii="Arial" w:cs="Arial" w:eastAsia="Arial" w:hAnsi="Arial"/>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20"/>
                <w:szCs w:val="20"/>
                <w:color w:val="auto"/>
              </w:rPr>
            </w:pPr>
            <w:r>
              <w:rPr>
                <w:rFonts w:ascii="Arial" w:cs="Arial" w:eastAsia="Arial" w:hAnsi="Arial"/>
                <w:sz w:val="18"/>
                <w:szCs w:val="18"/>
                <w:i w:val="1"/>
                <w:iCs w:val="1"/>
                <w:color w:val="auto"/>
              </w:rPr>
              <w:t>Geographic Information</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2"/>
        </w:trPr>
        <w:tc>
          <w:tcPr>
            <w:tcW w:w="7940" w:type="dxa"/>
            <w:vAlign w:val="bottom"/>
          </w:tcPr>
          <w:p>
            <w:pPr>
              <w:spacing w:after="0"/>
              <w:rPr>
                <w:sz w:val="20"/>
                <w:szCs w:val="20"/>
                <w:color w:val="auto"/>
              </w:rPr>
            </w:pPr>
            <w:r>
              <w:rPr>
                <w:rFonts w:ascii="Arial" w:cs="Arial" w:eastAsia="Arial" w:hAnsi="Arial"/>
                <w:sz w:val="18"/>
                <w:szCs w:val="18"/>
                <w:color w:val="auto"/>
                <w:w w:val="92"/>
              </w:rPr>
              <w:t>Net sales by geographic location for the three months ended November 30, 2017 and 2016 were as follows:</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46"/>
        </w:trPr>
        <w:tc>
          <w:tcPr>
            <w:tcW w:w="7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820" w:type="dxa"/>
            <w:vAlign w:val="bottom"/>
            <w:tcBorders>
              <w:bottom w:val="single" w:sz="8" w:color="auto"/>
            </w:tcBorders>
          </w:tcPr>
          <w:p>
            <w:pPr>
              <w:spacing w:after="0"/>
              <w:rPr>
                <w:sz w:val="24"/>
                <w:szCs w:val="24"/>
                <w:color w:val="auto"/>
              </w:rPr>
            </w:pPr>
          </w:p>
        </w:tc>
      </w:tr>
      <w:tr>
        <w:trPr>
          <w:trHeight w:val="223"/>
        </w:trPr>
        <w:tc>
          <w:tcPr>
            <w:tcW w:w="79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November 30, 2017</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November 30, 2016</w:t>
            </w: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6,256,205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5,268,999</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Outside the U.S.A. to:</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Joint ventures in which the Company is a shareholder directly and indirectly</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507,631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701,799</w:t>
            </w:r>
          </w:p>
        </w:tc>
      </w:tr>
      <w:tr>
        <w:trPr>
          <w:trHeight w:val="230"/>
        </w:trPr>
        <w:tc>
          <w:tcPr>
            <w:tcW w:w="7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Unaffiliated customers</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4,779,202</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3,731,225</w:t>
            </w:r>
          </w:p>
        </w:tc>
      </w:tr>
      <w:tr>
        <w:trPr>
          <w:trHeight w:val="223"/>
        </w:trPr>
        <w:tc>
          <w:tcPr>
            <w:tcW w:w="79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11,543,038</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9,702,023</w:t>
            </w:r>
          </w:p>
        </w:tc>
      </w:tr>
      <w:tr>
        <w:trPr>
          <w:trHeight w:val="20"/>
        </w:trPr>
        <w:tc>
          <w:tcPr>
            <w:tcW w:w="7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the three months ended November 30, 2017 and 2016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center"/>
              <w:ind w:left="110"/>
              <w:spacing w:after="0"/>
              <w:rPr>
                <w:sz w:val="20"/>
                <w:szCs w:val="20"/>
                <w:color w:val="auto"/>
              </w:rPr>
            </w:pPr>
            <w:r>
              <w:rPr>
                <w:rFonts w:ascii="Arial" w:cs="Arial" w:eastAsia="Arial" w:hAnsi="Arial"/>
                <w:sz w:val="18"/>
                <w:szCs w:val="18"/>
                <w:b w:val="1"/>
                <w:bCs w:val="1"/>
                <w:color w:val="auto"/>
                <w:w w:val="90"/>
              </w:rPr>
              <w:t>Three Months Ended</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 of Total Fees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for Services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 of Total Fees for</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30,</w:t>
            </w: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Provided to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Services Provided</w:t>
            </w:r>
          </w:p>
        </w:tc>
        <w:tc>
          <w:tcPr>
            <w:tcW w:w="0" w:type="dxa"/>
            <w:vAlign w:val="bottom"/>
          </w:tcPr>
          <w:p>
            <w:pPr>
              <w:spacing w:after="0"/>
              <w:rPr>
                <w:sz w:val="1"/>
                <w:szCs w:val="1"/>
                <w:color w:val="auto"/>
              </w:rPr>
            </w:pPr>
          </w:p>
        </w:tc>
      </w:tr>
      <w:tr>
        <w:trPr>
          <w:trHeight w:val="234"/>
        </w:trPr>
        <w:tc>
          <w:tcPr>
            <w:tcW w:w="54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Joint Ventures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to Joint Ventures</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219,873</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Poland</w:t>
            </w: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206,076</w:t>
            </w:r>
          </w:p>
        </w:tc>
        <w:tc>
          <w:tcPr>
            <w:tcW w:w="1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149,204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174,045</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France</w:t>
            </w: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139,641</w:t>
            </w:r>
          </w:p>
        </w:tc>
        <w:tc>
          <w:tcPr>
            <w:tcW w:w="1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97,673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127,954</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United Kingdom</w:t>
            </w: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111,775</w:t>
            </w:r>
          </w:p>
        </w:tc>
        <w:tc>
          <w:tcPr>
            <w:tcW w:w="1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86,131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102,531</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Finland</w:t>
            </w: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89,627</w:t>
            </w:r>
          </w:p>
        </w:tc>
        <w:tc>
          <w:tcPr>
            <w:tcW w:w="1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76,336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86,763</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Czech Republic</w:t>
            </w: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84,225</w:t>
            </w:r>
          </w:p>
        </w:tc>
        <w:tc>
          <w:tcPr>
            <w:tcW w:w="1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70,828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South Korea</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83,488</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81,144</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81,953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1,507,142</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1,315,591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w w:val="92"/>
              </w:rPr>
              <w:t>The geographical distribution of key financial statement data is as follows:</w:t>
            </w: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At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At</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4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9"/>
              </w:rPr>
              <w:t>November 30, 2017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August 31, 2017</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China</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207,094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228,458</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Brazil</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50,784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54,646</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14,171</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India</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13,642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14,712</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6,947,162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7,047,675</w:t>
            </w:r>
          </w:p>
        </w:tc>
        <w:tc>
          <w:tcPr>
            <w:tcW w:w="0" w:type="dxa"/>
            <w:vAlign w:val="bottom"/>
          </w:tcPr>
          <w:p>
            <w:pPr>
              <w:spacing w:after="0"/>
              <w:rPr>
                <w:sz w:val="1"/>
                <w:szCs w:val="1"/>
                <w:color w:val="auto"/>
              </w:rPr>
            </w:pPr>
          </w:p>
        </w:tc>
      </w:tr>
      <w:tr>
        <w:trPr>
          <w:trHeight w:val="223"/>
        </w:trPr>
        <w:tc>
          <w:tcPr>
            <w:tcW w:w="544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7,235,301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7,359,662</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vMerge w:val="restart"/>
          </w:tcPr>
          <w:p>
            <w:pPr>
              <w:jc w:val="right"/>
              <w:ind w:right="89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4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8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4"/>
              </w:rPr>
              <w:t>November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4"/>
              </w:rPr>
              <w:t>November 30,</w:t>
            </w:r>
          </w:p>
        </w:tc>
      </w:tr>
      <w:tr>
        <w:trPr>
          <w:trHeight w:val="234"/>
        </w:trPr>
        <w:tc>
          <w:tcPr>
            <w:tcW w:w="8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2,911,643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1,546,810</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Brazil</w:t>
            </w: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639,841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601,524</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495,539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331,610</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Germany</w:t>
            </w: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48,771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118,259</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683,407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1,133,022</w:t>
            </w:r>
          </w:p>
        </w:tc>
      </w:tr>
      <w:tr>
        <w:trPr>
          <w:trHeight w:val="230"/>
        </w:trPr>
        <w:tc>
          <w:tcPr>
            <w:tcW w:w="8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6,763,837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5,970,798</w:t>
            </w:r>
          </w:p>
        </w:tc>
      </w:tr>
      <w:tr>
        <w:trPr>
          <w:trHeight w:val="223"/>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11,543,038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9,702,023</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Total property and equipment are periodically reviewed to assure the net realizable value from the estimated future production based on forecasted sales exceeds the carrying value of the assets. Total assets located in the United States include the Company’s investments in joint ventures.</w:t>
      </w:r>
    </w:p>
    <w:p>
      <w:pPr>
        <w:spacing w:after="0" w:line="12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and cost of goods sold recognized directly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All joint venture operations, including equity in income, fees for services and related dividends, are primarily related to ZERUST® products and services.</w:t>
      </w:r>
    </w:p>
    <w:p>
      <w:pPr>
        <w:spacing w:after="0" w:line="244"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On August 31, 2017, the Compensation Committee of the Board of Directors of the Company approved the material terms of an annual bonus plan for the Company’s executive officers as well as certain officers and employees for the fiscal year ending August 31, 2018. For fiscal 2018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2018 compared to a pre-established target EBITOI for fiscal 2018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the Company’s common stock, the exact amount and percentages will be determined by the Company’s Board of Directors, upon recommendation of the Compensation Committee, after the completion of the Company’s consolidated financial statements for fiscal 2018. There was $318,000 accrued for management bonuses for the three months ended November 30, 2017 compared to $98,000 accrued for management bonuses for the three months ended November 30, 2016.</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Four joint ventures (consisting of the Company’s joint ventures in South Korea, Thailand, Indonesia and India) accounted for 93.6% of the Company’s trade joint venture receivables at November 30, 2017 and three joint ventures (consisting of the Company’s joint ventures in South Korea, Thailand and India) accounted for 60.7% of the Company’s trade joint venture receivables at August 31, 2017.</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November 30, 2017, the amount of liability, if any, with respect to these matters, individually or in the aggregate, will not materially affect the Company’s consolidated results of operations, financial position or cash flows.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6" w:name="page17"/>
    <w:bookmarkEnd w:id="16"/>
    <w:p>
      <w:pPr>
        <w:ind w:left="540" w:hanging="532"/>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Assets and liabilities that are measured at fair value on a recurring basis primarily relate to marketable equity securities. These items are marked-to-market at each reporting period, the market value approximates the cost basis. The following tables provide information by level for assets and liabilities that are measured at fair value on a recurring basis: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91"/>
              </w:rPr>
              <w:t>Fair Value Measurements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3"/>
            <w:vMerge w:val="restart"/>
          </w:tcPr>
          <w:p>
            <w:pPr>
              <w:jc w:val="center"/>
              <w:ind w:right="160"/>
              <w:spacing w:after="0"/>
              <w:rPr>
                <w:sz w:val="20"/>
                <w:szCs w:val="20"/>
                <w:color w:val="auto"/>
              </w:rPr>
            </w:pPr>
            <w:r>
              <w:rPr>
                <w:rFonts w:ascii="Arial" w:cs="Arial" w:eastAsia="Arial" w:hAnsi="Arial"/>
                <w:sz w:val="18"/>
                <w:szCs w:val="18"/>
                <w:b w:val="1"/>
                <w:bCs w:val="1"/>
                <w:color w:val="auto"/>
                <w:w w:val="89"/>
              </w:rPr>
              <w:t>Fair value as of</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710"/>
              <w:spacing w:after="0"/>
              <w:rPr>
                <w:sz w:val="20"/>
                <w:szCs w:val="20"/>
                <w:color w:val="auto"/>
              </w:rPr>
            </w:pPr>
            <w:r>
              <w:rPr>
                <w:rFonts w:ascii="Arial" w:cs="Arial" w:eastAsia="Arial" w:hAnsi="Arial"/>
                <w:sz w:val="18"/>
                <w:szCs w:val="18"/>
                <w:b w:val="1"/>
                <w:bCs w:val="1"/>
                <w:color w:val="auto"/>
                <w:w w:val="88"/>
              </w:rPr>
              <w:t>Using Inputs Considered as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580" w:type="dxa"/>
            <w:vAlign w:val="bottom"/>
          </w:tcPr>
          <w:p>
            <w:pPr>
              <w:spacing w:after="0"/>
              <w:rPr>
                <w:sz w:val="20"/>
                <w:szCs w:val="20"/>
                <w:color w:val="auto"/>
              </w:rPr>
            </w:pPr>
          </w:p>
        </w:tc>
        <w:tc>
          <w:tcPr>
            <w:tcW w:w="150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9"/>
              </w:rPr>
              <w:t>November 30, 2017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ind w:left="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3,770,241</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3,770,241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4"/>
        </w:trPr>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91"/>
              </w:rPr>
              <w:t>Fair Value Measurements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3"/>
            <w:vMerge w:val="restart"/>
          </w:tcPr>
          <w:p>
            <w:pPr>
              <w:jc w:val="center"/>
              <w:ind w:right="160"/>
              <w:spacing w:after="0"/>
              <w:rPr>
                <w:sz w:val="20"/>
                <w:szCs w:val="20"/>
                <w:color w:val="auto"/>
              </w:rPr>
            </w:pPr>
            <w:r>
              <w:rPr>
                <w:rFonts w:ascii="Arial" w:cs="Arial" w:eastAsia="Arial" w:hAnsi="Arial"/>
                <w:sz w:val="18"/>
                <w:szCs w:val="18"/>
                <w:b w:val="1"/>
                <w:bCs w:val="1"/>
                <w:color w:val="auto"/>
                <w:w w:val="89"/>
              </w:rPr>
              <w:t>Fair value as of</w:t>
            </w: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b w:val="1"/>
                <w:bCs w:val="1"/>
                <w:color w:val="auto"/>
                <w:w w:val="88"/>
              </w:rPr>
              <w:t>Using Inputs Considered as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8"/>
              </w:rPr>
              <w:t>August 31, 2017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ind w:left="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3,766,984</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3,766,984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available for sale securities are mainly fixed income mutual funds. There were no transfers between Level 1, Level 2, or Level 3 during the three months ended November 30, 2017 and 2016.</w:t>
      </w:r>
    </w:p>
    <w:p>
      <w:pPr>
        <w:spacing w:after="0" w:line="166"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cash flow information consisted of:</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120" w:type="dxa"/>
            <w:vAlign w:val="bottom"/>
            <w:gridSpan w:val="5"/>
          </w:tcPr>
          <w:p>
            <w:pPr>
              <w:ind w:left="6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November 30,</w:t>
            </w: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right="130"/>
              <w:spacing w:after="0" w:line="191" w:lineRule="exact"/>
              <w:rPr>
                <w:sz w:val="20"/>
                <w:szCs w:val="20"/>
                <w:color w:val="auto"/>
              </w:rPr>
            </w:pPr>
            <w:r>
              <w:rPr>
                <w:rFonts w:ascii="Arial" w:cs="Arial" w:eastAsia="Arial" w:hAnsi="Arial"/>
                <w:sz w:val="18"/>
                <w:szCs w:val="18"/>
                <w:b w:val="1"/>
                <w:bCs w:val="1"/>
                <w:color w:val="auto"/>
                <w:w w:val="91"/>
              </w:rPr>
              <w:t>November 30,</w:t>
            </w:r>
          </w:p>
        </w:tc>
        <w:tc>
          <w:tcPr>
            <w:tcW w:w="3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39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4,623</w:t>
            </w:r>
          </w:p>
        </w:tc>
        <w:tc>
          <w:tcPr>
            <w:tcW w:w="3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Cash paid for income taxes</w:t>
            </w:r>
          </w:p>
        </w:tc>
        <w:tc>
          <w:tcPr>
            <w:tcW w:w="18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400" w:type="dxa"/>
            <w:vAlign w:val="bottom"/>
            <w:gridSpan w:val="2"/>
          </w:tcPr>
          <w:p>
            <w:pPr>
              <w:jc w:val="right"/>
              <w:ind w:right="4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4120" w:type="dxa"/>
            <w:vAlign w:val="bottom"/>
          </w:tcPr>
          <w:p>
            <w:pPr>
              <w:spacing w:after="0"/>
              <w:rPr>
                <w:sz w:val="20"/>
                <w:szCs w:val="20"/>
                <w:color w:val="auto"/>
              </w:rPr>
            </w:pPr>
            <w:r>
              <w:rPr>
                <w:rFonts w:ascii="Arial" w:cs="Arial" w:eastAsia="Arial" w:hAnsi="Arial"/>
                <w:sz w:val="18"/>
                <w:szCs w:val="18"/>
                <w:color w:val="auto"/>
              </w:rPr>
              <w:t>Non-cash financing activity consisted of:</w:t>
            </w:r>
          </w:p>
        </w:tc>
        <w:tc>
          <w:tcPr>
            <w:tcW w:w="180" w:type="dxa"/>
            <w:vAlign w:val="bottom"/>
          </w:tcPr>
          <w:p>
            <w:pPr>
              <w:spacing w:after="0"/>
              <w:rPr>
                <w:sz w:val="24"/>
                <w:szCs w:val="24"/>
                <w:color w:val="auto"/>
              </w:rPr>
            </w:pPr>
          </w:p>
        </w:tc>
        <w:tc>
          <w:tcPr>
            <w:tcW w:w="712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12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November 30,</w:t>
            </w: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right="130"/>
              <w:spacing w:after="0" w:line="191" w:lineRule="exact"/>
              <w:rPr>
                <w:sz w:val="20"/>
                <w:szCs w:val="20"/>
                <w:color w:val="auto"/>
              </w:rPr>
            </w:pPr>
            <w:r>
              <w:rPr>
                <w:rFonts w:ascii="Arial" w:cs="Arial" w:eastAsia="Arial" w:hAnsi="Arial"/>
                <w:sz w:val="18"/>
                <w:szCs w:val="18"/>
                <w:b w:val="1"/>
                <w:bCs w:val="1"/>
                <w:color w:val="auto"/>
                <w:w w:val="91"/>
              </w:rPr>
              <w:t>November 30,</w:t>
            </w:r>
          </w:p>
        </w:tc>
        <w:tc>
          <w:tcPr>
            <w:tcW w:w="3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39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declared, not paid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454,741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1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39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-2014855</wp:posOffset>
            </wp:positionV>
            <wp:extent cx="2529840" cy="574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9840" cy="57467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-599440</wp:posOffset>
            </wp:positionV>
            <wp:extent cx="252984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9840" cy="14605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7" w:name="page18"/>
    <w:bookmarkEnd w:id="17"/>
    <w:p>
      <w:pPr>
        <w:ind w:left="540" w:hanging="532"/>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December 22, 2017, the Tax Cuts and Jobs Act (Act), was enacted into law and is expected to impact the Company’s operating results, cash flows, and financial condition. The Company is currently evaluating the potential impacts of the Act. The Act includes a number of provisions, including the lowering of the U.S. corporate tax rate from 35 percent to 21 percent, effective January 1, 2018. The Act also includes provisions that may partially offset the benefit of such rate reduction, including the repeal of the deduction for domestic production activities. The effect of the international provisions of the Act, which generally establish a territorial-style system for taxing foreign-source income of domestic multinational corporations, is uncertain. As a result of the Act, the Company expects there will be one-time adjustments for the re-measurement of deferred tax assets (liabilities) and the deemed repatriation tax on unremitted foreign earnings and profits. Quantifying the impacts of the Act is not practicable at this time due, among other things, to the inherent complexities involved. Accordingly, the Company expects to continue to analyze such impacts and record any such amounts in the second quarter of fiscal 2018.</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18" w:name="page19"/>
    <w:bookmarkEnd w:id="18"/>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Arial" w:cs="Arial" w:eastAsia="Arial" w:hAnsi="Arial"/>
          <w:sz w:val="17"/>
          <w:szCs w:val="17"/>
          <w:i w:val="1"/>
          <w:iCs w:val="1"/>
          <w:color w:val="auto"/>
        </w:rPr>
        <w:t>Part I. Item 2. Management’s Discussion and Analysis of Financial Condition and Results of Operations—Forward-Looking Statements</w:t>
      </w:r>
      <w:r>
        <w:rPr>
          <w:rFonts w:ascii="Arial" w:cs="Arial" w:eastAsia="Arial" w:hAnsi="Arial"/>
          <w:sz w:val="17"/>
          <w:szCs w:val="17"/>
          <w:color w:val="auto"/>
        </w:rPr>
        <w:t>” in this report and under “</w:t>
      </w:r>
      <w:r>
        <w:rPr>
          <w:rFonts w:ascii="Arial" w:cs="Arial" w:eastAsia="Arial" w:hAnsi="Arial"/>
          <w:sz w:val="17"/>
          <w:szCs w:val="17"/>
          <w:i w:val="1"/>
          <w:iCs w:val="1"/>
          <w:color w:val="auto"/>
        </w:rPr>
        <w:t>Part 1. Item 1A. Risk Factors</w:t>
      </w:r>
      <w:r>
        <w:rPr>
          <w:rFonts w:ascii="Arial" w:cs="Arial" w:eastAsia="Arial" w:hAnsi="Arial"/>
          <w:sz w:val="17"/>
          <w:szCs w:val="17"/>
          <w:color w:val="auto"/>
        </w:rPr>
        <w:t>” in our annual report on Form 10-K for the fiscal year ended August 31, 2017. The following discussion of the results of the operations and financial condition of NTIC should be read in conjunction with NTIC’s consolidated financial statements and the related notes thereto included under the heading “</w:t>
      </w:r>
      <w:r>
        <w:rPr>
          <w:rFonts w:ascii="Arial" w:cs="Arial" w:eastAsia="Arial" w:hAnsi="Arial"/>
          <w:sz w:val="17"/>
          <w:szCs w:val="17"/>
          <w:i w:val="1"/>
          <w:iCs w:val="1"/>
          <w:color w:val="auto"/>
        </w:rPr>
        <w:t>Part I. Item 1. Financial Statements</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NTIC develops and markets proprietary environmentally beneficial products and services in over 60 countries either directly or via a network of subsidiaries, joint ventures, independent distributors and agents. NTIC’s primary business is corrosion prevention marketed mainly under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brand. NTIC has</w:t>
      </w:r>
    </w:p>
    <w:p>
      <w:pPr>
        <w:spacing w:after="0" w:line="1" w:lineRule="exact"/>
        <w:rPr>
          <w:sz w:val="20"/>
          <w:szCs w:val="20"/>
          <w:color w:val="auto"/>
        </w:rPr>
      </w:pPr>
    </w:p>
    <w:p>
      <w:pPr>
        <w:ind w:right="180"/>
        <w:spacing w:after="0" w:line="234" w:lineRule="auto"/>
        <w:rPr>
          <w:sz w:val="20"/>
          <w:szCs w:val="20"/>
          <w:color w:val="auto"/>
        </w:rPr>
      </w:pPr>
      <w:r>
        <w:rPr>
          <w:rFonts w:ascii="Arial" w:cs="Arial" w:eastAsia="Arial" w:hAnsi="Arial"/>
          <w:sz w:val="16"/>
          <w:szCs w:val="16"/>
          <w:color w:val="auto"/>
        </w:rPr>
        <w:t>been selling its proprietary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to the automotive, electronics, electrical, mechanical, military and retail consumer markets for over 40 years, and in recent years, has targeted and expanded into the oil and gas industry. NTIC also markets and sells a portfolio of biobased and certified</w:t>
      </w:r>
    </w:p>
    <w:p>
      <w:pPr>
        <w:ind w:right="500"/>
        <w:spacing w:after="0" w:line="205" w:lineRule="auto"/>
        <w:rPr>
          <w:sz w:val="20"/>
          <w:szCs w:val="20"/>
          <w:color w:val="auto"/>
        </w:rPr>
      </w:pPr>
      <w:r>
        <w:rPr>
          <w:rFonts w:ascii="Arial" w:cs="Arial" w:eastAsia="Arial" w:hAnsi="Arial"/>
          <w:sz w:val="18"/>
          <w:szCs w:val="18"/>
          <w:color w:val="auto"/>
        </w:rPr>
        <w:t>compostable (fully biodegradable) polymer resin compounds and finished products under the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brand. These products are intended to reduce NTIC’s customers’ carbon footprint and provide environmentally sound waste disposal options.</w:t>
      </w:r>
    </w:p>
    <w:p>
      <w:pPr>
        <w:spacing w:after="0" w:line="207" w:lineRule="exact"/>
        <w:rPr>
          <w:sz w:val="20"/>
          <w:szCs w:val="20"/>
          <w:color w:val="auto"/>
        </w:rPr>
      </w:pPr>
    </w:p>
    <w:p>
      <w:pPr>
        <w:ind w:right="20"/>
        <w:spacing w:after="0"/>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w:t>
      </w:r>
    </w:p>
    <w:p>
      <w:pPr>
        <w:ind w:right="120"/>
        <w:spacing w:after="0" w:line="206" w:lineRule="auto"/>
        <w:rPr>
          <w:sz w:val="20"/>
          <w:szCs w:val="20"/>
          <w:color w:val="auto"/>
        </w:rPr>
      </w:pPr>
      <w:r>
        <w:rPr>
          <w:rFonts w:ascii="Arial" w:cs="Arial" w:eastAsia="Arial" w:hAnsi="Arial"/>
          <w:sz w:val="16"/>
          <w:szCs w:val="16"/>
          <w:color w:val="auto"/>
        </w:rPr>
        <w:t>prevention issues. NTIC’s technical service consultants work directly with the end users of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to analyze their specific needs and develop systems to meet their performance requirements. In North America, NTIC sells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w:t>
      </w:r>
    </w:p>
    <w:p>
      <w:pPr>
        <w:spacing w:after="0" w:line="1"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solutions through a network of independent distributors and agents supported by a direct sales force. Internationally, NTIC sells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solutions through its wholly-owned subsidiary in China, NTIC (Shanghai) Co., Ltd. (NTIC China), its majority-owned joint venture holding company for NTIC’s joint venture investments in the Association of Southeast Asian Nations (ASEAN) region, NTI Asean LLC (NTI Asean) its majority-owned subsidiary in Brazil, Zerust Prevenção de Corrosão S.A. (Zerust Brazil), and its wholly-owned subsidiary in Mexico, ZERUST-EXCOR MEXICO, S. de R.L. de C.V (Zerust Mexico), and joint venture arrangements in North America, Europe and Asia. NTIC also sells products directly to its joint venture partners through its wholly-owned subsidiary in Germany, NTIC Europe GmbH (NTI Europe).</w:t>
      </w:r>
    </w:p>
    <w:p>
      <w:pPr>
        <w:spacing w:after="0" w:line="204" w:lineRule="exact"/>
        <w:rPr>
          <w:sz w:val="20"/>
          <w:szCs w:val="20"/>
          <w:color w:val="auto"/>
        </w:rPr>
      </w:pPr>
    </w:p>
    <w:p>
      <w:pPr>
        <w:ind w:right="160"/>
        <w:spacing w:after="0"/>
        <w:rPr>
          <w:sz w:val="20"/>
          <w:szCs w:val="20"/>
          <w:color w:val="auto"/>
        </w:rPr>
      </w:pPr>
      <w:r>
        <w:rPr>
          <w:rFonts w:ascii="Arial" w:cs="Arial" w:eastAsia="Arial" w:hAnsi="Arial"/>
          <w:sz w:val="16"/>
          <w:szCs w:val="16"/>
          <w:color w:val="auto"/>
        </w:rPr>
        <w:t>One of NTIC’s strategic initiatives is to expand into and penetrate other markets for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technologies. Consequently, for the past several years, NTIC has focused significant sales and marketing efforts on the oil and gas industry, as the infrastructure that supports that industry is</w:t>
      </w:r>
    </w:p>
    <w:p>
      <w:pPr>
        <w:ind w:right="60"/>
        <w:spacing w:after="0" w:line="217" w:lineRule="auto"/>
        <w:rPr>
          <w:sz w:val="20"/>
          <w:szCs w:val="20"/>
          <w:color w:val="auto"/>
        </w:rPr>
      </w:pPr>
      <w:r>
        <w:rPr>
          <w:rFonts w:ascii="Arial" w:cs="Arial" w:eastAsia="Arial" w:hAnsi="Arial"/>
          <w:sz w:val="18"/>
          <w:szCs w:val="18"/>
          <w:color w:val="auto"/>
        </w:rPr>
        <w:t>typically constructed using metals that are highly susceptible to corrosion. NTIC believes that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will minimize maintenance downtime on critical oil and gas industry infrastructure, extend the life of such infrastructure and reduce the risk of environmental pollution due to corrosion leaks.</w:t>
      </w:r>
    </w:p>
    <w:p>
      <w:pPr>
        <w:spacing w:after="0" w:line="208" w:lineRule="exact"/>
        <w:rPr>
          <w:sz w:val="20"/>
          <w:szCs w:val="20"/>
          <w:color w:val="auto"/>
        </w:rPr>
      </w:pPr>
    </w:p>
    <w:p>
      <w:pPr>
        <w:spacing w:after="0" w:line="207" w:lineRule="auto"/>
        <w:rPr>
          <w:sz w:val="20"/>
          <w:szCs w:val="20"/>
          <w:color w:val="auto"/>
        </w:rPr>
      </w:pPr>
      <w:r>
        <w:rPr>
          <w:rFonts w:ascii="Arial" w:cs="Arial" w:eastAsia="Arial" w:hAnsi="Arial"/>
          <w:sz w:val="18"/>
          <w:szCs w:val="18"/>
          <w:color w:val="auto"/>
        </w:rPr>
        <w:t>NTIC markets and sells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prevention solutions to customers in the oil and gas industry across several countries either directly, through its subsidiaries or through its joint venture partners and other strategic partners. The sale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to customers in the oil and gas industry typically involves long sales cycles, often including multi-year trial periods with each customer and a slow integration process thereafter.</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19" w:name="page20"/>
    <w:bookmarkEnd w:id="19"/>
    <w:p>
      <w:pPr>
        <w:ind w:right="80"/>
        <w:spacing w:after="0" w:line="237" w:lineRule="auto"/>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biobased and compostable plastics are manufactured using NTIC’s patented and/or proprietary technologies and are intended to replace conventional petroleum-based plastics.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w:t>
      </w:r>
    </w:p>
    <w:p>
      <w:pPr>
        <w:spacing w:after="0" w:line="2" w:lineRule="exact"/>
        <w:rPr>
          <w:sz w:val="20"/>
          <w:szCs w:val="20"/>
          <w:color w:val="auto"/>
        </w:rPr>
      </w:pPr>
    </w:p>
    <w:p>
      <w:pPr>
        <w:ind w:right="160"/>
        <w:spacing w:after="0" w:line="224" w:lineRule="auto"/>
        <w:rPr>
          <w:sz w:val="20"/>
          <w:szCs w:val="20"/>
          <w:color w:val="auto"/>
        </w:rPr>
      </w:pPr>
      <w:r>
        <w:rPr>
          <w:rFonts w:ascii="Arial" w:cs="Arial" w:eastAsia="Arial" w:hAnsi="Arial"/>
          <w:sz w:val="16"/>
          <w:szCs w:val="16"/>
          <w:color w:val="auto"/>
        </w:rPr>
        <w:t>and leaf bags, pet waste collection bags, cutlery and coated paper products. In North America, NTIC markets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bioplastic</w:t>
      </w:r>
    </w:p>
    <w:p>
      <w:pPr>
        <w:spacing w:after="0" w:line="1" w:lineRule="exact"/>
        <w:rPr>
          <w:sz w:val="20"/>
          <w:szCs w:val="20"/>
          <w:color w:val="auto"/>
        </w:rPr>
      </w:pPr>
    </w:p>
    <w:p>
      <w:pPr>
        <w:ind w:right="100"/>
        <w:spacing w:after="0" w:line="204" w:lineRule="auto"/>
        <w:rPr>
          <w:sz w:val="20"/>
          <w:szCs w:val="20"/>
          <w:color w:val="auto"/>
        </w:rPr>
      </w:pPr>
      <w:r>
        <w:rPr>
          <w:rFonts w:ascii="Arial" w:cs="Arial" w:eastAsia="Arial" w:hAnsi="Arial"/>
          <w:sz w:val="18"/>
          <w:szCs w:val="18"/>
          <w:color w:val="auto"/>
        </w:rPr>
        <w:t>products. Internationally, NTIC sells its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both directly and through its majority-owned subsidiary in India, Natur-Tec India Private Limited (Natur-Tec India), and through distributors and certain joint ventures.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Subsidiaries and Joint Venture Network</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NTIC has ownership interests in six subsidiaries in North America, South America, Europe and Asia. The following table sets forth a list of NTIC’s operating subsidiaries as of November 30, 2017, the country in which the subsidiary is organized and NTIC’s ownership percentage in each subsidiary: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Country</w:t>
            </w:r>
          </w:p>
        </w:tc>
        <w:tc>
          <w:tcPr>
            <w:tcW w:w="1860" w:type="dxa"/>
            <w:vAlign w:val="bottom"/>
          </w:tcPr>
          <w:p>
            <w:pPr>
              <w:jc w:val="right"/>
              <w:ind w:right="610"/>
              <w:spacing w:after="0"/>
              <w:rPr>
                <w:sz w:val="20"/>
                <w:szCs w:val="20"/>
                <w:color w:val="auto"/>
              </w:rPr>
            </w:pPr>
            <w:r>
              <w:rPr>
                <w:rFonts w:ascii="Arial" w:cs="Arial" w:eastAsia="Arial" w:hAnsi="Arial"/>
                <w:sz w:val="18"/>
                <w:szCs w:val="18"/>
                <w:b w:val="1"/>
                <w:bCs w:val="1"/>
                <w:color w:val="auto"/>
              </w:rPr>
              <w:t>NTIC</w:t>
            </w:r>
          </w:p>
        </w:tc>
        <w:tc>
          <w:tcPr>
            <w:tcW w:w="0" w:type="dxa"/>
            <w:vAlign w:val="bottom"/>
          </w:tcPr>
          <w:p>
            <w:pPr>
              <w:spacing w:after="0"/>
              <w:rPr>
                <w:sz w:val="1"/>
                <w:szCs w:val="1"/>
                <w:color w:val="auto"/>
              </w:rPr>
            </w:pPr>
          </w:p>
        </w:tc>
      </w:tr>
      <w:tr>
        <w:trPr>
          <w:trHeight w:val="234"/>
        </w:trPr>
        <w:tc>
          <w:tcPr>
            <w:tcW w:w="7220" w:type="dxa"/>
            <w:vAlign w:val="bottom"/>
            <w:gridSpan w:val="2"/>
          </w:tcPr>
          <w:p>
            <w:pPr>
              <w:ind w:left="2900"/>
              <w:spacing w:after="0"/>
              <w:rPr>
                <w:sz w:val="20"/>
                <w:szCs w:val="20"/>
                <w:color w:val="auto"/>
              </w:rPr>
            </w:pPr>
            <w:r>
              <w:rPr>
                <w:rFonts w:ascii="Arial" w:cs="Arial" w:eastAsia="Arial" w:hAnsi="Arial"/>
                <w:sz w:val="18"/>
                <w:szCs w:val="18"/>
                <w:b w:val="1"/>
                <w:bCs w:val="1"/>
                <w:color w:val="auto"/>
              </w:rPr>
              <w:t>Subsidiary Name</w:t>
            </w:r>
          </w:p>
        </w:tc>
        <w:tc>
          <w:tcPr>
            <w:tcW w:w="2340" w:type="dxa"/>
            <w:vAlign w:val="bottom"/>
            <w:gridSpan w:val="2"/>
            <w:vMerge w:val="continue"/>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w w:val="92"/>
              </w:rPr>
              <w:t>Percent (%) Ownership</w:t>
            </w:r>
          </w:p>
        </w:tc>
        <w:tc>
          <w:tcPr>
            <w:tcW w:w="0" w:type="dxa"/>
            <w:vAlign w:val="bottom"/>
          </w:tcPr>
          <w:p>
            <w:pPr>
              <w:spacing w:after="0"/>
              <w:rPr>
                <w:sz w:val="1"/>
                <w:szCs w:val="1"/>
                <w:color w:val="auto"/>
              </w:rPr>
            </w:pPr>
          </w:p>
        </w:tc>
      </w:tr>
      <w:tr>
        <w:trPr>
          <w:trHeight w:val="210"/>
        </w:trPr>
        <w:tc>
          <w:tcPr>
            <w:tcW w:w="7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NTIC (Shanghai) Co., Ltd</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NTI Asean LLC</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United States</w:t>
            </w:r>
          </w:p>
        </w:tc>
        <w:tc>
          <w:tcPr>
            <w:tcW w:w="18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Prevenção de Corrosão S.A.</w:t>
            </w: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Brazil</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ZERUST-EXCOR MEXICO, S. de R.L. de C.V</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Mexico</w:t>
            </w:r>
          </w:p>
        </w:tc>
        <w:tc>
          <w:tcPr>
            <w:tcW w:w="18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Natur-Tec India Private Limited</w:t>
            </w: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India</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7220" w:type="dxa"/>
            <w:vAlign w:val="bottom"/>
            <w:gridSpan w:val="2"/>
          </w:tcPr>
          <w:p>
            <w:pPr>
              <w:spacing w:after="0"/>
              <w:rPr>
                <w:sz w:val="20"/>
                <w:szCs w:val="20"/>
                <w:color w:val="auto"/>
              </w:rPr>
            </w:pPr>
            <w:r>
              <w:rPr>
                <w:rFonts w:ascii="Arial" w:cs="Arial" w:eastAsia="Arial" w:hAnsi="Arial"/>
                <w:sz w:val="18"/>
                <w:szCs w:val="18"/>
                <w:color w:val="auto"/>
              </w:rPr>
              <w:t>NTIC Europe GmbH</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Germany</w:t>
            </w:r>
          </w:p>
        </w:tc>
        <w:tc>
          <w:tcPr>
            <w:tcW w:w="18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subsidiaries are fully consolidated in NTIC’s consolidated financial statements.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NTIC participates in 20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NTIC’s receipt of funds from its joint ventures is dependent upon fees for services that NTIC provides to its joint ventures, based primarily on the net sales of the individual joint ventures, and NTIC’s receipt of dividend distributions from the joint ventures. 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NTIC accounts for the investments and financial results of its joint ventures in its financial statements utilizing the equity method of accounting.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6" w:right="239" w:bottom="1440" w:gutter="0" w:footer="0" w:header="0"/>
        </w:sectPr>
      </w:pPr>
    </w:p>
    <w:bookmarkStart w:id="20" w:name="page21"/>
    <w:bookmarkEnd w:id="20"/>
    <w:p>
      <w:pPr>
        <w:ind w:right="440"/>
        <w:spacing w:after="0" w:line="277" w:lineRule="auto"/>
        <w:rPr>
          <w:sz w:val="20"/>
          <w:szCs w:val="20"/>
          <w:color w:val="auto"/>
        </w:rPr>
      </w:pPr>
      <w:r>
        <w:rPr>
          <w:rFonts w:ascii="Arial" w:cs="Arial" w:eastAsia="Arial" w:hAnsi="Arial"/>
          <w:sz w:val="18"/>
          <w:szCs w:val="18"/>
          <w:color w:val="auto"/>
        </w:rPr>
        <w:t>NTIC considers EXCOR to be individually significant to NTIC’s consolidated assets and income; and therefore, provides certain additional information regarding EXCOR in the notes to NTIC’s consolidated financial statements and in this section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2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NTIC’s consolidated net sales increased 19.0% during the three months ended November 30, 2017 compared to the three months ended November 30, 2016. This increase was primarily a result of an increase in sales of ZERUST® rust and corrosion inhibiting packaging products, sales to joint ventures and sales of Natur-Tec® products.</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three months ended November 30, 2017, 82.5% of NTIC’s consolidated net sales were derived from sales of ZERUST® products and services, which increased 17.8% to $9,527,737 compared to $8,084,678 for the three months ended November 30, 2016. This increase was due to higher sales from existing customers for new and existing products as a result of increased demand. NTIC has focused its sales efforts of ZERUST® products and services by strategically targeting customers with specific corrosion issues in new market areas, including the oil and gas industry and other industrial sectors that offer sizable growth opportunities. NTIC’s consolidated net sales for the three months ended November 30, 2017 included $283,842 of sales made to customers in the oil and gas industry compared to $746,331 for the three months ended November 30, 2016. Overall demand for ZERUST® products and services depends heavily on the overall health of the markets in which NTIC sells its products, including the automotive, oil and gas, agriculture, and mining markets in particular.</w:t>
      </w:r>
    </w:p>
    <w:p>
      <w:pPr>
        <w:spacing w:after="0" w:line="19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During the three months ended November 30, 2017, 17.5% of NTIC’s consolidated net sales were derived from sales of Natur-Tec® products compared to 16.7% during the three months ended November 30, 2016. Net sales of Natur-Tec® products increased 24.6% during the three months ended November 30, 2017 compared to the three months ended November 30, 2016 primarily due to an increase in finished product sales in North America and finished product sales at NTIC’s majority-owned subsidiary in India, Natur-Tec India Private Limited (Natur-Tec India).</w:t>
      </w:r>
    </w:p>
    <w:p>
      <w:pPr>
        <w:spacing w:after="0" w:line="17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Cost of goods sold as a percentage of net sales increased slightly to 68.3% during the three months ended November 30, 2017 compared to 68.2% during the three months ended November 30, 2016 primarily as a result of increased net sales and cost reductions realized on the raw materials associated with NTIC’s ZERUST® industrial products.</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NTIC’s equity in income from joint ventures increased 36.7% to $1,741,328 during the three months ended November 30, 2017 compared to $1,274,004 during the three months ended November 30, 2016. This increase was primarily due to a corresponding increase in net sales at the joint ventures, which increased 17.8% to $28,498,711 during the three months ended November 30, 2017 compared to $24,200,447 for the three months ended November 30, 2016 as well as a strengthened Euro compared to the U.S. Dollar. The increase in net sales of NTIC’s joint ventures was due primarily to higher sales from existing customers for new and existing products as a result of increased demand. The increase in net sales of NTIC’s joint ventures resulted in a corresponding increase in fees for services provided to joint ventures as such fees are a function of net sales of NTIC’s joint ventures.</w:t>
      </w:r>
    </w:p>
    <w:p>
      <w:pPr>
        <w:spacing w:after="0" w:line="16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NTIC’s total operating expenses increased 9.0% to $5,618,425 during the three months ended November 30, 2017 compared to $5,153,386 for the three months ended November 30, 2016. This increase was primarily due to an increase in NTIC’s personnel expenses, including an increase in the management bonus accrual of $220,000.</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1" w:name="page22"/>
    <w:bookmarkEnd w:id="21"/>
    <w:p>
      <w:pPr>
        <w:ind w:right="700"/>
        <w:spacing w:after="0" w:line="264" w:lineRule="auto"/>
        <w:rPr>
          <w:sz w:val="20"/>
          <w:szCs w:val="20"/>
          <w:color w:val="auto"/>
        </w:rPr>
      </w:pPr>
      <w:r>
        <w:rPr>
          <w:rFonts w:ascii="Arial" w:cs="Arial" w:eastAsia="Arial" w:hAnsi="Arial"/>
          <w:sz w:val="18"/>
          <w:szCs w:val="18"/>
          <w:color w:val="auto"/>
        </w:rPr>
        <w:t>NTIC spent $798,731 and $642,522 during the three months ended November 30, 2017 and 2016, respectively, in connection with its research and development activities. NTIC anticipates that it will spend a total of between $3,000,000 and $3,400,000 in fiscal 2018 on research and development activities.</w:t>
      </w:r>
    </w:p>
    <w:p>
      <w:pPr>
        <w:spacing w:after="0" w:line="181"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Net income attributable to NTIC increased $785,987 to $1,083,626, or $0.24, per diluted common share, for the three months ended November 30, 2017 compared to $297,639, or $0.07 per diluted common share, for the three months ended November 30, 2016. This increase was primarily the result of the increase in gross profit and joint venture operations, partially offset by the increase in operating expenses.</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NTIC anticipates that its quarterly net income or loss will continue to remain subject to significant volatility primarily due to the financial performance of its subsidiaries and joint ventures and sales of its ZERUST® products and services into the oil and gas industry and Natur-Tec® bioplastics products, which sales fluctuate more on a quarterly basis than the traditional ZERUST® business. NTIC also anticipates that its operating results during the next few quarters will remain volatile primarily as a result of the changes in its Chinese operations.</w:t>
      </w:r>
    </w:p>
    <w:p>
      <w:pPr>
        <w:spacing w:after="0" w:line="18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NTIC’s working capital, as defined as current assets less current liabilities, was $20,382,706 at November 30, 2017, including $4,627,213 in cash and cash equivalents and $3,770,241 in available for sale securities, compared to $21,173,001 at August 31, 2017, including $6,360,201 in cash and cash equivalents and $3,766,984 in available for sale securities.</w:t>
      </w:r>
    </w:p>
    <w:p>
      <w:pPr>
        <w:spacing w:after="0" w:line="181"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On November 20, 2017, NTIC’s Board of Directors declared a cash dividend of $0.10 per share of NTIC’s common stock, payable on December 21, 2017 to stockholders of record on December 8, 2017. No cash dividends were declared by NTIC’s Board of Directors during the fiscal year ended August 31, 2017. Although NTIC’s Board of Directors intends to declare regular quarterly cash dividends going forward,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the three months ended November 30, 2017 and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22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9"/>
              </w:rPr>
              <w:t>November 30,</w:t>
            </w:r>
          </w:p>
        </w:tc>
        <w:tc>
          <w:tcPr>
            <w:tcW w:w="116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122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9"/>
              </w:rPr>
              <w:t>November 30,</w:t>
            </w:r>
          </w:p>
        </w:tc>
        <w:tc>
          <w:tcPr>
            <w:tcW w:w="118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30"/>
              <w:spacing w:after="0" w:line="191"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220" w:type="dxa"/>
            <w:vAlign w:val="bottom"/>
          </w:tcPr>
          <w:p>
            <w:pPr>
              <w:jc w:val="right"/>
              <w:ind w:right="430"/>
              <w:spacing w:after="0" w:line="19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Net Sales</w:t>
            </w: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  11,035,407</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  9,000,224</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2,035,183</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507,631</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701,799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(194,168)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7,888,470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6,612,766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1,275,704</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from joint ventures</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1,741,328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1,274,004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467,324</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Fees for services provided to joint ventures</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1,507,142</w:t>
            </w: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1,315,591</w:t>
            </w:r>
          </w:p>
        </w:tc>
        <w:tc>
          <w:tcPr>
            <w:tcW w:w="10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191,551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Selling expenses</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2,599,949</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2,039,084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560,865</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2,219,745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2,471,780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(252,035)</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798,731</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642,522</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156,209</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NTIC’s consolidated net sales increased 19.0% to $11,543,038 during the three months ended November 30, 2017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November 30, 2016. NTIC’s consolidated net sales to unaffiliated customers excluding NTIC’s joint ventures increased 22.6% to $11,035,407 during the three months ended November 30, 2017 compared to the same period in fiscal 2017. These increases were primarily a result of increased demand from the addition of new customers in North America and China and an increase in sales of our Natur-Tec® products. Net sales to joint ventures decreased 27.7% to $507,631 during the three months ended November 30, 2017 compared to the same period in fiscal 2017. This decrease was primarily a result of decreased demand.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following table sets forth NTIC’s net sales by product segment for the three months ended November 30, 2017 and 2016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1400" w:type="dxa"/>
            <w:vAlign w:val="bottom"/>
            <w:tcBorders>
              <w:bottom w:val="single" w:sz="8" w:color="auto"/>
            </w:tcBorders>
          </w:tcPr>
          <w:p>
            <w:pPr>
              <w:spacing w:after="0"/>
              <w:rPr>
                <w:sz w:val="20"/>
                <w:szCs w:val="20"/>
                <w:color w:val="auto"/>
              </w:rPr>
            </w:pPr>
          </w:p>
        </w:tc>
      </w:tr>
      <w:tr>
        <w:trPr>
          <w:trHeight w:val="191"/>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1"/>
              </w:rPr>
              <w:t>November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9"/>
              </w:rPr>
              <w:t>November 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530"/>
              <w:spacing w:after="0" w:line="191"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400" w:type="dxa"/>
            <w:vAlign w:val="bottom"/>
          </w:tcPr>
          <w:p>
            <w:pPr>
              <w:jc w:val="right"/>
              <w:ind w:right="53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ZERUST®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9,527,737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8,084,678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1,443,059</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Natur-Tec® sales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2,015,301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1,617,345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397,956</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r>
      <w:tr>
        <w:trPr>
          <w:trHeight w:val="21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11,543,038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9,702,023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1,841,015</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bl>
    <w:p>
      <w:pPr>
        <w:spacing w:after="0" w:line="20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During the three months ended November 30, 2017, 82.5% of NTIC’s consolidated net sales were derived from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which increased 17.8% to $9,527,737 during the three months ended November 30, 2017 compared to $8,084,678 during the same period in fiscal 2017. This increase was due to increased demand from existing customers and the addition of new customers primarily in the industrial market, partially offset by a</w:t>
      </w:r>
    </w:p>
    <w:p>
      <w:pPr>
        <w:spacing w:after="0" w:line="2"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decrease in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joint venture net sales and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oil and gas net sales. NTIC has strategically focused its sales efforts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on customers with sizeable corrosion problems in industry sectors that offer sizable growth opportunities, including the oil and gas sector. Overall</w:t>
      </w:r>
    </w:p>
    <w:p>
      <w:pPr>
        <w:spacing w:after="0" w:line="2" w:lineRule="exact"/>
        <w:rPr>
          <w:sz w:val="20"/>
          <w:szCs w:val="20"/>
          <w:color w:val="auto"/>
        </w:rPr>
      </w:pPr>
    </w:p>
    <w:p>
      <w:pPr>
        <w:ind w:right="300"/>
        <w:spacing w:after="0" w:line="205" w:lineRule="auto"/>
        <w:rPr>
          <w:sz w:val="20"/>
          <w:szCs w:val="20"/>
          <w:color w:val="auto"/>
        </w:rPr>
      </w:pPr>
      <w:r>
        <w:rPr>
          <w:rFonts w:ascii="Arial" w:cs="Arial" w:eastAsia="Arial" w:hAnsi="Arial"/>
          <w:sz w:val="18"/>
          <w:szCs w:val="18"/>
          <w:color w:val="auto"/>
        </w:rPr>
        <w:t>demand for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depends heavily on the overall health of the market segments to which NTIC sells its products, including the automotive, oil and gas, agriculture, and mining markets in particular.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for the three months ended November 30, 2017 and 2016: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1460" w:type="dxa"/>
            <w:vAlign w:val="bottom"/>
            <w:tcBorders>
              <w:bottom w:val="single" w:sz="8" w:color="auto"/>
            </w:tcBorders>
          </w:tcPr>
          <w:p>
            <w:pPr>
              <w:spacing w:after="0"/>
              <w:rPr>
                <w:sz w:val="20"/>
                <w:szCs w:val="20"/>
                <w:color w:val="auto"/>
              </w:rPr>
            </w:pPr>
          </w:p>
        </w:tc>
      </w:tr>
      <w:tr>
        <w:trPr>
          <w:trHeight w:val="191"/>
        </w:trPr>
        <w:tc>
          <w:tcPr>
            <w:tcW w:w="5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1"/>
              </w:rPr>
              <w:t>November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1"/>
              </w:rPr>
              <w:t>November 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550"/>
              <w:spacing w:after="0" w:line="191"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460" w:type="dxa"/>
            <w:vAlign w:val="bottom"/>
          </w:tcPr>
          <w:p>
            <w:pPr>
              <w:jc w:val="right"/>
              <w:ind w:right="55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5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46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industrial 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8,736,264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6,518,289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2,217,975</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1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507,631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820,058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(312,427)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283,842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746,331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(462,489)</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24"/>
        </w:trPr>
        <w:tc>
          <w:tcPr>
            <w:tcW w:w="5580" w:type="dxa"/>
            <w:vAlign w:val="bottom"/>
          </w:tcPr>
          <w:p>
            <w:pPr>
              <w:ind w:left="180"/>
              <w:spacing w:after="0"/>
              <w:rPr>
                <w:sz w:val="20"/>
                <w:szCs w:val="20"/>
                <w:color w:val="auto"/>
              </w:rPr>
            </w:pPr>
            <w:r>
              <w:rPr>
                <w:rFonts w:ascii="Arial" w:cs="Arial" w:eastAsia="Arial" w:hAnsi="Arial"/>
                <w:sz w:val="18"/>
                <w:szCs w:val="18"/>
                <w:color w:val="auto"/>
              </w:rPr>
              <w:t>Total ZERUST® 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9,527,737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8,084,678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1,443,059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17.8%</w:t>
            </w:r>
          </w:p>
        </w:tc>
      </w:tr>
    </w:tbl>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NTIC’s net sales to the oil and gas industry sector decreased during the three months ended November 30, 2017 compared to the prior fiscal year period primarily as a result of a large $410,000 order from a customer that was recognized in September 2016. NTIC anticipates that its sales of ZERUST® products and services into the oil and gas industry will continue to remain subject to significant volatility from quarter to quarter as sales are recognized, specifically due to the volatility of oil prices.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three months ended November 30, 2017, 17.5% of NTIC’s consolidated net sales were derived from sales of Natur-Tec® products, which increased 24.6% to $2,015,301 during the three months ended November 30, 2017 compared to the three months ended November 30, 2016. This increase is primarily due to an increase in finished product sales in North America and finished product sales at NTIC’s majority-owned subsidiary in India, Natur-Tec India Private Limited (Natur-Tec India).</w:t>
      </w:r>
    </w:p>
    <w:p>
      <w:pPr>
        <w:spacing w:after="0" w:line="18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increased 19.3% for the three months ended November 30, 2017 compared to the three months ended November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2016. Cost of goods sold as a percentage of net sales increased slightly to 68.3% for the three months ended November 30, 2017 compared to 68.2% for the three months ended November 30, 2016.</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ind w:right="80"/>
        <w:spacing w:after="0" w:line="279" w:lineRule="auto"/>
        <w:rPr>
          <w:sz w:val="20"/>
          <w:szCs w:val="20"/>
          <w:color w:val="auto"/>
        </w:rPr>
      </w:pPr>
      <w:r>
        <w:rPr>
          <w:rFonts w:ascii="Arial" w:cs="Arial" w:eastAsia="Arial" w:hAnsi="Arial"/>
          <w:sz w:val="17"/>
          <w:szCs w:val="17"/>
          <w:i w:val="1"/>
          <w:iCs w:val="1"/>
          <w:color w:val="auto"/>
        </w:rPr>
        <w:t xml:space="preserve">Equity in Income from Joint Ventures. </w:t>
      </w:r>
      <w:r>
        <w:rPr>
          <w:rFonts w:ascii="Arial" w:cs="Arial" w:eastAsia="Arial" w:hAnsi="Arial"/>
          <w:sz w:val="17"/>
          <w:szCs w:val="17"/>
          <w:color w:val="auto"/>
        </w:rPr>
        <w:t>NTIC’s equity in income from joint ventures increased 36.7% to $1,741,328 during the three months ended November</w:t>
      </w:r>
      <w:r>
        <w:rPr>
          <w:rFonts w:ascii="Arial" w:cs="Arial" w:eastAsia="Arial" w:hAnsi="Arial"/>
          <w:sz w:val="17"/>
          <w:szCs w:val="17"/>
          <w:i w:val="1"/>
          <w:iCs w:val="1"/>
          <w:color w:val="auto"/>
        </w:rPr>
        <w:t xml:space="preserve"> </w:t>
      </w:r>
      <w:r>
        <w:rPr>
          <w:rFonts w:ascii="Arial" w:cs="Arial" w:eastAsia="Arial" w:hAnsi="Arial"/>
          <w:sz w:val="17"/>
          <w:szCs w:val="17"/>
          <w:color w:val="auto"/>
        </w:rPr>
        <w:t>30, 2017 compared to $1,274,004 during the three months ended November 30, 2016. This increase was primarily a result of improved profitability at the joint ventures. Of the total equity in income from joint ventures, NTIC had equity in income from joint ventures of $1,241,900 attributable to EXCOR during the three months ended November 30, 2017 compared to $928,169 during the three months ended November 30, 2016.</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Fees for Services Provided to Joint Ventures</w:t>
      </w:r>
      <w:r>
        <w:rPr>
          <w:rFonts w:ascii="Arial" w:cs="Arial" w:eastAsia="Arial" w:hAnsi="Arial"/>
          <w:sz w:val="17"/>
          <w:szCs w:val="17"/>
          <w:color w:val="auto"/>
        </w:rPr>
        <w:t>. NTIC recognized fee income for services provided to joint ventures of $1,507,142 during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November 30, 2017 compared to $1,315,591 during the three months ended November 30, 2016, representing an increase of $191,551, or 14.6%. Fee income for services provided to joint ventures is traditionally a function of the sales made by NTIC’s joint ventures. Total net sales of NTIC’s joint ventures increased 17.8% to $28,498,711 during the three months ended November 30, 2017 compared to $24,200,447 for the three months ended November 30, 2016. Net sales of NTIC’s joint ventures are not included in NTIC’s consolidated financial statements. Of the total fee income for services provided to joint ventures, fees of $219,873 were attributable to EXCOR during the three months ended November 30, 2017 compared to $203,000 attributable to EXCOR during the three months ended November 30, 2016.</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increased 27.5% for the three months ended November 30, 2017 compared to the same period in fiscal 2017 due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increases in operating expenses associated with ZERUST® sales efforts, consisting primarily of selling and personnel expense. Selling expenses as a percentage of net sales increased slightly to 22.5% for the three months ended November 30, 2017, from 21.0% during the three months ended November 30, 2016 primarily due to the increase in selling expenses, as previously described.</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NTIC’s general and administrative expenses decreased 10.2% for the three months ended November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fiscal 2017 primarily due to cost savings initiatives related to personnel costs. As a percentage of net sales, general and administrative expenses decreased to 19.2% for the three months ended November 30, 2017 from 25.5% for the three months ended November 30, 2016 due primarily to the decrease noted above.</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NTIC’s research and development expenses increased 24.3% for the three months ended November 30, 2017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period in fiscal 2017 due primarily increases in research and development efforts.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increased to $24,056 during the three months ended November 30, 2017 compared to $3,563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November 30, 2016 due to changing levels of invested cash.</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increased to $5,089 during the three months ended November 30, 2017 compared to $4,623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November 30, 2016.</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Income Before Income Tax Expense</w:t>
      </w:r>
      <w:r>
        <w:rPr>
          <w:rFonts w:ascii="Arial" w:cs="Arial" w:eastAsia="Arial" w:hAnsi="Arial"/>
          <w:sz w:val="18"/>
          <w:szCs w:val="18"/>
          <w:color w:val="auto"/>
        </w:rPr>
        <w:t>. NTIC incurred income before income tax expense equal to $1,303,580 for the three months ended November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$524,406 for the three months ended November 30, 2016.</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was $104,991 during the three months ended November 30, 2017 compared to an income tax expense of $117,713</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November 30, 2016. Income tax expense was calculated based on management’s estimate of NTIC’s annual effective income tax rate.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spacing w:after="0" w:line="257" w:lineRule="auto"/>
        <w:rPr>
          <w:sz w:val="20"/>
          <w:szCs w:val="20"/>
          <w:color w:val="auto"/>
        </w:rPr>
      </w:pPr>
      <w:r>
        <w:rPr>
          <w:rFonts w:ascii="Arial" w:cs="Arial" w:eastAsia="Arial" w:hAnsi="Arial"/>
          <w:sz w:val="18"/>
          <w:szCs w:val="18"/>
          <w:color w:val="auto"/>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$19,590,029 and $17,960,860 at November 30, 2017 and August 31, 2017, respectively. To the extent undistributed earnings of NTIC’s joint ventures are distributed in the future, they are not expected to result in any material additional income tax liability after the application of foreign tax credits.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December 22, 2017, the Tax Cuts and Jobs Act (Act), was enacted into law and is expected to impact NTIC’s operating results, cash flows, and financial condition. We are currently evaluating the potential impacts of the Act. The Act includes a number of provisions, including the lowering of the U.S. corporate tax rate from 35 percent to 21 percent, effective January 1, 2018. The Act also includes provisions that may partially offset the benefit of such rate reduction, including the repeal of the deduction for domestic production activities. The effect of the international provisions of the Act, which generally establish a territorial-style system for taxing foreign-source income of domestic multinational corporations, is uncertain. As a result of the Act, we expect there will be one-time adjustments for the re-measurement of deferred tax assets (liabilities) and the deemed repatriation tax on unremitted foreign earnings and profits. Quantifying the impacts of the Act is not practicable at this time due, among other things, to the inherent complexities involved. Accordingly, we expect to continue to analyze such impacts and record any such amounts in the second quarter of fiscal 2018.</w:t>
      </w:r>
    </w:p>
    <w:p>
      <w:pPr>
        <w:spacing w:after="0" w:line="17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Other Comprehensive Income - Foreign Currency Translations Adjustment. </w:t>
      </w:r>
      <w:r>
        <w:rPr>
          <w:rFonts w:ascii="Arial" w:cs="Arial" w:eastAsia="Arial" w:hAnsi="Arial"/>
          <w:sz w:val="18"/>
          <w:szCs w:val="18"/>
          <w:color w:val="auto"/>
        </w:rPr>
        <w:t>The changes in the foreign currency translations adjustment was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 of the U.S. dollar compared to the Euro and other foreign currencies during the three months ended November 30, 2017 compared to the same period in fiscal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NTIC’s working capital was $20,382,706 at November 30, 2017, including $4,627,213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$3,770,241 in available for sale securities, compared to $21,173,001 at August 31, 2017, including $6,360,201 in cash and cash equivalents and $3,766,984 in available for sale securities.</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November 30, 2017, NTIC had a revolving line of credit with PNC Bank of $3,000,000, with no amounts outstanding.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lines of credit issued by PNC Bank would decrease the availability under the revolving line of credit.</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line of credit is subject to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November 30, 2017, NTIC was in compliance with all debt covenants.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January 5, 2018, NTIC and PNC Bank extended the maturity date of the line of credit from January 7, 2018 to January 7, 2019. All other terms of the line of credit and the loan agreement and other documents evidencing the line of credit remain the same. It is anticipated that, as historically has been the practice, the line of credit will be renewed each year for one additional year for the immediate foreseeable future.</w:t>
      </w:r>
    </w:p>
    <w:p>
      <w:pPr>
        <w:spacing w:after="0" w:line="18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the remainder of fiscal 2018, NTIC expects to continue to invest in NTIC China, research and development and in marketing efforts and resources for the application of its corrosion prevention technology in the oil and gas industry and its Natur-Tec® bio-plastics business, although the amounts of these various investments are not known at this time.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25" w:name="page26"/>
    <w:bookmarkEnd w:id="25"/>
    <w:p>
      <w:pPr>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Uses of Cash and Cash Flows</w:t>
      </w:r>
      <w:r>
        <w:rPr>
          <w:rFonts w:ascii="Arial" w:cs="Arial" w:eastAsia="Arial" w:hAnsi="Arial"/>
          <w:sz w:val="18"/>
          <w:szCs w:val="18"/>
          <w:color w:val="auto"/>
        </w:rPr>
        <w:t>. Net cash used in operating activities during the three months ended November 30, 2017 was $1,429,783, which resulted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from NTIC’s equity in income from joint ventures, an increase in inventory and increases in trade receivables excluding joint ventures, accrued liabilities, and income tax payable, partially offset by NTIC’s net income, depreciation and amortization and an increase in accounts payable. Net cash used in operating activities during the three months ended November 30, 2016 was $924,426, which resulted principally from NTIC’s equity in income from joint ventures, a decrease in inventory and increases in trade receivables, prepaid expenses, accrued liabilities, and income tax payable, partially offset by NTIC’s net income, depreciation and amortization.</w:t>
      </w:r>
    </w:p>
    <w:p>
      <w:pPr>
        <w:spacing w:after="0" w:line="193"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18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NTIC experienced an increase in trade receivables and inventory as of November 30, 2017 compared to August 31, 2017. Trade receivables excluding joint ventures as of November 30, 2017 increased $1,339,190 compared to August 31, 2017, primarily related to the timing of collections and the increase in sales.</w:t>
      </w:r>
    </w:p>
    <w:p>
      <w:pPr>
        <w:spacing w:after="0" w:line="12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Outstanding trade receivables excluding joint ventures balances as of November 30, 2017 increased 4 days to an average of 60 days from balances outstanding from these customers as of August 31,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6" w:name="page27"/>
    <w:bookmarkEnd w:id="26"/>
    <w:p>
      <w:pPr>
        <w:ind w:right="100"/>
        <w:spacing w:after="0" w:line="279" w:lineRule="auto"/>
        <w:rPr>
          <w:sz w:val="20"/>
          <w:szCs w:val="20"/>
          <w:color w:val="auto"/>
        </w:rPr>
      </w:pPr>
      <w:r>
        <w:rPr>
          <w:rFonts w:ascii="Arial" w:cs="Arial" w:eastAsia="Arial" w:hAnsi="Arial"/>
          <w:sz w:val="17"/>
          <w:szCs w:val="17"/>
          <w:color w:val="auto"/>
        </w:rPr>
        <w:t>Outstanding trade receivables from joint ventures as of November 30, 2017 decreased $171,099 compared to August 31, 2017 primarily due to the timing of payments. Outstanding balances from trade receivables from joint ventures increased an average of 36 days from an average of 58 days from balances outstanding from these customers compared to August 31, 2017. The significant average days outstanding of trade receivables from joint ventures as of November 30, 2017 were primarily due to the receivables balances at NTIC’s joint ventures in South Korea and Thailand.</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Outstanding receivables for services provided to joint ventures as of November 30, 2017 increased $7,874 compared to August 31, 2017 and the average days to pay did not change compared to August 31, 2017.</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used in investing activities for the three months ended November 30, 2017 was $121,930, which was primarily the result of cash used in the purchase of available for sale securities, additions to property and equipment, and additions to patents. Net cash provided by investing activities for the three months ended November 30, 2016 was $327,105, which was primarily the result of cash proceeds from the sale of available for sale securities, partially offset by additions to property and equipment and additions to patents.</w:t>
      </w:r>
    </w:p>
    <w:p>
      <w:pPr>
        <w:spacing w:after="0" w:line="18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Net cash used in financing activities for the three months ended November 30, 2017 was $172,144, which resulted from a dividend paid to a non-controlling interest partially offset by proceeds from NTIC’s employee stock purchase plan and stock option exercises. Net cash used in financing activities for the three months ended November 30, 2016 was $238,757, which resulted from dividends paid to a non-controlling interest and stock repurchases, partially offset by proceeds from NTIC’s employee stock purchase plan.</w:t>
      </w:r>
    </w:p>
    <w:p>
      <w:pPr>
        <w:spacing w:after="0" w:line="187"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i w:val="1"/>
          <w:iCs w:val="1"/>
          <w:color w:val="auto"/>
        </w:rPr>
        <w:t>Share Repurchase Plan</w:t>
      </w:r>
      <w:r>
        <w:rPr>
          <w:rFonts w:ascii="Arial" w:cs="Arial" w:eastAsia="Arial" w:hAnsi="Arial"/>
          <w:sz w:val="16"/>
          <w:szCs w:val="16"/>
          <w:color w:val="auto"/>
        </w:rPr>
        <w:t>. On January 15, 2015, NTIC’s Board of Directors authorized the repurchase of up to $3,000,000 in shares of NTIC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open market purchases or unsolicited or solicited privately negotiated transactions. This program has no expiration date but may be terminated by NTIC’s Board of Directors at any time. No repurchases occurred during the three months ended November 30, 2017. As of November 30, 2017, up to $2,640,548 in shares of NTIC common stock remained available for repurchase under NTIC’s stock repurchase program.</w:t>
      </w:r>
    </w:p>
    <w:p>
      <w:pPr>
        <w:spacing w:after="0" w:line="15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Cash Dividends</w:t>
      </w:r>
      <w:r>
        <w:rPr>
          <w:rFonts w:ascii="Arial" w:cs="Arial" w:eastAsia="Arial" w:hAnsi="Arial"/>
          <w:sz w:val="16"/>
          <w:szCs w:val="16"/>
          <w:color w:val="auto"/>
        </w:rPr>
        <w:t>. On November 20, 2017, NTIC’s Board of Directors declared a cash dividend of $0.10 per share of NTIC’s common stock, payable on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21, 2017 to stockholders of record on December 8, 2017. Although NTIC’s Board of Directors intends to declare regular quarterly cash dividends going forward,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w:t>
      </w:r>
    </w:p>
    <w:p>
      <w:pPr>
        <w:spacing w:after="0" w:line="154"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spent $87,250 on capital expenditures during the three months ended November 30, 2017, which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the purchase of new equipment. NTIC expects to spend an aggregate of approximately $300,000 to $600,000 on capital expenditures during fiscal 2018, which it expects will relate primarily to the purchase of new equipment.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There has been no material change to NTIC’s contractual obligations as provided in “</w:t>
      </w:r>
      <w:r>
        <w:rPr>
          <w:rFonts w:ascii="Arial" w:cs="Arial" w:eastAsia="Arial" w:hAnsi="Arial"/>
          <w:sz w:val="16"/>
          <w:szCs w:val="16"/>
          <w:i w:val="1"/>
          <w:iCs w:val="1"/>
          <w:color w:val="auto"/>
        </w:rPr>
        <w:t>Part II. Item 7, 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Operations—Contractual Obligations</w:t>
      </w:r>
      <w:r>
        <w:rPr>
          <w:rFonts w:ascii="Arial" w:cs="Arial" w:eastAsia="Arial" w:hAnsi="Arial"/>
          <w:sz w:val="16"/>
          <w:szCs w:val="16"/>
          <w:color w:val="auto"/>
        </w:rPr>
        <w:t>,” included in NTIC’s annual report on Form 10-K for the fiscal year ended August 31, 2017.</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Inflation in the United States and abroad historically has had little effect on NTIC. Although NTIC’s business historically has not been seasonal, NTIC believes there is now some seasonality in its business. NTIC anticipates its net sales in second fiscal quarter may be adversely affected by the long Chinese New Year, the North American holiday season and overall less corrosion taking place at lower winter temperatures worldwide.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income. NTIC does not hedge against its foreign currency exchange rate risk.</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November 30, 2017, NTIC had no borrowings under the line of credit.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w:t>
      </w:r>
      <w:r>
        <w:rPr>
          <w:rFonts w:ascii="Arial" w:cs="Arial" w:eastAsia="Arial" w:hAnsi="Arial"/>
          <w:sz w:val="18"/>
          <w:szCs w:val="18"/>
          <w:i w:val="1"/>
          <w:iCs w:val="1"/>
          <w:color w:val="auto"/>
        </w:rPr>
        <w:t>Part II. Item 7,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Operations—Critical Accounting Policies</w:t>
      </w:r>
      <w:r>
        <w:rPr>
          <w:rFonts w:ascii="Arial" w:cs="Arial" w:eastAsia="Arial" w:hAnsi="Arial"/>
          <w:sz w:val="18"/>
          <w:szCs w:val="18"/>
          <w:color w:val="auto"/>
        </w:rPr>
        <w:t>,” included in NTIC’s annual report on Form 10-K</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ended August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on Form 10-Q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outcome of contingencies such as legal proceedings and the effect of the liquidation of Tianjin Zerust and the operations of NTIC China.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Arial" w:cs="Arial" w:eastAsia="Arial" w:hAnsi="Arial"/>
          <w:sz w:val="17"/>
          <w:szCs w:val="17"/>
          <w:i w:val="1"/>
          <w:iCs w:val="1"/>
          <w:color w:val="auto"/>
        </w:rPr>
        <w:t>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Condition and Results of Operations</w:t>
      </w:r>
      <w:r>
        <w:rPr>
          <w:rFonts w:ascii="Arial" w:cs="Arial" w:eastAsia="Arial" w:hAnsi="Arial"/>
          <w:sz w:val="17"/>
          <w:szCs w:val="17"/>
          <w:color w:val="auto"/>
        </w:rPr>
        <w:t>.”</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7" w:lineRule="exact"/>
        <w:rPr>
          <w:sz w:val="20"/>
          <w:szCs w:val="20"/>
          <w:color w:val="auto"/>
        </w:rPr>
      </w:pPr>
    </w:p>
    <w:p>
      <w:pPr>
        <w:ind w:left="980" w:right="5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and any turmoil and disruption in the global credit and financial markets on NTIC’s business;</w:t>
      </w:r>
    </w:p>
    <w:p>
      <w:pPr>
        <w:spacing w:after="0" w:line="174" w:lineRule="exact"/>
        <w:rPr>
          <w:rFonts w:ascii="Arial" w:cs="Arial" w:eastAsia="Arial" w:hAnsi="Arial"/>
          <w:sz w:val="18"/>
          <w:szCs w:val="18"/>
          <w:color w:val="auto"/>
        </w:rPr>
      </w:pPr>
    </w:p>
    <w:p>
      <w:pPr>
        <w:ind w:left="980" w:right="500" w:hanging="324"/>
        <w:spacing w:after="0" w:line="202" w:lineRule="auto"/>
        <w:tabs>
          <w:tab w:leader="none" w:pos="980" w:val="left"/>
        </w:tabs>
        <w:numPr>
          <w:ilvl w:val="0"/>
          <w:numId w:val="18"/>
        </w:numPr>
        <w:rPr>
          <w:rFonts w:ascii="Arial" w:cs="Arial" w:eastAsia="Arial" w:hAnsi="Arial"/>
          <w:sz w:val="36"/>
          <w:szCs w:val="36"/>
          <w:color w:val="auto"/>
          <w:vertAlign w:val="superscript"/>
        </w:rPr>
      </w:pPr>
      <w:r>
        <w:rPr>
          <w:rFonts w:ascii="Arial" w:cs="Arial" w:eastAsia="Arial" w:hAnsi="Arial"/>
          <w:sz w:val="18"/>
          <w:szCs w:val="18"/>
          <w:color w:val="auto"/>
        </w:rPr>
        <w:t>The variability in NTIC’s sales of ZERUST® products and services into oil and gas industry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NTIC’s equity income of joint ventures, which variability in sales and equity in income from joint venture in turn, subject NTIC’s earnings to quarterly fluctuations;</w:t>
      </w:r>
    </w:p>
    <w:p>
      <w:pPr>
        <w:spacing w:after="0" w:line="204" w:lineRule="exact"/>
        <w:rPr>
          <w:rFonts w:ascii="Arial" w:cs="Arial" w:eastAsia="Arial" w:hAnsi="Arial"/>
          <w:sz w:val="36"/>
          <w:szCs w:val="36"/>
          <w:color w:val="auto"/>
          <w:vertAlign w:val="superscript"/>
        </w:rPr>
      </w:pPr>
    </w:p>
    <w:p>
      <w:pPr>
        <w:ind w:left="980" w:right="3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and import duties and taxes;</w:t>
      </w:r>
    </w:p>
    <w:p>
      <w:pPr>
        <w:spacing w:after="0" w:line="170"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United Kingdom’s process to exit the European Union on NTIC’s operating results, including in particular future net sales of NTIC’s European and other joint ventures;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25" w:lineRule="exact"/>
        <w:rPr>
          <w:rFonts w:ascii="Arial" w:cs="Arial" w:eastAsia="Arial" w:hAnsi="Arial"/>
          <w:sz w:val="18"/>
          <w:szCs w:val="18"/>
          <w:color w:val="auto"/>
        </w:rPr>
      </w:pPr>
    </w:p>
    <w:p>
      <w:pPr>
        <w:ind w:left="980" w:right="60" w:hanging="324"/>
        <w:spacing w:after="0" w:line="222"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into oil and gas industry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29" w:name="page30"/>
    <w:bookmarkEnd w:id="29"/>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28" w:lineRule="exact"/>
        <w:rPr>
          <w:rFonts w:ascii="Arial" w:cs="Arial" w:eastAsia="Arial" w:hAnsi="Arial"/>
          <w:sz w:val="18"/>
          <w:szCs w:val="18"/>
          <w:color w:val="auto"/>
        </w:rPr>
      </w:pPr>
    </w:p>
    <w:p>
      <w:pPr>
        <w:ind w:left="324" w:right="320" w:hanging="324"/>
        <w:spacing w:after="0" w:line="186" w:lineRule="auto"/>
        <w:tabs>
          <w:tab w:leader="none" w:pos="324" w:val="left"/>
        </w:tabs>
        <w:numPr>
          <w:ilvl w:val="0"/>
          <w:numId w:val="19"/>
        </w:numPr>
        <w:rPr>
          <w:rFonts w:ascii="Arial" w:cs="Arial" w:eastAsia="Arial" w:hAnsi="Arial"/>
          <w:sz w:val="36"/>
          <w:szCs w:val="36"/>
          <w:color w:val="auto"/>
          <w:vertAlign w:val="superscript"/>
        </w:rPr>
      </w:pPr>
      <w:r>
        <w:rPr>
          <w:rFonts w:ascii="Arial" w:cs="Arial" w:eastAsia="Arial" w:hAnsi="Arial"/>
          <w:sz w:val="18"/>
          <w:szCs w:val="18"/>
          <w:color w:val="auto"/>
        </w:rPr>
        <w:t>Maturation of certain existing markets for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207" w:lineRule="exact"/>
        <w:rPr>
          <w:rFonts w:ascii="Arial" w:cs="Arial" w:eastAsia="Arial" w:hAnsi="Arial"/>
          <w:sz w:val="36"/>
          <w:szCs w:val="36"/>
          <w:color w:val="auto"/>
          <w:vertAlign w:val="superscript"/>
        </w:rPr>
      </w:pPr>
    </w:p>
    <w:p>
      <w:pPr>
        <w:ind w:left="324" w:right="20" w:hanging="324"/>
        <w:spacing w:after="0" w:line="186" w:lineRule="auto"/>
        <w:tabs>
          <w:tab w:leader="none" w:pos="324" w:val="left"/>
        </w:tabs>
        <w:numPr>
          <w:ilvl w:val="0"/>
          <w:numId w:val="19"/>
        </w:numPr>
        <w:rPr>
          <w:rFonts w:ascii="Arial" w:cs="Arial" w:eastAsia="Arial" w:hAnsi="Arial"/>
          <w:sz w:val="36"/>
          <w:szCs w:val="36"/>
          <w:color w:val="auto"/>
          <w:vertAlign w:val="superscript"/>
        </w:rPr>
      </w:pPr>
      <w:r>
        <w:rPr>
          <w:rFonts w:ascii="Arial" w:cs="Arial" w:eastAsia="Arial" w:hAnsi="Arial"/>
          <w:sz w:val="18"/>
          <w:szCs w:val="18"/>
          <w:color w:val="auto"/>
        </w:rPr>
        <w:t>Increased competition, especially with respect to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203" w:lineRule="exact"/>
        <w:rPr>
          <w:rFonts w:ascii="Arial" w:cs="Arial" w:eastAsia="Arial" w:hAnsi="Arial"/>
          <w:sz w:val="36"/>
          <w:szCs w:val="36"/>
          <w:color w:val="auto"/>
          <w:vertAlign w:val="superscript"/>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205" w:lineRule="exact"/>
        <w:rPr>
          <w:rFonts w:ascii="Arial" w:cs="Arial" w:eastAsia="Arial" w:hAnsi="Arial"/>
          <w:sz w:val="18"/>
          <w:szCs w:val="18"/>
          <w:color w:val="auto"/>
        </w:rPr>
      </w:pPr>
    </w:p>
    <w:p>
      <w:pPr>
        <w:ind w:left="324" w:hanging="324"/>
        <w:spacing w:after="0"/>
        <w:tabs>
          <w:tab w:leader="none" w:pos="324" w:val="left"/>
        </w:tabs>
        <w:numPr>
          <w:ilvl w:val="0"/>
          <w:numId w:val="19"/>
        </w:numPr>
        <w:rPr>
          <w:rFonts w:ascii="Arial" w:cs="Arial" w:eastAsia="Arial" w:hAnsi="Arial"/>
          <w:sz w:val="36"/>
          <w:szCs w:val="36"/>
          <w:color w:val="auto"/>
          <w:vertAlign w:val="superscript"/>
        </w:rPr>
      </w:pPr>
      <w:r>
        <w:rPr>
          <w:rFonts w:ascii="Arial" w:cs="Arial" w:eastAsia="Arial" w:hAnsi="Arial"/>
          <w:sz w:val="18"/>
          <w:szCs w:val="18"/>
          <w:color w:val="auto"/>
        </w:rPr>
        <w:t>Oil prices, which may affect sales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into the oil and gas industry;</w:t>
      </w:r>
    </w:p>
    <w:p>
      <w:pPr>
        <w:spacing w:after="0" w:line="78" w:lineRule="exact"/>
        <w:rPr>
          <w:rFonts w:ascii="Arial" w:cs="Arial" w:eastAsia="Arial" w:hAnsi="Arial"/>
          <w:sz w:val="36"/>
          <w:szCs w:val="36"/>
          <w:color w:val="auto"/>
          <w:vertAlign w:val="superscript"/>
        </w:rPr>
      </w:pPr>
    </w:p>
    <w:p>
      <w:pPr>
        <w:ind w:left="324" w:hanging="324"/>
        <w:spacing w:after="0" w:line="277" w:lineRule="auto"/>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operations in China, the termination of the joint venture agreements with Tianjin Zerust, and the anticipated liquidation of Tianjin Zerust and the effect of all these events on NTIC’s business and future operating results;</w:t>
      </w:r>
    </w:p>
    <w:p>
      <w:pPr>
        <w:spacing w:after="0" w:line="170" w:lineRule="exact"/>
        <w:rPr>
          <w:rFonts w:ascii="Arial" w:cs="Arial" w:eastAsia="Arial" w:hAnsi="Arial"/>
          <w:sz w:val="18"/>
          <w:szCs w:val="18"/>
          <w:color w:val="auto"/>
        </w:rPr>
      </w:pPr>
    </w:p>
    <w:p>
      <w:pPr>
        <w:ind w:left="324" w:right="320" w:hanging="324"/>
        <w:spacing w:after="0" w:line="277" w:lineRule="auto"/>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Pending and future litigation;</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ability to maintain effective internal control over financial reporting, especially in light of its joint venture arrangements;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applicable laws or regulations and NTIC’s failure to comply with applicable laws, rules and regulations;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and the effect of new accounting pronouncements;</w:t>
      </w:r>
    </w:p>
    <w:p>
      <w:pPr>
        <w:spacing w:after="0" w:line="200" w:lineRule="exact"/>
        <w:rPr>
          <w:sz w:val="20"/>
          <w:szCs w:val="20"/>
          <w:color w:val="auto"/>
        </w:rPr>
      </w:pPr>
    </w:p>
    <w:p>
      <w:pPr>
        <w:spacing w:after="0" w:line="24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44"/>
          </w:cols>
          <w:pgMar w:left="896" w:top="692" w:right="259" w:bottom="1440" w:gutter="0" w:footer="0" w:header="0"/>
        </w:sectPr>
      </w:pPr>
    </w:p>
    <w:bookmarkStart w:id="30" w:name="page31"/>
    <w:bookmarkEnd w:id="30"/>
    <w:p>
      <w:pPr>
        <w:ind w:left="980" w:right="32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NTIC’s effective tax rate, including from the recently enacted Tax Cuts and Jobs Act, and the amount of an anticipated write down of NTIC’s deferred tax assets as a result of such new legislation;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 of extreme weather conditions on NTIC’s operating results;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2017 under the heading “</w:t>
      </w:r>
      <w:r>
        <w:rPr>
          <w:rFonts w:ascii="Arial" w:cs="Arial" w:eastAsia="Arial" w:hAnsi="Arial"/>
          <w:sz w:val="17"/>
          <w:szCs w:val="17"/>
          <w:i w:val="1"/>
          <w:iCs w:val="1"/>
          <w:color w:val="auto"/>
        </w:rPr>
        <w:t>Part I. Item 1A. Risk Factors</w:t>
      </w:r>
      <w:r>
        <w:rPr>
          <w:rFonts w:ascii="Arial" w:cs="Arial" w:eastAsia="Arial" w:hAnsi="Arial"/>
          <w:sz w:val="17"/>
          <w:szCs w:val="17"/>
          <w:color w:val="auto"/>
        </w:rPr>
        <w:t>.”</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November 30, 2017, NTIC had no borrowings under the line of credit.</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31" w:name="page32"/>
    <w:bookmarkEnd w:id="31"/>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November 30, 2017 that has materially affected, or is reasonably likely to materially affect NTIC’s internal control over financial reporting.</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32" w:name="page33"/>
    <w:bookmarkEnd w:id="32"/>
    <w:p>
      <w:pPr>
        <w:spacing w:after="0"/>
        <w:tabs>
          <w:tab w:leader="none" w:pos="1280" w:val="left"/>
        </w:tabs>
        <w:rPr>
          <w:sz w:val="20"/>
          <w:szCs w:val="20"/>
          <w:color w:val="auto"/>
        </w:rPr>
      </w:pPr>
      <w:r>
        <w:rPr>
          <w:rFonts w:ascii="Arial" w:cs="Arial" w:eastAsia="Arial" w:hAnsi="Arial"/>
          <w:sz w:val="18"/>
          <w:szCs w:val="18"/>
          <w:b w:val="1"/>
          <w:bCs w:val="1"/>
          <w:color w:val="auto"/>
        </w:rPr>
        <w:t>PART II -</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March 23, 2015, NTIC and NTI Asean LLC (NTI Asean), a majority-owned subsidiary of NTIC, filed a lawsuit in Tianjin No 1 Intermediate People’s Court against two individuals, Tao Meng and Xu Hui, related to breaches of duties and contractual commitments owed to NTI Asean under certain agreements related to NTIC’s former joint venture in China, Tianjin Zerust Anti-Corrosion Technologies Ltd. (Tianjin Zerust). The lawsuit alleges, among other things, that Mr. Tao Meng and Xu Hui have engaged in self-dealing, usurped business opportunities, and received economic benefits that were required to go to Tianjin Zerust. At this point it is too early in the lawsuit to reasonably estimate the amount of any recovery to NTI Asean, if any.</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three months ended November 30, 2017, NTIC did not issue any shares of its common stock or other equity securities of NTIC that were not registered under the Securities Act of 1933,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NTIC’s first quarter of fiscal 2018 stock repurchase activity.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100" w:type="dxa"/>
            <w:vAlign w:val="bottom"/>
            <w:tcBorders>
              <w:top w:val="single" w:sz="8" w:color="auto"/>
              <w:left w:val="single" w:sz="8" w:color="auto"/>
              <w:right w:val="single" w:sz="8" w:color="auto"/>
            </w:tcBorders>
          </w:tcPr>
          <w:p>
            <w:pPr>
              <w:spacing w:after="0"/>
              <w:rPr>
                <w:sz w:val="18"/>
                <w:szCs w:val="18"/>
                <w:color w:val="auto"/>
              </w:rPr>
            </w:pPr>
          </w:p>
        </w:tc>
        <w:tc>
          <w:tcPr>
            <w:tcW w:w="1840" w:type="dxa"/>
            <w:vAlign w:val="bottom"/>
            <w:tcBorders>
              <w:top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Total Number of Shares (or</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31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Total Number of</w:t>
            </w: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Units) Purchased As Part of</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Shares (or Units) that May</w:t>
            </w:r>
          </w:p>
        </w:tc>
      </w:tr>
      <w:tr>
        <w:trPr>
          <w:trHeight w:val="216"/>
        </w:trPr>
        <w:tc>
          <w:tcPr>
            <w:tcW w:w="31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3"/>
              </w:rPr>
              <w:t>Shares</w:t>
            </w:r>
          </w:p>
        </w:tc>
        <w:tc>
          <w:tcPr>
            <w:tcW w:w="216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Average Price Paid Per</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Yet Be Purchased Under</w:t>
            </w:r>
          </w:p>
        </w:tc>
      </w:tr>
      <w:tr>
        <w:trPr>
          <w:trHeight w:val="234"/>
        </w:trPr>
        <w:tc>
          <w:tcPr>
            <w:tcW w:w="3100" w:type="dxa"/>
            <w:vAlign w:val="bottom"/>
            <w:tcBorders>
              <w:left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b w:val="1"/>
                <w:bCs w:val="1"/>
                <w:color w:val="auto"/>
              </w:rPr>
              <w:t>Period</w:t>
            </w:r>
          </w:p>
        </w:tc>
        <w:tc>
          <w:tcPr>
            <w:tcW w:w="184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(or Units) Purchased</w:t>
            </w:r>
          </w:p>
        </w:tc>
        <w:tc>
          <w:tcPr>
            <w:tcW w:w="21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Share (or Unit)</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the Plans or Programs</w:t>
            </w:r>
          </w:p>
        </w:tc>
      </w:tr>
      <w:tr>
        <w:trPr>
          <w:trHeight w:val="195"/>
        </w:trPr>
        <w:tc>
          <w:tcPr>
            <w:tcW w:w="3100" w:type="dxa"/>
            <w:vAlign w:val="bottom"/>
            <w:tcBorders>
              <w:left w:val="single" w:sz="8" w:color="auto"/>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88"/>
              </w:rPr>
              <w:t>September 1, 2017 through September 30,</w:t>
            </w:r>
          </w:p>
        </w:tc>
        <w:tc>
          <w:tcPr>
            <w:tcW w:w="1840" w:type="dxa"/>
            <w:vAlign w:val="bottom"/>
            <w:tcBorders>
              <w:right w:val="single" w:sz="8" w:color="auto"/>
            </w:tcBorders>
            <w:shd w:val="clear" w:color="auto" w:fill="CCEEFF"/>
          </w:tcPr>
          <w:p>
            <w:pPr>
              <w:jc w:val="right"/>
              <w:ind w:right="790"/>
              <w:spacing w:after="0" w:line="195" w:lineRule="exact"/>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shd w:val="clear" w:color="auto" w:fill="CCEEFF"/>
          </w:tcPr>
          <w:p>
            <w:pPr>
              <w:jc w:val="right"/>
              <w:ind w:right="910"/>
              <w:spacing w:after="0" w:line="195" w:lineRule="exact"/>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0</w:t>
            </w:r>
          </w:p>
        </w:tc>
        <w:tc>
          <w:tcPr>
            <w:tcW w:w="21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(1)</w:t>
            </w:r>
          </w:p>
        </w:tc>
      </w:tr>
      <w:tr>
        <w:trPr>
          <w:trHeight w:val="230"/>
        </w:trPr>
        <w:tc>
          <w:tcPr>
            <w:tcW w:w="31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840" w:type="dxa"/>
            <w:vAlign w:val="bottom"/>
            <w:tcBorders>
              <w:bottom w:val="single" w:sz="8" w:color="auto"/>
              <w:right w:val="single" w:sz="8" w:color="auto"/>
            </w:tcBorders>
            <w:shd w:val="clear" w:color="auto" w:fill="CCEEFF"/>
          </w:tcPr>
          <w:p>
            <w:pPr>
              <w:spacing w:after="0"/>
              <w:rPr>
                <w:sz w:val="20"/>
                <w:szCs w:val="20"/>
                <w:color w:val="auto"/>
              </w:rPr>
            </w:pPr>
          </w:p>
        </w:tc>
        <w:tc>
          <w:tcPr>
            <w:tcW w:w="2160" w:type="dxa"/>
            <w:vAlign w:val="bottom"/>
            <w:tcBorders>
              <w:bottom w:val="single" w:sz="8" w:color="auto"/>
              <w:right w:val="single" w:sz="8" w:color="auto"/>
            </w:tcBorders>
            <w:shd w:val="clear" w:color="auto" w:fill="CCEEFF"/>
          </w:tcPr>
          <w:p>
            <w:pPr>
              <w:spacing w:after="0"/>
              <w:rPr>
                <w:sz w:val="20"/>
                <w:szCs w:val="20"/>
                <w:color w:val="auto"/>
              </w:rPr>
            </w:pPr>
          </w:p>
        </w:tc>
        <w:tc>
          <w:tcPr>
            <w:tcW w:w="2160" w:type="dxa"/>
            <w:vAlign w:val="bottom"/>
            <w:tcBorders>
              <w:bottom w:val="single" w:sz="8" w:color="auto"/>
              <w:right w:val="single" w:sz="8" w:color="auto"/>
            </w:tcBorders>
            <w:shd w:val="clear" w:color="auto" w:fill="CCEEFF"/>
          </w:tcPr>
          <w:p>
            <w:pPr>
              <w:spacing w:after="0"/>
              <w:rPr>
                <w:sz w:val="20"/>
                <w:szCs w:val="20"/>
                <w:color w:val="auto"/>
              </w:rPr>
            </w:pPr>
          </w:p>
        </w:tc>
        <w:tc>
          <w:tcPr>
            <w:tcW w:w="21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5"/>
        </w:trPr>
        <w:tc>
          <w:tcPr>
            <w:tcW w:w="310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October 1, 2017 through October 31,</w:t>
            </w:r>
          </w:p>
        </w:tc>
        <w:tc>
          <w:tcPr>
            <w:tcW w:w="1840" w:type="dxa"/>
            <w:vAlign w:val="bottom"/>
            <w:tcBorders>
              <w:right w:val="single" w:sz="8" w:color="auto"/>
            </w:tcBorders>
          </w:tcPr>
          <w:p>
            <w:pPr>
              <w:jc w:val="right"/>
              <w:ind w:right="790"/>
              <w:spacing w:after="0" w:line="195" w:lineRule="exact"/>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tcPr>
          <w:p>
            <w:pPr>
              <w:jc w:val="right"/>
              <w:ind w:right="910"/>
              <w:spacing w:after="0" w:line="195" w:lineRule="exact"/>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0</w:t>
            </w:r>
          </w:p>
        </w:tc>
        <w:tc>
          <w:tcPr>
            <w:tcW w:w="2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(1)</w:t>
            </w:r>
          </w:p>
        </w:tc>
      </w:tr>
      <w:tr>
        <w:trPr>
          <w:trHeight w:val="230"/>
        </w:trPr>
        <w:tc>
          <w:tcPr>
            <w:tcW w:w="3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2017</w:t>
            </w:r>
          </w:p>
        </w:tc>
        <w:tc>
          <w:tcPr>
            <w:tcW w:w="184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r>
      <w:tr>
        <w:trPr>
          <w:trHeight w:val="195"/>
        </w:trPr>
        <w:tc>
          <w:tcPr>
            <w:tcW w:w="3100" w:type="dxa"/>
            <w:vAlign w:val="bottom"/>
            <w:tcBorders>
              <w:left w:val="single" w:sz="8" w:color="auto"/>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1"/>
              </w:rPr>
              <w:t>November 1, 2017 through November 30,</w:t>
            </w:r>
          </w:p>
        </w:tc>
        <w:tc>
          <w:tcPr>
            <w:tcW w:w="1840" w:type="dxa"/>
            <w:vAlign w:val="bottom"/>
            <w:tcBorders>
              <w:right w:val="single" w:sz="8" w:color="auto"/>
            </w:tcBorders>
            <w:shd w:val="clear" w:color="auto" w:fill="CCEEFF"/>
          </w:tcPr>
          <w:p>
            <w:pPr>
              <w:jc w:val="right"/>
              <w:ind w:right="790"/>
              <w:spacing w:after="0" w:line="195" w:lineRule="exact"/>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shd w:val="clear" w:color="auto" w:fill="CCEEFF"/>
          </w:tcPr>
          <w:p>
            <w:pPr>
              <w:jc w:val="right"/>
              <w:ind w:right="910"/>
              <w:spacing w:after="0" w:line="195" w:lineRule="exact"/>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0</w:t>
            </w:r>
          </w:p>
        </w:tc>
        <w:tc>
          <w:tcPr>
            <w:tcW w:w="21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(1)</w:t>
            </w:r>
          </w:p>
        </w:tc>
      </w:tr>
      <w:tr>
        <w:trPr>
          <w:trHeight w:val="230"/>
        </w:trPr>
        <w:tc>
          <w:tcPr>
            <w:tcW w:w="31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840" w:type="dxa"/>
            <w:vAlign w:val="bottom"/>
            <w:tcBorders>
              <w:bottom w:val="single" w:sz="8" w:color="auto"/>
              <w:right w:val="single" w:sz="8" w:color="auto"/>
            </w:tcBorders>
            <w:shd w:val="clear" w:color="auto" w:fill="CCEEFF"/>
          </w:tcPr>
          <w:p>
            <w:pPr>
              <w:spacing w:after="0"/>
              <w:rPr>
                <w:sz w:val="20"/>
                <w:szCs w:val="20"/>
                <w:color w:val="auto"/>
              </w:rPr>
            </w:pPr>
          </w:p>
        </w:tc>
        <w:tc>
          <w:tcPr>
            <w:tcW w:w="2160" w:type="dxa"/>
            <w:vAlign w:val="bottom"/>
            <w:tcBorders>
              <w:bottom w:val="single" w:sz="8" w:color="auto"/>
              <w:right w:val="single" w:sz="8" w:color="auto"/>
            </w:tcBorders>
            <w:shd w:val="clear" w:color="auto" w:fill="CCEEFF"/>
          </w:tcPr>
          <w:p>
            <w:pPr>
              <w:spacing w:after="0"/>
              <w:rPr>
                <w:sz w:val="20"/>
                <w:szCs w:val="20"/>
                <w:color w:val="auto"/>
              </w:rPr>
            </w:pPr>
          </w:p>
        </w:tc>
        <w:tc>
          <w:tcPr>
            <w:tcW w:w="2160" w:type="dxa"/>
            <w:vAlign w:val="bottom"/>
            <w:tcBorders>
              <w:bottom w:val="single" w:sz="8" w:color="auto"/>
              <w:right w:val="single" w:sz="8" w:color="auto"/>
            </w:tcBorders>
            <w:shd w:val="clear" w:color="auto" w:fill="CCEEFF"/>
          </w:tcPr>
          <w:p>
            <w:pPr>
              <w:spacing w:after="0"/>
              <w:rPr>
                <w:sz w:val="20"/>
                <w:szCs w:val="20"/>
                <w:color w:val="auto"/>
              </w:rPr>
            </w:pPr>
          </w:p>
        </w:tc>
        <w:tc>
          <w:tcPr>
            <w:tcW w:w="21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3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right w:val="single" w:sz="8" w:color="auto"/>
            </w:tcBorders>
          </w:tcPr>
          <w:p>
            <w:pPr>
              <w:jc w:val="right"/>
              <w:ind w:right="790"/>
              <w:spacing w:after="0"/>
              <w:rPr>
                <w:sz w:val="20"/>
                <w:szCs w:val="20"/>
                <w:color w:val="auto"/>
              </w:rPr>
            </w:pPr>
            <w:r>
              <w:rPr>
                <w:rFonts w:ascii="Arial" w:cs="Arial" w:eastAsia="Arial" w:hAnsi="Arial"/>
                <w:sz w:val="18"/>
                <w:szCs w:val="18"/>
                <w:color w:val="auto"/>
              </w:rPr>
              <w:t>0</w:t>
            </w:r>
          </w:p>
        </w:tc>
        <w:tc>
          <w:tcPr>
            <w:tcW w:w="2160" w:type="dxa"/>
            <w:vAlign w:val="bottom"/>
            <w:tcBorders>
              <w:bottom w:val="single" w:sz="8" w:color="auto"/>
              <w:right w:val="single" w:sz="8" w:color="auto"/>
            </w:tcBorders>
          </w:tcPr>
          <w:p>
            <w:pPr>
              <w:jc w:val="right"/>
              <w:ind w:right="910"/>
              <w:spacing w:after="0"/>
              <w:rPr>
                <w:sz w:val="20"/>
                <w:szCs w:val="20"/>
                <w:color w:val="auto"/>
              </w:rPr>
            </w:pPr>
            <w:r>
              <w:rPr>
                <w:rFonts w:ascii="Arial" w:cs="Arial" w:eastAsia="Arial" w:hAnsi="Arial"/>
                <w:sz w:val="18"/>
                <w:szCs w:val="18"/>
                <w:color w:val="auto"/>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r>
    </w:tbl>
    <w:p>
      <w:pPr>
        <w:spacing w:after="0" w:line="202" w:lineRule="exact"/>
        <w:rPr>
          <w:sz w:val="20"/>
          <w:szCs w:val="20"/>
          <w:color w:val="auto"/>
        </w:rPr>
      </w:pPr>
    </w:p>
    <w:p>
      <w:pPr>
        <w:ind w:left="660" w:right="44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81" w:lineRule="exact"/>
        <w:rPr>
          <w:rFonts w:ascii="Arial" w:cs="Arial" w:eastAsia="Arial" w:hAnsi="Arial"/>
          <w:sz w:val="18"/>
          <w:szCs w:val="18"/>
          <w:color w:val="auto"/>
        </w:rPr>
      </w:pPr>
    </w:p>
    <w:p>
      <w:pPr>
        <w:ind w:left="660" w:right="3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November 30, 2017, up to $2,640,548 in shares of NTIC common stock remained available for repurchase under NTIC’s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3" w:name="page34"/>
    <w:bookmarkEnd w:id="33"/>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 of Line of Credit</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January 5, 2018, NTIC and PNC Bank entered into a letter agreement extending the maturity date of NTIC’s line of credit with PNC Bank retroactively from January 7, 2018 to January 7, 2019. All other terms of the line of credit and the loan agreement and other documents evidencing the line of credit remain the same. The foregoing represents only a summary of the material terms of the letter agreement, does not purport to be complete and is qualified in its entirety by reference to the complete text of the letter agreement, which is filed as Exhibit 10.1 to this report, and is incorporated by reference herein.</w:t>
      </w:r>
    </w:p>
    <w:p>
      <w:pPr>
        <w:spacing w:after="0" w:line="15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PNC Bank and its affiliates have in the past performed, and may in the future from time to time perform, investment banking, financial advisory, lending and/or commercial banking services for NTIC and its subsidiaries in arm’s-length transactions, on terms customarily available to unrelated third-parties and for which services it has in the past received, and may in the future receive, customary compensation and reimbursement of expenses.</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Exhibit No.</w:t>
            </w:r>
          </w:p>
        </w:tc>
        <w:tc>
          <w:tcPr>
            <w:tcW w:w="1004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4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center"/>
              <w:spacing w:after="0" w:line="170"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4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40" w:type="dxa"/>
            <w:vAlign w:val="bottom"/>
            <w:tcBorders>
              <w:top w:val="single" w:sz="8" w:color="auto"/>
            </w:tcBorders>
            <w:gridSpan w:val="9"/>
          </w:tcPr>
          <w:p>
            <w:pPr>
              <w:spacing w:after="0" w:line="170"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Letter Agreement effective as of January 5, 2018 between PNC Bank, National Association and Northern Technologies International</w:t>
              </w:r>
            </w:hyperlink>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Corporation (filed herewith)</w:t>
              </w:r>
            </w:hyperlink>
          </w:p>
        </w:tc>
        <w:tc>
          <w:tcPr>
            <w:tcW w:w="480" w:type="dxa"/>
            <w:vAlign w:val="bottom"/>
            <w:gridSpan w:val="5"/>
          </w:tcPr>
          <w:p>
            <w:pPr>
              <w:spacing w:after="0"/>
              <w:rPr>
                <w:sz w:val="17"/>
                <w:szCs w:val="17"/>
                <w:color w:val="auto"/>
              </w:rPr>
            </w:pPr>
          </w:p>
        </w:tc>
      </w:tr>
      <w:tr>
        <w:trPr>
          <w:trHeight w:val="20"/>
        </w:trPr>
        <w:tc>
          <w:tcPr>
            <w:tcW w:w="1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Pr>
          <w:p>
            <w:pPr>
              <w:jc w:val="cente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hyperlink>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9"/>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Certification of Chief Executive Officer Pursuant to Exchange Act Rules 13a-14(a)/15d-14(a), as Adopted Pursuant to Section 302 of the</w:t>
              </w:r>
            </w:hyperlink>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Sarbanes-Oxley Act of 2002 (filed herewith)</w:t>
              </w:r>
            </w:hyperlink>
          </w:p>
        </w:tc>
        <w:tc>
          <w:tcPr>
            <w:tcW w:w="160" w:type="dxa"/>
            <w:vAlign w:val="bottom"/>
          </w:tcPr>
          <w:p>
            <w:pPr>
              <w:spacing w:after="0"/>
              <w:rPr>
                <w:sz w:val="17"/>
                <w:szCs w:val="17"/>
                <w:color w:val="auto"/>
              </w:rPr>
            </w:pPr>
          </w:p>
        </w:tc>
      </w:tr>
      <w:tr>
        <w:trPr>
          <w:trHeight w:val="20"/>
        </w:trPr>
        <w:tc>
          <w:tcPr>
            <w:tcW w:w="1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bottom w:val="single" w:sz="8" w:color="0000EE"/>
            </w:tcBorders>
          </w:tcPr>
          <w:p>
            <w:pPr>
              <w:jc w:val="cente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hyperlink>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Certification of Chief Financial Officer Pursuant to Exchange Act Rules 13a-14(a)/15d-14(a), as Adopted Pursuant to Section 302 of the</w:t>
              </w:r>
            </w:hyperlink>
          </w:p>
        </w:tc>
        <w:tc>
          <w:tcPr>
            <w:tcW w:w="200" w:type="dxa"/>
            <w:vAlign w:val="bottom"/>
            <w:gridSpan w:val="2"/>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Sarbanes-Oxley Act of 2002 (filed herewith)</w:t>
              </w:r>
            </w:hyperlink>
          </w:p>
        </w:tc>
      </w:tr>
      <w:tr>
        <w:trPr>
          <w:trHeight w:val="20"/>
        </w:trPr>
        <w:tc>
          <w:tcPr>
            <w:tcW w:w="1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Pr>
          <w:p>
            <w:pPr>
              <w:jc w:val="cente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hyperlink>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9"/>
          </w:tcPr>
          <w:p>
            <w:pPr>
              <w:spacing w:after="0" w:line="196" w:lineRule="exact"/>
              <w:rPr>
                <w:rFonts w:ascii="Arial" w:cs="Arial" w:eastAsia="Arial" w:hAnsi="Arial"/>
                <w:sz w:val="18"/>
                <w:szCs w:val="18"/>
                <w:color w:val="0000EE"/>
                <w:w w:val="93"/>
              </w:rPr>
            </w:pPr>
            <w:hyperlink w:anchor="page39">
              <w:r>
                <w:rPr>
                  <w:rFonts w:ascii="Arial" w:cs="Arial" w:eastAsia="Arial" w:hAnsi="Arial"/>
                  <w:sz w:val="18"/>
                  <w:szCs w:val="18"/>
                  <w:color w:val="0000EE"/>
                  <w:w w:val="93"/>
                </w:rPr>
                <w:t>Certification of Chief Executive Officer Pursuant to 18 U.S.C. Section 1350, as Adopted Pursuant to Section 906 of the Sarbanes-Oxley</w:t>
              </w:r>
            </w:hyperlink>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Act of 2002 (furnished herewith)</w:t>
              </w:r>
            </w:hyperlink>
          </w:p>
        </w:tc>
        <w:tc>
          <w:tcPr>
            <w:tcW w:w="240" w:type="dxa"/>
            <w:vAlign w:val="bottom"/>
            <w:gridSpan w:val="3"/>
          </w:tcPr>
          <w:p>
            <w:pPr>
              <w:spacing w:after="0"/>
              <w:rPr>
                <w:sz w:val="17"/>
                <w:szCs w:val="17"/>
                <w:color w:val="auto"/>
              </w:rPr>
            </w:pPr>
          </w:p>
        </w:tc>
      </w:tr>
      <w:tr>
        <w:trPr>
          <w:trHeight w:val="20"/>
        </w:trPr>
        <w:tc>
          <w:tcPr>
            <w:tcW w:w="1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738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bottom w:val="single" w:sz="8" w:color="0000EE"/>
            </w:tcBorders>
          </w:tcPr>
          <w:p>
            <w:pPr>
              <w:jc w:val="cente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hyperlink>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Certification of Chief Financial Officer Pursuant to 18 U.S.C. Section 1350, as Adopted Pursuant to Section 906 of the Sarbanes-Oxley</w:t>
              </w:r>
            </w:hyperlink>
          </w:p>
        </w:tc>
        <w:tc>
          <w:tcPr>
            <w:tcW w:w="280" w:type="dxa"/>
            <w:vAlign w:val="bottom"/>
            <w:gridSpan w:val="4"/>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Act of 2002 (furnished herewith)</w:t>
              </w:r>
            </w:hyperlink>
          </w:p>
        </w:tc>
      </w:tr>
      <w:tr>
        <w:trPr>
          <w:trHeight w:val="20"/>
        </w:trPr>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3" w:lineRule="exact"/>
        <w:rPr>
          <w:sz w:val="20"/>
          <w:szCs w:val="20"/>
          <w:color w:val="auto"/>
        </w:rPr>
      </w:pPr>
    </w:p>
    <w:p>
      <w:pPr>
        <w:ind w:left="1380" w:right="20" w:hanging="933"/>
        <w:spacing w:after="0" w:line="279" w:lineRule="auto"/>
        <w:tabs>
          <w:tab w:leader="none" w:pos="1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following materials from NTIC’s Quarterly Report on Form 10-Q for the fiscal quarter ended November 30, 2017, formatted in XBRL (Extensible Business Reporting Language): (i) the unaudited Consolidated Balance Sheets, (ii) the unaudited Consolidated Statements of Operations, (iii) the unaudited Consolidated Statements of Comprehensive Income (Loss), (iv) the unaudited Consolidated Statements of Cash Flows, and (v) Notes to Consolidated Financial Statements (filed herewith)</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154940</wp:posOffset>
            </wp:positionV>
            <wp:extent cx="1414780" cy="437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78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20"/>
                <w:szCs w:val="20"/>
                <w:color w:val="auto"/>
              </w:rPr>
            </w:pPr>
            <w:r>
              <w:rPr>
                <w:rFonts w:ascii="Arial" w:cs="Arial" w:eastAsia="Arial" w:hAnsi="Arial"/>
                <w:sz w:val="18"/>
                <w:szCs w:val="18"/>
                <w:color w:val="auto"/>
              </w:rPr>
              <w:t>Date: January 12, 2018</w:t>
            </w: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 CPA</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and Accounting Officer and</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Duly Authorized to Sign on Behalf of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10.1</w:t>
      </w:r>
    </w:p>
    <w:p>
      <w:pPr>
        <w:spacing w:after="0" w:line="212" w:lineRule="exact"/>
        <w:rPr>
          <w:sz w:val="20"/>
          <w:szCs w:val="20"/>
          <w:color w:val="auto"/>
        </w:rPr>
      </w:pPr>
    </w:p>
    <w:p>
      <w:pPr>
        <w:spacing w:after="0"/>
        <w:rPr>
          <w:sz w:val="20"/>
          <w:szCs w:val="20"/>
          <w:color w:val="auto"/>
        </w:rPr>
      </w:pPr>
      <w:r>
        <w:rPr>
          <w:rFonts w:ascii="Arial" w:cs="Arial" w:eastAsia="Arial" w:hAnsi="Arial"/>
          <w:sz w:val="43"/>
          <w:szCs w:val="43"/>
          <w:color w:val="auto"/>
        </w:rPr>
        <w:t>PNC BANK</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January 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NORTHERN TECHNOLOGIES INTERNATIONAL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CIRCLE PINES, MN 55014-0069</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Renewal of Expiration Date for that certain $3,000,000.00 Committed Line of Credit ("</w:t>
      </w:r>
      <w:r>
        <w:rPr>
          <w:rFonts w:ascii="Arial" w:cs="Arial" w:eastAsia="Arial" w:hAnsi="Arial"/>
          <w:sz w:val="18"/>
          <w:szCs w:val="18"/>
          <w:b w:val="1"/>
          <w:bCs w:val="1"/>
          <w:color w:val="auto"/>
        </w:rPr>
        <w:t>Line of Credit</w:t>
      </w:r>
      <w:r>
        <w:rPr>
          <w:rFonts w:ascii="Arial" w:cs="Arial" w:eastAsia="Arial" w:hAnsi="Arial"/>
          <w:sz w:val="18"/>
          <w:szCs w:val="18"/>
          <w:color w:val="auto"/>
        </w:rPr>
        <w:t>") extended by PNC Bank, National Association (the "</w:t>
      </w:r>
      <w:r>
        <w:rPr>
          <w:rFonts w:ascii="Arial" w:cs="Arial" w:eastAsia="Arial" w:hAnsi="Arial"/>
          <w:sz w:val="18"/>
          <w:szCs w:val="18"/>
          <w:b w:val="1"/>
          <w:bCs w:val="1"/>
          <w:color w:val="auto"/>
        </w:rPr>
        <w:t>Bank</w:t>
      </w:r>
      <w:r>
        <w:rPr>
          <w:rFonts w:ascii="Arial" w:cs="Arial" w:eastAsia="Arial" w:hAnsi="Arial"/>
          <w:sz w:val="18"/>
          <w:szCs w:val="18"/>
          <w:color w:val="auto"/>
        </w:rPr>
        <w:t xml:space="preserve">") to </w:t>
      </w:r>
      <w:r>
        <w:rPr>
          <w:rFonts w:ascii="Arial" w:cs="Arial" w:eastAsia="Arial" w:hAnsi="Arial"/>
          <w:sz w:val="18"/>
          <w:szCs w:val="18"/>
          <w:b w:val="1"/>
          <w:bCs w:val="1"/>
          <w:color w:val="auto"/>
        </w:rPr>
        <w:t>NORTHERN TECHNOLOGIES INTERNATIONAL CORPORATION</w:t>
      </w:r>
      <w:r>
        <w:rPr>
          <w:rFonts w:ascii="Arial" w:cs="Arial" w:eastAsia="Arial" w:hAnsi="Arial"/>
          <w:sz w:val="18"/>
          <w:szCs w:val="18"/>
          <w:color w:val="auto"/>
        </w:rPr>
        <w:t xml:space="preserve"> (the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166" w:lineRule="exact"/>
        <w:rPr>
          <w:sz w:val="20"/>
          <w:szCs w:val="20"/>
          <w:color w:val="auto"/>
        </w:rPr>
      </w:pPr>
    </w:p>
    <w:p>
      <w:pPr>
        <w:sectPr>
          <w:pgSz w:w="11900" w:h="16838" w:orient="portrait"/>
          <w:cols w:equalWidth="0" w:num="2">
            <w:col w:w="260" w:space="400"/>
            <w:col w:w="10760"/>
          </w:cols>
          <w:pgMar w:left="240" w:top="121" w:right="239" w:bottom="1440" w:gutter="0" w:footer="0" w:header="0"/>
          <w:type w:val="continuous"/>
        </w:sectPr>
      </w:pPr>
    </w:p>
    <w:p>
      <w:pPr>
        <w:spacing w:after="0"/>
        <w:rPr>
          <w:sz w:val="20"/>
          <w:szCs w:val="20"/>
          <w:color w:val="auto"/>
        </w:rPr>
      </w:pPr>
      <w:r>
        <w:rPr>
          <w:rFonts w:ascii="Arial" w:cs="Arial" w:eastAsia="Arial" w:hAnsi="Arial"/>
          <w:sz w:val="18"/>
          <w:szCs w:val="18"/>
          <w:color w:val="auto"/>
        </w:rPr>
        <w:t>Ladies/Gentlemen: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pleased to inform you that the Line of Credit has been renewed. The Expiration Date of the Line of Credit, as set forth in that certain promissory note executed and delivered by the Borrower to the Bank dated December 14, 2006 (the "</w:t>
      </w:r>
      <w:r>
        <w:rPr>
          <w:rFonts w:ascii="Arial" w:cs="Arial" w:eastAsia="Arial" w:hAnsi="Arial"/>
          <w:sz w:val="16"/>
          <w:szCs w:val="16"/>
          <w:b w:val="1"/>
          <w:bCs w:val="1"/>
          <w:color w:val="auto"/>
        </w:rPr>
        <w:t>Note</w:t>
      </w:r>
      <w:r>
        <w:rPr>
          <w:rFonts w:ascii="Arial" w:cs="Arial" w:eastAsia="Arial" w:hAnsi="Arial"/>
          <w:sz w:val="16"/>
          <w:szCs w:val="16"/>
          <w:color w:val="auto"/>
        </w:rPr>
        <w:t>") and/or that certain loan agreement governing the Line of Credit (the "</w:t>
      </w:r>
      <w:r>
        <w:rPr>
          <w:rFonts w:ascii="Arial" w:cs="Arial" w:eastAsia="Arial" w:hAnsi="Arial"/>
          <w:sz w:val="16"/>
          <w:szCs w:val="16"/>
          <w:b w:val="1"/>
          <w:bCs w:val="1"/>
          <w:color w:val="auto"/>
        </w:rPr>
        <w:t>Loan Agreement</w:t>
      </w:r>
      <w:r>
        <w:rPr>
          <w:rFonts w:ascii="Arial" w:cs="Arial" w:eastAsia="Arial" w:hAnsi="Arial"/>
          <w:sz w:val="16"/>
          <w:szCs w:val="16"/>
          <w:color w:val="auto"/>
        </w:rPr>
        <w:t>"), has been extended from January 07, 2018 to January 7, 2019, or such later date as may, in the Bank's sole discretion, be designated by the Bank by written notice from the Bank to the Borrower, effective on January 08, 2018. All sums due under the Note, the Loan Agreement or any related documents, instruments and agreements (collectively as amended from time to time, the "</w:t>
      </w:r>
      <w:r>
        <w:rPr>
          <w:rFonts w:ascii="Arial" w:cs="Arial" w:eastAsia="Arial" w:hAnsi="Arial"/>
          <w:sz w:val="16"/>
          <w:szCs w:val="16"/>
          <w:b w:val="1"/>
          <w:bCs w:val="1"/>
          <w:color w:val="auto"/>
        </w:rPr>
        <w:t>Loan Documents</w:t>
      </w:r>
      <w:r>
        <w:rPr>
          <w:rFonts w:ascii="Arial" w:cs="Arial" w:eastAsia="Arial" w:hAnsi="Arial"/>
          <w:sz w:val="16"/>
          <w:szCs w:val="16"/>
          <w:color w:val="auto"/>
        </w:rPr>
        <w:t>") shall be due and payable on the Expiration Date, as extended hereby. All other terms and conditions of the Loan Documents governing the Line of Credit remain in full force and effect.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has been a pleasure working with you and I look forward to a continued successful relationship. Thank you again for your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By:</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/s/ Yelena Spadafora</w:t>
            </w:r>
          </w:p>
        </w:tc>
      </w:tr>
      <w:tr>
        <w:trPr>
          <w:trHeight w:val="222"/>
        </w:trPr>
        <w:tc>
          <w:tcPr>
            <w:tcW w:w="108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Yelena Spadafora</w:t>
            </w:r>
          </w:p>
        </w:tc>
      </w:tr>
      <w:tr>
        <w:trPr>
          <w:trHeight w:val="230"/>
        </w:trPr>
        <w:tc>
          <w:tcPr>
            <w:tcW w:w="108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1420"/>
          </w:cols>
          <w:pgMar w:left="240" w:top="121" w:right="239" w:bottom="1440" w:gutter="0" w:footer="0" w:header="0"/>
          <w:type w:val="continuous"/>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right="180" w:hanging="6"/>
        <w:spacing w:after="0" w:line="264" w:lineRule="auto"/>
        <w:tabs>
          <w:tab w:leader="none" w:pos="101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00" w:right="400" w:hanging="6"/>
        <w:spacing w:after="0" w:line="264" w:lineRule="auto"/>
        <w:tabs>
          <w:tab w:leader="none" w:pos="102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700" w:hanging="6"/>
        <w:spacing w:after="0" w:line="342" w:lineRule="auto"/>
        <w:tabs>
          <w:tab w:leader="none" w:pos="1015"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180" w:hanging="6"/>
        <w:spacing w:after="0" w:line="264" w:lineRule="auto"/>
        <w:tabs>
          <w:tab w:leader="none" w:pos="102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100" w:hanging="6"/>
        <w:spacing w:after="0" w:line="277" w:lineRule="auto"/>
        <w:tabs>
          <w:tab w:leader="none" w:pos="100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60"/>
        <w:spacing w:after="0" w:line="277"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-121920</wp:posOffset>
            </wp:positionV>
            <wp:extent cx="3618865" cy="342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342900"/>
                    </a:xfrm>
                    <a:prstGeom prst="rect">
                      <a:avLst/>
                    </a:prstGeom>
                    <a:noFill/>
                  </pic:spPr>
                </pic:pic>
              </a:graphicData>
            </a:graphic>
          </wp:anchor>
        </w:drawing>
      </w:r>
    </w:p>
    <w:p>
      <w:pPr>
        <w:spacing w:after="0" w:line="31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 Patrick Lynch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80" w:right="100" w:hanging="5"/>
        <w:spacing w:after="0" w:line="264" w:lineRule="auto"/>
        <w:tabs>
          <w:tab w:leader="none" w:pos="109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80" w:right="320" w:hanging="5"/>
        <w:spacing w:after="0" w:line="264" w:lineRule="auto"/>
        <w:tabs>
          <w:tab w:leader="none" w:pos="110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620" w:hanging="5"/>
        <w:spacing w:after="0" w:line="342" w:lineRule="auto"/>
        <w:tabs>
          <w:tab w:leader="none" w:pos="1095"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80" w:right="100" w:hanging="5"/>
        <w:spacing w:after="0" w:line="264" w:lineRule="auto"/>
        <w:tabs>
          <w:tab w:leader="none" w:pos="110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80" w:right="20" w:hanging="5"/>
        <w:spacing w:after="0" w:line="277" w:lineRule="auto"/>
        <w:tabs>
          <w:tab w:leader="none" w:pos="108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right="540" w:hanging="5"/>
        <w:spacing w:after="0" w:line="277" w:lineRule="auto"/>
        <w:tabs>
          <w:tab w:leader="none" w:pos="109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117475</wp:posOffset>
            </wp:positionV>
            <wp:extent cx="1414780" cy="437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1478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20"/>
                <w:szCs w:val="20"/>
                <w:color w:val="auto"/>
              </w:rPr>
            </w:pPr>
            <w:r>
              <w:rPr>
                <w:rFonts w:ascii="Arial" w:cs="Arial" w:eastAsia="Arial" w:hAnsi="Arial"/>
                <w:sz w:val="18"/>
                <w:szCs w:val="18"/>
                <w:color w:val="auto"/>
              </w:rPr>
              <w:t>Date: January 12, 2018</w:t>
            </w: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 CPA</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 and Corporate Secretary</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38" w:name="page39"/>
    <w:bookmarkEnd w:id="38"/>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5" w:lineRule="exact"/>
        <w:rPr>
          <w:sz w:val="20"/>
          <w:szCs w:val="20"/>
          <w:color w:val="auto"/>
        </w:rPr>
      </w:pPr>
    </w:p>
    <w:p>
      <w:pPr>
        <w:ind w:right="800"/>
        <w:spacing w:after="0" w:line="251" w:lineRule="auto"/>
        <w:rPr>
          <w:sz w:val="20"/>
          <w:szCs w:val="20"/>
          <w:color w:val="auto"/>
        </w:rPr>
      </w:pPr>
      <w:r>
        <w:rPr>
          <w:rFonts w:ascii="Arial" w:cs="Arial" w:eastAsia="Arial" w:hAnsi="Arial"/>
          <w:sz w:val="22"/>
          <w:szCs w:val="22"/>
          <w:color w:val="auto"/>
        </w:rPr>
        <w:t>CERTIFICATION PURSUANT TO 18 U.S.C. SECTION 1350, AS ADOPTED PURSUANT TO SECTION 906 OF THE SARBANES-OXLEY ACT OF 2002</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November 30, 2017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0" w:lineRule="exact"/>
        <w:rPr>
          <w:rFonts w:ascii="Arial" w:cs="Arial" w:eastAsia="Arial" w:hAnsi="Arial"/>
          <w:sz w:val="18"/>
          <w:szCs w:val="18"/>
          <w:color w:val="auto"/>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-464820</wp:posOffset>
            </wp:positionV>
            <wp:extent cx="7246620" cy="3429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12, 2018</w:t>
      </w:r>
    </w:p>
    <w:p>
      <w:pPr>
        <w:sectPr>
          <w:pgSz w:w="11900" w:h="16838" w:orient="portrait"/>
          <w:cols w:equalWidth="0" w:num="1">
            <w:col w:w="11420"/>
          </w:cols>
          <w:pgMar w:left="240" w:top="121" w:right="239" w:bottom="1440" w:gutter="0" w:footer="0" w:header="0"/>
        </w:sectPr>
      </w:pPr>
    </w:p>
    <w:bookmarkStart w:id="39" w:name="page40"/>
    <w:bookmarkEnd w:id="39"/>
    <w:p>
      <w:pPr>
        <w:ind w:left="10480"/>
        <w:spacing w:after="0"/>
        <w:rPr>
          <w:sz w:val="20"/>
          <w:szCs w:val="20"/>
          <w:color w:val="auto"/>
        </w:rPr>
      </w:pPr>
      <w:r>
        <w:rPr>
          <w:rFonts w:ascii="Arial" w:cs="Arial" w:eastAsia="Arial" w:hAnsi="Arial"/>
          <w:sz w:val="16"/>
          <w:szCs w:val="16"/>
          <w:b w:val="1"/>
          <w:bCs w:val="1"/>
          <w:color w:val="auto"/>
        </w:rPr>
        <w:t>Exhibit 32.2</w:t>
      </w:r>
    </w:p>
    <w:p>
      <w:pPr>
        <w:spacing w:after="0" w:line="245" w:lineRule="exact"/>
        <w:rPr>
          <w:sz w:val="20"/>
          <w:szCs w:val="20"/>
          <w:color w:val="auto"/>
        </w:rPr>
      </w:pPr>
    </w:p>
    <w:p>
      <w:pPr>
        <w:ind w:right="800"/>
        <w:spacing w:after="0" w:line="251" w:lineRule="auto"/>
        <w:rPr>
          <w:sz w:val="20"/>
          <w:szCs w:val="20"/>
          <w:color w:val="auto"/>
        </w:rPr>
      </w:pPr>
      <w:r>
        <w:rPr>
          <w:rFonts w:ascii="Arial" w:cs="Arial" w:eastAsia="Arial" w:hAnsi="Arial"/>
          <w:sz w:val="22"/>
          <w:szCs w:val="22"/>
          <w:color w:val="auto"/>
        </w:rPr>
        <w:t>CERTIFICATION PURSUANT TO 18 U.S.C. SECTION 1350, AS ADOPTED PURSUANT TO SECTION 906 OF THE SARBANES-OXLEY ACT OF 2002</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November 30, 2017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449070" cy="445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4907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12,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5"/>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1."/>
      <w:numFmt w:val="decimal"/>
      <w:start w:val="6"/>
    </w:lvl>
  </w:abstractNum>
  <w:abstractNum w:abstractNumId="6">
    <w:nsid w:val="25E45D32"/>
    <w:multiLevelType w:val="hybridMultilevel"/>
    <w:lvl w:ilvl="0">
      <w:lvlJc w:val="left"/>
      <w:lvlText w:val="%1."/>
      <w:numFmt w:val="decimal"/>
      <w:start w:val="7"/>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1."/>
      <w:numFmt w:val="decimal"/>
      <w:start w:val="8"/>
    </w:lvl>
  </w:abstractNum>
  <w:abstractNum w:abstractNumId="9">
    <w:nsid w:val="3F2DBA31"/>
    <w:multiLevelType w:val="hybridMultilevel"/>
    <w:lvl w:ilvl="0">
      <w:lvlJc w:val="left"/>
      <w:lvlText w:val="%1."/>
      <w:numFmt w:val="decimal"/>
      <w:start w:val="9"/>
    </w:lvl>
  </w:abstractNum>
  <w:abstractNum w:abstractNumId="10">
    <w:nsid w:val="7C83E458"/>
    <w:multiLevelType w:val="hybridMultilevel"/>
    <w:lvl w:ilvl="0">
      <w:lvlJc w:val="left"/>
      <w:lvlText w:val="%1."/>
      <w:numFmt w:val="decimal"/>
      <w:start w:val="10"/>
    </w:lvl>
  </w:abstractNum>
  <w:abstractNum w:abstractNumId="11">
    <w:nsid w:val="257130A3"/>
    <w:multiLevelType w:val="hybridMultilevel"/>
    <w:lvl w:ilvl="0">
      <w:lvlJc w:val="left"/>
      <w:lvlText w:val="%1."/>
      <w:numFmt w:val="decimal"/>
      <w:start w:val="1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2"/>
    </w:lvl>
  </w:abstractNum>
  <w:abstractNum w:abstractNumId="14">
    <w:nsid w:val="628C895D"/>
    <w:multiLevelType w:val="hybridMultilevel"/>
    <w:lvl w:ilvl="0">
      <w:lvlJc w:val="left"/>
      <w:lvlText w:val="%1."/>
      <w:numFmt w:val="decimal"/>
      <w:start w:val="13"/>
    </w:lvl>
  </w:abstractNum>
  <w:abstractNum w:abstractNumId="15">
    <w:nsid w:val="333AB105"/>
    <w:multiLevelType w:val="hybridMultilevel"/>
    <w:lvl w:ilvl="0">
      <w:lvlJc w:val="left"/>
      <w:lvlText w:val="%1."/>
      <w:numFmt w:val="decimal"/>
      <w:start w:val="14"/>
    </w:lvl>
  </w:abstractNum>
  <w:abstractNum w:abstractNumId="16">
    <w:nsid w:val="721DA317"/>
    <w:multiLevelType w:val="hybridMultilevel"/>
    <w:lvl w:ilvl="0">
      <w:lvlJc w:val="left"/>
      <w:lvlText w:val="%1."/>
      <w:numFmt w:val="decimal"/>
      <w:start w:val="15"/>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01"/>
    </w:lvl>
  </w:abstractNum>
  <w:abstractNum w:abstractNumId="22">
    <w:nsid w:val="79838CB2"/>
    <w:multiLevelType w:val="hybridMultilevel"/>
    <w:lvl w:ilvl="0">
      <w:lvlJc w:val="left"/>
      <w:lvlText w:val="%1."/>
      <w:numFmt w:val="decimal"/>
      <w:start w:val="1"/>
    </w:lvl>
    <w:lvl w:ilvl="1">
      <w:lvlJc w:val="left"/>
      <w:lvlText w:val="(%2)"/>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upperLetter"/>
      <w:start w:val="1"/>
    </w:lvl>
    <w:lvl w:ilvl="1">
      <w:lvlJc w:val="left"/>
      <w:lvlText w:val="(%2)"/>
      <w:numFmt w:val="decimal"/>
      <w:start w:val="1"/>
    </w:lvl>
  </w:abstractNum>
  <w:abstractNum w:abstractNumId="25">
    <w:nsid w:val="189A769B"/>
    <w:multiLevelType w:val="hybridMultilevel"/>
    <w:lvl w:ilvl="0">
      <w:lvlJc w:val="left"/>
      <w:lvlText w:val="%1."/>
      <w:numFmt w:val="upperLetter"/>
      <w:start w:val="7"/>
    </w:lvl>
    <w:lvl w:ilvl="1">
      <w:lvlJc w:val="left"/>
      <w:lvlText w:val="%2"/>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2019-12-29T02:12:45Z</dcterms:created>
  <dcterms:modified xsi:type="dcterms:W3CDTF">2019-12-29T02:12:45Z</dcterms:modified>
</cp:coreProperties>
</file>