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40" w:hanging="1132"/>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ectPr>
          <w:pgSz w:w="11900" w:h="16838" w:orient="portrait"/>
          <w:cols w:equalWidth="0" w:num="1">
            <w:col w:w="11380"/>
          </w:cols>
          <w:pgMar w:left="240" w:top="220"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quarterly period ended May 31, 2013</w:t>
      </w:r>
    </w:p>
    <w:p>
      <w:pPr>
        <w:spacing w:after="0" w:line="252"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38" w:orient="portrait"/>
          <w:cols w:equalWidth="0" w:num="2">
            <w:col w:w="420" w:space="720"/>
            <w:col w:w="10240"/>
          </w:cols>
          <w:pgMar w:left="240" w:top="220" w:right="279" w:bottom="1440" w:gutter="0" w:footer="0" w:header="0"/>
          <w:type w:val="continuous"/>
        </w:sectPr>
      </w:pPr>
    </w:p>
    <w:p>
      <w:pPr>
        <w:spacing w:after="0" w:line="52"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0" w:right="279" w:bottom="1440" w:gutter="0" w:footer="0" w:header="0"/>
          <w:type w:val="continuous"/>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20" w:right="279" w:bottom="144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208"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0" w:right="27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8" w:lineRule="exact"/>
        <w:rPr>
          <w:sz w:val="24"/>
          <w:szCs w:val="24"/>
          <w:color w:val="auto"/>
        </w:rPr>
      </w:pPr>
    </w:p>
    <w:p>
      <w:pPr>
        <w:sectPr>
          <w:pgSz w:w="11900" w:h="16838" w:orient="portrait"/>
          <w:cols w:equalWidth="0" w:num="3">
            <w:col w:w="5020" w:space="100"/>
            <w:col w:w="60" w:space="540"/>
            <w:col w:w="5660"/>
          </w:cols>
          <w:pgMar w:left="240" w:top="220" w:right="279" w:bottom="1440" w:gutter="0" w:footer="0" w:header="0"/>
          <w:type w:val="continuous"/>
        </w:sectPr>
      </w:pP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7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12, 2013, there were 4,428,036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238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36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2013 (unaudited) and August 31, 2012</w:t>
              </w:r>
            </w:hyperlink>
          </w:p>
        </w:tc>
        <w:tc>
          <w:tcPr>
            <w:tcW w:w="152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Operations (unaudited) for the Three and Nine Months Ended May 31, 2013 and 2012</w:t>
              </w:r>
            </w:hyperlink>
          </w:p>
        </w:tc>
        <w:tc>
          <w:tcPr>
            <w:tcW w:w="1520" w:type="dxa"/>
            <w:vAlign w:val="bottom"/>
            <w:gridSpan w:val="6"/>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and Nine Months Ended May 31, 2013 and</w:t>
              </w:r>
            </w:hyperlink>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6"/>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2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Nine Months Ended May 31, 2013 and 2012</w:t>
              </w:r>
            </w:hyperlink>
          </w:p>
        </w:tc>
        <w:tc>
          <w:tcPr>
            <w:tcW w:w="1220" w:type="dxa"/>
            <w:vAlign w:val="bottom"/>
            <w:gridSpan w:val="2"/>
          </w:tcPr>
          <w:p>
            <w:pPr>
              <w:spacing w:after="0"/>
              <w:rPr>
                <w:sz w:val="24"/>
                <w:szCs w:val="24"/>
                <w:color w:val="auto"/>
              </w:rPr>
            </w:pPr>
          </w:p>
        </w:tc>
        <w:tc>
          <w:tcPr>
            <w:tcW w:w="1520" w:type="dxa"/>
            <w:vAlign w:val="bottom"/>
            <w:gridSpan w:val="6"/>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220" w:type="dxa"/>
            <w:vAlign w:val="bottom"/>
            <w:gridSpan w:val="2"/>
          </w:tcPr>
          <w:p>
            <w:pPr>
              <w:spacing w:after="0"/>
              <w:rPr>
                <w:sz w:val="24"/>
                <w:szCs w:val="24"/>
                <w:color w:val="auto"/>
              </w:rPr>
            </w:pPr>
          </w:p>
        </w:tc>
        <w:tc>
          <w:tcPr>
            <w:tcW w:w="152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7-17</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28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18-31</w:t>
              </w:r>
            </w:hyperlink>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520" w:type="dxa"/>
            <w:vAlign w:val="bottom"/>
            <w:gridSpan w:val="6"/>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440" w:type="dxa"/>
            <w:vAlign w:val="bottom"/>
            <w:gridSpan w:val="6"/>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874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720" w:type="dxa"/>
            <w:vAlign w:val="bottom"/>
            <w:gridSpan w:val="10"/>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12"/>
        </w:trPr>
        <w:tc>
          <w:tcPr>
            <w:tcW w:w="116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87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52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87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52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400" w:type="dxa"/>
            <w:vAlign w:val="bottom"/>
            <w:gridSpan w:val="5"/>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620" w:type="dxa"/>
            <w:vAlign w:val="bottom"/>
            <w:gridSpan w:val="4"/>
          </w:tcPr>
          <w:p>
            <w:pPr>
              <w:spacing w:after="0"/>
              <w:rPr>
                <w:sz w:val="24"/>
                <w:szCs w:val="24"/>
                <w:color w:val="auto"/>
              </w:rPr>
            </w:pP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6420" w:type="dxa"/>
            <w:vAlign w:val="bottom"/>
            <w:gridSpan w:val="9"/>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5.</w:t>
              </w:r>
            </w:hyperlink>
          </w:p>
        </w:tc>
        <w:tc>
          <w:tcPr>
            <w:tcW w:w="620" w:type="dxa"/>
            <w:vAlign w:val="bottom"/>
            <w:gridSpan w:val="4"/>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6980" w:type="dxa"/>
            <w:vAlign w:val="bottom"/>
            <w:gridSpan w:val="11"/>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620" w:type="dxa"/>
            <w:vAlign w:val="bottom"/>
            <w:gridSpan w:val="4"/>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8140" w:type="dxa"/>
            <w:vAlign w:val="bottom"/>
            <w:gridSpan w:val="16"/>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33-34</w:t>
              </w:r>
            </w:hyperlink>
          </w:p>
        </w:tc>
      </w:tr>
      <w:tr>
        <w:trPr>
          <w:trHeight w:val="412"/>
        </w:trPr>
        <w:tc>
          <w:tcPr>
            <w:tcW w:w="160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SIGNATURE PAGE</w:t>
              </w:r>
            </w:hyperlink>
          </w:p>
        </w:tc>
        <w:tc>
          <w:tcPr>
            <w:tcW w:w="8300" w:type="dxa"/>
            <w:vAlign w:val="bottom"/>
            <w:gridSpan w:val="17"/>
          </w:tcPr>
          <w:p>
            <w:pPr>
              <w:spacing w:after="0"/>
              <w:rPr>
                <w:sz w:val="24"/>
                <w:szCs w:val="24"/>
                <w:color w:val="auto"/>
              </w:rPr>
            </w:pPr>
          </w:p>
        </w:tc>
        <w:tc>
          <w:tcPr>
            <w:tcW w:w="13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r>
        <w:trPr>
          <w:trHeight w:val="412"/>
        </w:trPr>
        <w:tc>
          <w:tcPr>
            <w:tcW w:w="9900" w:type="dxa"/>
            <w:vAlign w:val="bottom"/>
            <w:gridSpan w:val="2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EXHIBIT INDEX</w:t>
              </w:r>
            </w:hyperlink>
          </w:p>
        </w:tc>
        <w:tc>
          <w:tcPr>
            <w:tcW w:w="1520" w:type="dxa"/>
            <w:vAlign w:val="bottom"/>
            <w:gridSpan w:val="6"/>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0"/>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700" w:type="dxa"/>
            <w:vAlign w:val="bottom"/>
            <w:gridSpan w:val="15"/>
          </w:tcPr>
          <w:p>
            <w:pPr>
              <w:jc w:val="right"/>
              <w:ind w:right="620"/>
              <w:spacing w:after="0"/>
              <w:rPr>
                <w:sz w:val="20"/>
                <w:szCs w:val="20"/>
                <w:color w:val="auto"/>
              </w:rPr>
            </w:pPr>
            <w:r>
              <w:rPr>
                <w:rFonts w:ascii="Arial" w:cs="Arial" w:eastAsia="Arial" w:hAnsi="Arial"/>
                <w:sz w:val="18"/>
                <w:szCs w:val="18"/>
                <w:color w:val="auto"/>
              </w:rPr>
              <w:t>_________________</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229"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9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and NTI Asean LLC, all of which are consolidated on NTIC’s consolidated financial statements.</w:t>
      </w:r>
    </w:p>
    <w:p>
      <w:pPr>
        <w:spacing w:after="0" w:line="17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NTIC’s consolidated financial statements do not include the accounts of any of its joint ventures. Except as otherwise indicated, references in this report to NTIC’s joint ventures do not include NTIC’s majority owned Brazilian subsidiary, Zerust Prevenção de Corrosão S.A., or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“HNTI” refer to NTIC’s joint venture in India, Harita NTI Limited.</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used in this report, references to “EXCOR” refer to NTIC’s primary joint venture in Germany, Excor Korrosionsschutz – Technologien und Produkte GmbH.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2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MAY 31, 2013 (UNAUDITED)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ASSETS</w:t>
            </w:r>
          </w:p>
        </w:tc>
        <w:tc>
          <w:tcPr>
            <w:tcW w:w="8020" w:type="dxa"/>
            <w:vAlign w:val="bottom"/>
          </w:tcPr>
          <w:p>
            <w:pPr>
              <w:spacing w:after="0"/>
              <w:rPr>
                <w:sz w:val="24"/>
                <w:szCs w:val="24"/>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May 31, 2013</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August 31, 2012</w:t>
            </w:r>
          </w:p>
        </w:tc>
        <w:tc>
          <w:tcPr>
            <w:tcW w:w="0" w:type="dxa"/>
            <w:vAlign w:val="bottom"/>
          </w:tcPr>
          <w:p>
            <w:pPr>
              <w:spacing w:after="0"/>
              <w:rPr>
                <w:sz w:val="1"/>
                <w:szCs w:val="1"/>
                <w:color w:val="auto"/>
              </w:rPr>
            </w:pPr>
          </w:p>
        </w:tc>
      </w:tr>
      <w:tr>
        <w:trPr>
          <w:trHeight w:val="195"/>
        </w:trPr>
        <w:tc>
          <w:tcPr>
            <w:tcW w:w="740" w:type="dxa"/>
            <w:vAlign w:val="bottom"/>
            <w:gridSpan w:val="2"/>
            <w:vMerge w:val="continue"/>
          </w:tcPr>
          <w:p>
            <w:pPr>
              <w:spacing w:after="0"/>
              <w:rPr>
                <w:sz w:val="16"/>
                <w:szCs w:val="16"/>
                <w:color w:val="auto"/>
              </w:rPr>
            </w:pPr>
          </w:p>
        </w:tc>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3,176,157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Trade excluding joint ventures, less allowance for doubtful accounts of $20,000 at May 31, 2013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August 31, 2012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2,801,488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2,516,961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Trade joint ventures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1,120,085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2,459,487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5,216,976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352,395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548,331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596,085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2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15,896,765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14,059,726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5,126,133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4,288,618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Investments in joint ventures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23,320,080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1,030,610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1,030,610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Patents and trademarks,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25,488,415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2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46,511,313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41,877,627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87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Current portion of note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1,267,591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Payroll and related benefits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1,565,866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Deferred joint venture royalties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2,760,231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3,999,645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NOTE PAYABLE, NET OF CURRENT PORTION (Note 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876,325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933,413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89"/>
              </w:rPr>
              <w:t>Common stock, $0.02 par value per share; authorized 10,000,000 shares; issued and outstanding 4,428,036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20" w:type="dxa"/>
            <w:vAlign w:val="bottom"/>
          </w:tcPr>
          <w:p>
            <w:pPr>
              <w:ind w:left="80"/>
              <w:spacing w:after="0"/>
              <w:rPr>
                <w:sz w:val="20"/>
                <w:szCs w:val="20"/>
                <w:color w:val="auto"/>
              </w:rPr>
            </w:pPr>
            <w:r>
              <w:rPr>
                <w:rFonts w:ascii="Arial" w:cs="Arial" w:eastAsia="Arial" w:hAnsi="Arial"/>
                <w:sz w:val="18"/>
                <w:szCs w:val="18"/>
                <w:color w:val="auto"/>
              </w:rPr>
              <w:t>4,403,656, 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88,561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88,073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11,557,585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11,130,966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6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27,011,178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25,260,034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334,236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56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38,991,560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36,756,656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3,883,197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20" w:type="dxa"/>
            <w:vAlign w:val="bottom"/>
          </w:tcPr>
          <w:p>
            <w:pPr>
              <w:ind w:left="56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42,874,757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36,944,569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46,511,313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41,877,627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42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00" w:type="dxa"/>
            <w:vAlign w:val="bottom"/>
          </w:tcPr>
          <w:p>
            <w:pPr>
              <w:spacing w:after="0"/>
              <w:rPr>
                <w:sz w:val="18"/>
                <w:szCs w:val="18"/>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May 31, 2012</w:t>
            </w:r>
          </w:p>
        </w:tc>
        <w:tc>
          <w:tcPr>
            <w:tcW w:w="0" w:type="dxa"/>
            <w:vAlign w:val="bottom"/>
          </w:tcPr>
          <w:p>
            <w:pPr>
              <w:spacing w:after="0"/>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5,041,096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7,175,825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14,296,686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15,579,086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835,937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629,079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2,118,444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2,032,260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5,877,033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7,804,904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16,415,130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17,611,346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4,054,364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4,143,514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11,379,249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10,833,072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1,822,669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3,661,390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4,935,881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6,778,274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1,440,335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1,822,972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3,733,069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4,405,327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1,917,947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734,337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5,535,105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3,477,715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joint venture operations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3,358,282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2,557,309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9,268,174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7,883,042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1,243,687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1,270,996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3,588,847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1,105,710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1,147,744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3,498,393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1,026,275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729,990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1,002,651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1,067,454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2,853,250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2,856,536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3,687,180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3,780,363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10,966,765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10,498,659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1,493,771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2,438,336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3,337,290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4,162,657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1,445,769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2,454,623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3,323,460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4,200,035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158,000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814,000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532,000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1,287,769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1,640,623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2,791,460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3,180,035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ATTRIBUTABLE TO NON CONTROLLING INTEREST</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360,657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186,586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1,040,316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161,048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927,112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1,454,037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1,751,144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9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4,421,379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4,399,290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4,415,452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4,379,175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9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4,468,861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4,461,044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4,464,774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AND NINE MONTHS ENDED MAY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May 31, 2013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May 31, 2012</w:t>
            </w:r>
          </w:p>
        </w:tc>
        <w:tc>
          <w:tcPr>
            <w:tcW w:w="100" w:type="dxa"/>
            <w:vAlign w:val="bottom"/>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May 31, 2013</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May 31, 2012</w:t>
            </w: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1,287,769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1,640,623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2,791,460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3,180,035</w:t>
            </w:r>
          </w:p>
        </w:tc>
      </w:tr>
      <w:tr>
        <w:trPr>
          <w:trHeight w:val="202"/>
        </w:trPr>
        <w:tc>
          <w:tcPr>
            <w:tcW w:w="20" w:type="dxa"/>
            <w:vAlign w:val="bottom"/>
          </w:tcPr>
          <w:p>
            <w:pPr>
              <w:spacing w:after="0"/>
              <w:rPr>
                <w:sz w:val="17"/>
                <w:szCs w:val="17"/>
                <w:color w:val="auto"/>
              </w:rPr>
            </w:pPr>
          </w:p>
        </w:tc>
        <w:tc>
          <w:tcPr>
            <w:tcW w:w="622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(LOSS) – FOREIGN CURRENCY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TRANSLATION ADJUSTMENT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(1,346,222)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103,543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(2,600,098)</w:t>
            </w:r>
          </w:p>
        </w:tc>
      </w:tr>
      <w:tr>
        <w:trPr>
          <w:trHeight w:val="257"/>
        </w:trPr>
        <w:tc>
          <w:tcPr>
            <w:tcW w:w="20" w:type="dxa"/>
            <w:vAlign w:val="bottom"/>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995,768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294,401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2,895,003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579,937</w:t>
            </w: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COMPREHENSIVE INCOME (LOSS) ATTRIBUTABLE TO</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1,087,206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123,608</w:t>
            </w: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9"/>
              </w:rPr>
              <w:t>COMPREHENSIVE INCOME (LOSS) ATTRIBUTABLE TO STOCKHOLDERS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643,249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137,951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1,807,797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456,329</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NINE MONTHS ENDED MAY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2,791,460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40"/>
              <w:spacing w:after="0"/>
              <w:rPr>
                <w:sz w:val="20"/>
                <w:szCs w:val="20"/>
                <w:color w:val="auto"/>
              </w:rPr>
            </w:pPr>
            <w:r>
              <w:rPr>
                <w:rFonts w:ascii="Arial" w:cs="Arial" w:eastAsia="Arial" w:hAnsi="Arial"/>
                <w:sz w:val="18"/>
                <w:szCs w:val="18"/>
                <w:color w:val="auto"/>
              </w:rPr>
              <w:t>Depreciation expense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40"/>
              <w:spacing w:after="0"/>
              <w:rPr>
                <w:sz w:val="20"/>
                <w:szCs w:val="20"/>
                <w:color w:val="auto"/>
              </w:rPr>
            </w:pPr>
            <w:r>
              <w:rPr>
                <w:rFonts w:ascii="Arial" w:cs="Arial" w:eastAsia="Arial" w:hAnsi="Arial"/>
                <w:sz w:val="18"/>
                <w:szCs w:val="18"/>
                <w:color w:val="auto"/>
              </w:rPr>
              <w:t>Loss on disposal of 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 in income from joint ventures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(3,733,069)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Changes in current assets and liabilities: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Trade, excluding joint ventures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joint ventures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Fees for services receivables, joint ventures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(1,085,743)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96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(526,505)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Income tax payable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960"/>
              <w:spacing w:after="0"/>
              <w:rPr>
                <w:sz w:val="20"/>
                <w:szCs w:val="20"/>
                <w:color w:val="auto"/>
              </w:rPr>
            </w:pPr>
            <w:r>
              <w:rPr>
                <w:rFonts w:ascii="Arial" w:cs="Arial" w:eastAsia="Arial" w:hAnsi="Arial"/>
                <w:sz w:val="18"/>
                <w:szCs w:val="18"/>
                <w:color w:val="auto"/>
              </w:rPr>
              <w:t>Accrued liabilities</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(3,052,892)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(1,172,924)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3,017,586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3,045,544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(1,160,344)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Effect of NTI Asean consolidation on cash (Note 2)</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1,612,768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to patents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3,302,358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2,517,369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note payable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Dividend received by non-controlling interest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(1,352,841)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(1,196,170)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1,199,536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4,137,547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3,176,157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4,465,898</w:t>
            </w:r>
          </w:p>
        </w:tc>
        <w:tc>
          <w:tcPr>
            <w:tcW w:w="0" w:type="dxa"/>
            <w:vAlign w:val="bottom"/>
          </w:tcPr>
          <w:p>
            <w:pPr>
              <w:spacing w:after="0"/>
              <w:rPr>
                <w:sz w:val="1"/>
                <w:szCs w:val="1"/>
                <w:color w:val="auto"/>
              </w:rPr>
            </w:pPr>
          </w:p>
        </w:tc>
      </w:tr>
      <w:tr>
        <w:trPr>
          <w:trHeight w:val="413"/>
        </w:trPr>
        <w:tc>
          <w:tcPr>
            <w:tcW w:w="730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00" w:type="dxa"/>
            <w:vAlign w:val="bottom"/>
            <w:gridSpan w:val="2"/>
          </w:tcPr>
          <w:p>
            <w:pPr>
              <w:jc w:val="right"/>
              <w:ind w:right="1450"/>
              <w:spacing w:after="0"/>
              <w:rPr>
                <w:sz w:val="20"/>
                <w:szCs w:val="20"/>
                <w:color w:val="auto"/>
              </w:rPr>
            </w:pPr>
            <w:r>
              <w:rPr>
                <w:rFonts w:ascii="Arial" w:cs="Arial" w:eastAsia="Arial" w:hAnsi="Arial"/>
                <w:sz w:val="18"/>
                <w:szCs w:val="18"/>
                <w:color w:val="auto"/>
              </w:rPr>
              <w:t>6</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8"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2013 and August 31, 2012 and the results of their operations for the three and nine months ended May 31, 2013 and 2012 and their cash flows for the nine months ended May 31, 2013 and 2012, in conformity with accounting principles generally accepted in the United States of America (U.S. GAAP).</w:t>
      </w:r>
    </w:p>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w:t>
      </w:r>
    </w:p>
    <w:p>
      <w:pPr>
        <w:spacing w:after="0" w:line="208"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2012.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results for the three and nine months ended May 31, 2013 are not necessarily indicative of the results that may be expected for the full fiscal year ending August 31, 2013.</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93"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NTI ASEAN</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NTI Asean LLC (NTI Asean) is an entity that holds investments in eight entities operating in the Association of Southeast Asian Nations (ASEAN) region, including the following countries: China, Indonesia, Korea, Malaysia, Philippines, Singapore, Taiwan and Thailand.</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September 1, 2012, the Company owned 50% of NTI Asean, which it considered to be less than a majority, of the equity and voting rights and accounted for its investment using the equity method. On September 1, 2012, the Company obtained an additional 10% ownership interest in NTI Asean in exchange for a license agreement, and thereafter holds 60% of the equity and voting rights of NTI Asean.</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(liabilities assumed):</w:t>
            </w: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Accounts receivables</w:t>
            </w:r>
          </w:p>
        </w:tc>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1,342,000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6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4,967,000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Value of assets</w:t>
            </w:r>
          </w:p>
        </w:tc>
        <w:tc>
          <w:tcPr>
            <w:tcW w:w="6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7,922,000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0" w:type="dxa"/>
            <w:vAlign w:val="bottom"/>
            <w:vMerge w:val="restart"/>
          </w:tcPr>
          <w:p>
            <w:pPr>
              <w:jc w:val="right"/>
              <w:ind w:right="455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80" w:type="dxa"/>
            <w:vAlign w:val="bottom"/>
            <w:shd w:val="clear" w:color="auto" w:fill="808080"/>
          </w:tcPr>
          <w:p>
            <w:pPr>
              <w:spacing w:after="0"/>
              <w:rPr>
                <w:sz w:val="5"/>
                <w:szCs w:val="5"/>
                <w:color w:val="auto"/>
              </w:rPr>
            </w:pPr>
          </w:p>
        </w:tc>
        <w:tc>
          <w:tcPr>
            <w:tcW w:w="6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3,961,000</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Value of previously held interest</w:t>
            </w:r>
          </w:p>
        </w:tc>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3,961,000</w:t>
            </w:r>
          </w:p>
        </w:tc>
      </w:tr>
      <w:tr>
        <w:trPr>
          <w:trHeight w:val="263"/>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7,922,000</w:t>
            </w:r>
          </w:p>
        </w:tc>
      </w:tr>
    </w:tbl>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is a summary of certain line items of the Company’s consolidated statement of operations for the three months ended May 31, 2012 as reported and on a pro forma basis, assuming the consolidation of NTI Asean on the Company’s consolidated financial statements as of the beginning of such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As Reported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Asean</w:t>
            </w: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Consolidation</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5"/>
              </w:rPr>
              <w:t>Pro Forma</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7,804,904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7,804,904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4,143,514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4,143,514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3,661,390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3,661,390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2,557,309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870,663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3,043,857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3,780,363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3,891,000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2,438,336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760,026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2,814,247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2,454,623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760,026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2,830,534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913,208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1,640,623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660,818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1,917,326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186,586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(264,327)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(77,741)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1,454,037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1,466,413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income per common diluted share</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0.33</w:t>
            </w:r>
          </w:p>
        </w:tc>
      </w:tr>
    </w:tbl>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is a summary of certain line items of the Company’s consolidated statements of operations for the nine months ended May 31, 2012 as reported and on a pro forma basis, assuming the consolidation of NTI Asean on the Company’s consolidated financial statements as of the beginning of such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Eliminated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6"/>
              </w:rPr>
              <w:t>Asean</w:t>
            </w:r>
          </w:p>
        </w:tc>
        <w:tc>
          <w:tcPr>
            <w:tcW w:w="120" w:type="dxa"/>
            <w:vAlign w:val="bottom"/>
          </w:tcPr>
          <w:p>
            <w:pPr>
              <w:spacing w:after="0"/>
              <w:rPr>
                <w:sz w:val="20"/>
                <w:szCs w:val="20"/>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6"/>
              </w:rPr>
              <w:t>Consolidation</w:t>
            </w:r>
          </w:p>
        </w:tc>
        <w:tc>
          <w:tcPr>
            <w:tcW w:w="12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5"/>
              </w:rPr>
              <w:t>Pro Forma</w:t>
            </w:r>
          </w:p>
        </w:tc>
      </w:tr>
      <w:tr>
        <w:trPr>
          <w:trHeight w:val="210"/>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sales</w:t>
            </w:r>
          </w:p>
        </w:tc>
        <w:tc>
          <w:tcPr>
            <w:tcW w:w="39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17,611,346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17,611,346</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10,833,072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10,833,072</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6,778,274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6,778,274</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7,883,042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2,569,943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(1,076,230)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9,376,755</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10,498,659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133,772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10,632,431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4,162,657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2,436,171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(1,076,230)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5,522,598</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4,200,035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2,436,171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(1,076,230)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5,559,976</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284,019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1,304,019</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3,180,035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2,152,152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(1,076,230)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4,255,957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(860,861)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(699,813)</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3,018,987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1,291,291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(1,076,230)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3,234,048</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per common diluted share</w:t>
            </w:r>
          </w:p>
        </w:tc>
        <w:tc>
          <w:tcPr>
            <w:tcW w:w="2240" w:type="dxa"/>
            <w:vAlign w:val="bottom"/>
            <w:gridSpan w:val="2"/>
          </w:tcPr>
          <w:p>
            <w:pPr>
              <w:ind w:left="2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0.73</w:t>
            </w:r>
          </w:p>
        </w:tc>
      </w:tr>
      <w:tr>
        <w:trPr>
          <w:trHeight w:val="445"/>
        </w:trPr>
        <w:tc>
          <w:tcPr>
            <w:tcW w:w="74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20" w:type="dxa"/>
            <w:vAlign w:val="bottom"/>
          </w:tcPr>
          <w:p>
            <w:pPr>
              <w:ind w:left="80"/>
              <w:spacing w:after="0"/>
              <w:rPr>
                <w:sz w:val="20"/>
                <w:szCs w:val="20"/>
                <w:color w:val="auto"/>
              </w:rPr>
            </w:pPr>
            <w:r>
              <w:rPr>
                <w:rFonts w:ascii="Arial" w:cs="Arial" w:eastAsia="Arial" w:hAnsi="Arial"/>
                <w:sz w:val="18"/>
                <w:szCs w:val="18"/>
                <w:b w:val="1"/>
                <w:bCs w:val="1"/>
                <w:color w:val="auto"/>
              </w:rPr>
              <w:t>INVENTORIES</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46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3"/>
        </w:trPr>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May 31, 2013</w:t>
            </w:r>
          </w:p>
        </w:tc>
        <w:tc>
          <w:tcPr>
            <w:tcW w:w="14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6"/>
              </w:rPr>
              <w:t>August 31, 2012</w:t>
            </w: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1,140,800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1,462,615</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4,076,176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2,688,582</w:t>
            </w:r>
          </w:p>
        </w:tc>
      </w:tr>
      <w:tr>
        <w:trPr>
          <w:trHeight w:val="263"/>
        </w:trPr>
        <w:tc>
          <w:tcPr>
            <w:tcW w:w="740" w:type="dxa"/>
            <w:vAlign w:val="bottom"/>
            <w:shd w:val="clear" w:color="auto" w:fill="CCEEFF"/>
          </w:tcPr>
          <w:p>
            <w:pPr>
              <w:spacing w:after="0"/>
              <w:rPr>
                <w:sz w:val="22"/>
                <w:szCs w:val="22"/>
                <w:color w:val="auto"/>
              </w:rPr>
            </w:pPr>
          </w:p>
        </w:tc>
        <w:tc>
          <w:tcPr>
            <w:tcW w:w="39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5,216,976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4,151,197</w:t>
            </w:r>
          </w:p>
        </w:tc>
      </w:tr>
      <w:tr>
        <w:trPr>
          <w:trHeight w:val="345"/>
        </w:trPr>
        <w:tc>
          <w:tcPr>
            <w:tcW w:w="740" w:type="dxa"/>
            <w:vAlign w:val="bottom"/>
            <w:tcBorders>
              <w:top w:val="single" w:sz="8" w:color="CCEEFF"/>
            </w:tcBorders>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jc w:val="right"/>
              <w:ind w:right="93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05"/>
        </w:trPr>
        <w:tc>
          <w:tcPr>
            <w:tcW w:w="7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74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ind w:left="820" w:hanging="812"/>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31, 2013</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2012</w:t>
            </w:r>
          </w:p>
        </w:tc>
      </w:tr>
      <w:tr>
        <w:trPr>
          <w:trHeight w:val="20"/>
        </w:trPr>
        <w:tc>
          <w:tcPr>
            <w:tcW w:w="8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4,302,151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3,406,674</w:t>
            </w:r>
          </w:p>
        </w:tc>
      </w:tr>
      <w:tr>
        <w:trPr>
          <w:trHeight w:val="23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3,173,684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2,908,021</w:t>
            </w:r>
          </w:p>
        </w:tc>
      </w:tr>
      <w:tr>
        <w:trPr>
          <w:trHeight w:val="210"/>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7,786,200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6,625,060</w:t>
            </w:r>
          </w:p>
        </w:tc>
      </w:tr>
      <w:tr>
        <w:trPr>
          <w:trHeight w:val="23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(2,660,067)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(2,336,442)</w:t>
            </w:r>
          </w:p>
        </w:tc>
      </w:tr>
      <w:tr>
        <w:trPr>
          <w:trHeight w:val="223"/>
        </w:trPr>
        <w:tc>
          <w:tcPr>
            <w:tcW w:w="8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5,126,133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4,288,618</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5940" w:type="dxa"/>
            <w:vAlign w:val="bottom"/>
          </w:tcPr>
          <w:p>
            <w:pPr>
              <w:ind w:left="340"/>
              <w:spacing w:after="0"/>
              <w:rPr>
                <w:sz w:val="20"/>
                <w:szCs w:val="20"/>
                <w:color w:val="auto"/>
              </w:rPr>
            </w:pPr>
            <w:r>
              <w:rPr>
                <w:rFonts w:ascii="Arial" w:cs="Arial" w:eastAsia="Arial" w:hAnsi="Arial"/>
                <w:sz w:val="18"/>
                <w:szCs w:val="18"/>
                <w:b w:val="1"/>
                <w:bCs w:val="1"/>
                <w:color w:val="auto"/>
              </w:rPr>
              <w:t>PATENTS AND TRADEMARKS, NET</w:t>
            </w: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4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3"/>
        </w:trPr>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2012</w:t>
            </w:r>
          </w:p>
        </w:tc>
      </w:tr>
      <w:tr>
        <w:trPr>
          <w:trHeight w:val="20"/>
        </w:trPr>
        <w:tc>
          <w:tcPr>
            <w:tcW w:w="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2,097,872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1,945,785</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(1,036,147)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(984,604)</w:t>
            </w:r>
          </w:p>
        </w:tc>
      </w:tr>
      <w:tr>
        <w:trPr>
          <w:trHeight w:val="243"/>
        </w:trPr>
        <w:tc>
          <w:tcPr>
            <w:tcW w:w="480" w:type="dxa"/>
            <w:vAlign w:val="bottom"/>
            <w:shd w:val="clear" w:color="auto" w:fill="CCEEFF"/>
          </w:tcPr>
          <w:p>
            <w:pPr>
              <w:spacing w:after="0"/>
              <w:rPr>
                <w:sz w:val="21"/>
                <w:szCs w:val="21"/>
                <w:color w:val="auto"/>
              </w:rPr>
            </w:pPr>
          </w:p>
        </w:tc>
        <w:tc>
          <w:tcPr>
            <w:tcW w:w="59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1,061,725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China, NTI Asean and all of the Company’s other joint ventures,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At May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$63,547,204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$23,056,084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13,964,465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26,526,655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69,688,319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25,425,172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13,993,902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30,269,245</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19,288,471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3,056,560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6,212,433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10,019,478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3,358,593</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869,532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2,489,061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47,041,255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22,368,612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6,911,937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17,760,706</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23,320,080</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11,184,308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3,455,969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8,679,803</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$20,877,265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$ 11,153,403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3,405,969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6,327,893</w:t>
            </w:r>
          </w:p>
        </w:tc>
      </w:tr>
      <w:tr>
        <w:trPr>
          <w:trHeight w:val="365"/>
        </w:trPr>
        <w:tc>
          <w:tcPr>
            <w:tcW w:w="6680" w:type="dxa"/>
            <w:vAlign w:val="bottom"/>
          </w:tcPr>
          <w:p>
            <w:pPr>
              <w:ind w:left="56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6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66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At August 31, 2012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$61,973,725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$24,357,139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15,358,967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22,257,619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68,585,974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26,620,589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15,522,456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26,442,929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18,686,181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4,749,574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5,763,857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8,172,750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4,700,458</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1,055,965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3,644,493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45,199,335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21,871,015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8,702,634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14,625,686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21,461,492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10,935,509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3,685,404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6,840,579</w:t>
            </w:r>
          </w:p>
        </w:tc>
      </w:tr>
      <w:tr>
        <w:trPr>
          <w:trHeight w:val="202"/>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$19,403,150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$10,904,604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3,314,445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5,184,101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8"/>
                <w:szCs w:val="18"/>
                <w:b w:val="1"/>
                <w:bCs w:val="1"/>
                <w:color w:val="auto"/>
              </w:rPr>
              <w:t>Nine Months Ended May 31, 2013</w:t>
            </w:r>
          </w:p>
        </w:tc>
        <w:tc>
          <w:tcPr>
            <w:tcW w:w="940" w:type="dxa"/>
            <w:vAlign w:val="bottom"/>
            <w:tcBorders>
              <w:bottom w:val="single" w:sz="8" w:color="auto"/>
            </w:tcBorders>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82,788,711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26,043,775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10,802,206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45,942,730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39,447,084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13,624,792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5,134,820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20,687,472</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7,626,711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4,954,595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1,856,452</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3,733,069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2,478,109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407,809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847,151</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Nine Months Ended May 31, 2012</w:t>
            </w:r>
          </w:p>
        </w:tc>
        <w:tc>
          <w:tcPr>
            <w:tcW w:w="940" w:type="dxa"/>
            <w:vAlign w:val="bottom"/>
            <w:tcBorders>
              <w:bottom w:val="single" w:sz="8" w:color="auto"/>
            </w:tcBorders>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83,746,872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25,785,840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16,366,258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41,594,775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40,201,265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13,423,067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7,183,786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19,594,413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8,165,791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4,830,477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1,941,417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1,393,897</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4,405,327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2,396,596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1,076,230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932,501</w:t>
            </w:r>
          </w:p>
        </w:tc>
      </w:tr>
    </w:tbl>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September 1, 2012, the Company owned 50% of NTI Asean, which included the joint venture in China, and disclosed its financial information accordingly. On September 1, 2012, the Company obtained an additional 10% ownership interest in NTI Asean and has consolidated the results of NTI Asean subsequent to that date. As a result the Company now discloses the financial information for only its joint venture in China and not all of NTI Asean accordingly.</w:t>
      </w:r>
    </w:p>
    <w:p>
      <w:pPr>
        <w:spacing w:after="0" w:line="21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nine months ended May 31, 2013 and 2012.</w:t>
      </w:r>
    </w:p>
    <w:p>
      <w:pPr>
        <w:spacing w:after="0" w:line="248"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May 31, 2013, Northern Technologies Holding Company, LLC (NTI LLC) had a term loan with a principal amount of $952,444 outstanding that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has a revolving line of credit with PNC Bank of $3,000,000. No amounts were outstanding under the line of credit as of May 31, 2013 and August 31,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May 31, 2013, the interest rate was 2.85% and the weighted average rate was 3.02% for the nine months ended May 31, 2013. As of May 31, 2012, the interest rate was 3.20% and the weighted average rate was 3.16% for the nine months ended May 31, 2012. The revolving line of credit is secured by cash, receivables and inventory.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1" w:name="page12"/>
    <w:bookmarkEnd w:id="11"/>
    <w:p>
      <w:pPr>
        <w:ind w:right="160"/>
        <w:spacing w:after="0" w:line="276" w:lineRule="auto"/>
        <w:rPr>
          <w:sz w:val="20"/>
          <w:szCs w:val="20"/>
          <w:color w:val="auto"/>
        </w:rPr>
      </w:pPr>
      <w:r>
        <w:rPr>
          <w:rFonts w:ascii="Arial" w:cs="Arial" w:eastAsia="Arial" w:hAnsi="Arial"/>
          <w:sz w:val="17"/>
          <w:szCs w:val="17"/>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May 31, 2013, the Company was in compliance with all debt covenants.</w:t>
      </w:r>
    </w:p>
    <w:p>
      <w:pPr>
        <w:spacing w:after="0" w:line="20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December 11, 2012, PNC Bank extended the maturity date of the line of credit from January 9, 2013 to January 8, 2014, and waived a technical covenant default by the Company to deliver quarterly compliance certificates. All other terms of the line of credit and the loan agreement and other documents evidencing the line of credit remain the same. It is anticipated that the line of credit will be extended again prior to the January 8, 2014 maturity date.</w:t>
      </w:r>
    </w:p>
    <w:p>
      <w:pPr>
        <w:spacing w:after="0" w:line="170"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May 31, 2013, the Company did not purchase or retire any shares of its common stock. The following stock options to purchase shares of common stock were exercised during the nine months ended May 31,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680" w:type="dxa"/>
            <w:vAlign w:val="bottom"/>
          </w:tcPr>
          <w:p>
            <w:pPr>
              <w:spacing w:after="0"/>
              <w:rPr>
                <w:sz w:val="17"/>
                <w:szCs w:val="17"/>
                <w:color w:val="auto"/>
              </w:rPr>
            </w:pPr>
          </w:p>
        </w:tc>
        <w:tc>
          <w:tcPr>
            <w:tcW w:w="5020" w:type="dxa"/>
            <w:vAlign w:val="bottom"/>
            <w:gridSpan w:val="3"/>
          </w:tcPr>
          <w:p>
            <w:pPr>
              <w:jc w:val="right"/>
              <w:ind w:right="3980"/>
              <w:spacing w:after="0"/>
              <w:rPr>
                <w:sz w:val="20"/>
                <w:szCs w:val="20"/>
                <w:color w:val="auto"/>
              </w:rPr>
            </w:pPr>
            <w:r>
              <w:rPr>
                <w:rFonts w:ascii="Arial" w:cs="Arial" w:eastAsia="Arial" w:hAnsi="Arial"/>
                <w:sz w:val="18"/>
                <w:szCs w:val="18"/>
                <w:color w:val="auto"/>
                <w:w w:val="88"/>
              </w:rPr>
              <w:t>Exercise Price</w:t>
            </w:r>
          </w:p>
        </w:tc>
      </w:tr>
      <w:tr>
        <w:trPr>
          <w:trHeight w:val="21"/>
        </w:trPr>
        <w:tc>
          <w:tcPr>
            <w:tcW w:w="38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25,140</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20" w:type="dxa"/>
            <w:vAlign w:val="bottom"/>
            <w:gridSpan w:val="3"/>
            <w:shd w:val="clear" w:color="auto" w:fill="CCEEFF"/>
          </w:tcPr>
          <w:p>
            <w:pPr>
              <w:jc w:val="right"/>
              <w:ind w:right="3860"/>
              <w:spacing w:after="0"/>
              <w:rPr>
                <w:sz w:val="20"/>
                <w:szCs w:val="20"/>
                <w:color w:val="auto"/>
              </w:rPr>
            </w:pPr>
            <w:r>
              <w:rPr>
                <w:rFonts w:ascii="Arial" w:cs="Arial" w:eastAsia="Arial" w:hAnsi="Arial"/>
                <w:sz w:val="18"/>
                <w:szCs w:val="18"/>
                <w:color w:val="auto"/>
              </w:rPr>
              <w:t>9.95</w:t>
            </w:r>
          </w:p>
        </w:tc>
      </w:tr>
      <w:tr>
        <w:trPr>
          <w:trHeight w:val="216"/>
        </w:trPr>
        <w:tc>
          <w:tcPr>
            <w:tcW w:w="5120" w:type="dxa"/>
            <w:vAlign w:val="bottom"/>
            <w:gridSpan w:val="2"/>
          </w:tcPr>
          <w:p>
            <w:pPr>
              <w:jc w:val="right"/>
              <w:ind w:right="310"/>
              <w:spacing w:after="0"/>
              <w:rPr>
                <w:sz w:val="20"/>
                <w:szCs w:val="20"/>
                <w:color w:val="auto"/>
              </w:rPr>
            </w:pPr>
            <w:r>
              <w:rPr>
                <w:rFonts w:ascii="Arial" w:cs="Arial" w:eastAsia="Arial" w:hAnsi="Arial"/>
                <w:sz w:val="18"/>
                <w:szCs w:val="18"/>
                <w:color w:val="auto"/>
              </w:rPr>
              <w:t>4,000</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20" w:type="dxa"/>
            <w:vAlign w:val="bottom"/>
            <w:gridSpan w:val="3"/>
          </w:tcPr>
          <w:p>
            <w:pPr>
              <w:jc w:val="right"/>
              <w:ind w:right="3860"/>
              <w:spacing w:after="0"/>
              <w:rPr>
                <w:sz w:val="20"/>
                <w:szCs w:val="20"/>
                <w:color w:val="auto"/>
              </w:rPr>
            </w:pPr>
            <w:r>
              <w:rPr>
                <w:rFonts w:ascii="Arial" w:cs="Arial" w:eastAsia="Arial" w:hAnsi="Arial"/>
                <w:sz w:val="18"/>
                <w:szCs w:val="18"/>
                <w:color w:val="auto"/>
              </w:rPr>
              <w:t>8.57</w:t>
            </w:r>
          </w:p>
        </w:tc>
      </w:tr>
      <w:tr>
        <w:trPr>
          <w:trHeight w:val="216"/>
        </w:trPr>
        <w:tc>
          <w:tcPr>
            <w:tcW w:w="5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1,734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jc w:val="right"/>
              <w:ind w:right="3860"/>
              <w:spacing w:after="0"/>
              <w:rPr>
                <w:sz w:val="20"/>
                <w:szCs w:val="20"/>
                <w:color w:val="auto"/>
              </w:rPr>
            </w:pPr>
            <w:r>
              <w:rPr>
                <w:rFonts w:ascii="Arial" w:cs="Arial" w:eastAsia="Arial" w:hAnsi="Arial"/>
                <w:sz w:val="18"/>
                <w:szCs w:val="18"/>
                <w:color w:val="auto"/>
              </w:rPr>
              <w:t>7.65</w:t>
            </w:r>
          </w:p>
        </w:tc>
      </w:tr>
      <w:tr>
        <w:trPr>
          <w:trHeight w:val="216"/>
        </w:trPr>
        <w:tc>
          <w:tcPr>
            <w:tcW w:w="5120" w:type="dxa"/>
            <w:vAlign w:val="bottom"/>
            <w:gridSpan w:val="2"/>
          </w:tcPr>
          <w:p>
            <w:pPr>
              <w:jc w:val="right"/>
              <w:ind w:right="310"/>
              <w:spacing w:after="0"/>
              <w:rPr>
                <w:sz w:val="20"/>
                <w:szCs w:val="20"/>
                <w:color w:val="auto"/>
              </w:rPr>
            </w:pPr>
            <w:r>
              <w:rPr>
                <w:rFonts w:ascii="Arial" w:cs="Arial" w:eastAsia="Arial" w:hAnsi="Arial"/>
                <w:sz w:val="18"/>
                <w:szCs w:val="18"/>
                <w:color w:val="auto"/>
              </w:rPr>
              <w:t>1,500</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20" w:type="dxa"/>
            <w:vAlign w:val="bottom"/>
            <w:gridSpan w:val="3"/>
          </w:tcPr>
          <w:p>
            <w:pPr>
              <w:jc w:val="right"/>
              <w:ind w:right="3860"/>
              <w:spacing w:after="0"/>
              <w:rPr>
                <w:sz w:val="20"/>
                <w:szCs w:val="20"/>
                <w:color w:val="auto"/>
              </w:rPr>
            </w:pPr>
            <w:r>
              <w:rPr>
                <w:rFonts w:ascii="Arial" w:cs="Arial" w:eastAsia="Arial" w:hAnsi="Arial"/>
                <w:sz w:val="18"/>
                <w:szCs w:val="18"/>
                <w:color w:val="auto"/>
              </w:rPr>
              <w:t>9.76</w:t>
            </w:r>
          </w:p>
        </w:tc>
      </w:tr>
      <w:tr>
        <w:trPr>
          <w:trHeight w:val="216"/>
        </w:trPr>
        <w:tc>
          <w:tcPr>
            <w:tcW w:w="5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666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jc w:val="right"/>
              <w:ind w:right="3860"/>
              <w:spacing w:after="0"/>
              <w:rPr>
                <w:sz w:val="20"/>
                <w:szCs w:val="20"/>
                <w:color w:val="auto"/>
              </w:rPr>
            </w:pPr>
            <w:r>
              <w:rPr>
                <w:rFonts w:ascii="Arial" w:cs="Arial" w:eastAsia="Arial" w:hAnsi="Arial"/>
                <w:sz w:val="18"/>
                <w:szCs w:val="18"/>
                <w:color w:val="auto"/>
              </w:rPr>
              <w:t>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-685165</wp:posOffset>
            </wp:positionV>
            <wp:extent cx="238379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13716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-410845</wp:posOffset>
            </wp:positionV>
            <wp:extent cx="238379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174117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1170" cy="68580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-136525</wp:posOffset>
            </wp:positionV>
            <wp:extent cx="23837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137160"/>
                    </a:xfrm>
                    <a:prstGeom prst="rect">
                      <a:avLst/>
                    </a:prstGeom>
                    <a:noFill/>
                  </pic:spPr>
                </pic:pic>
              </a:graphicData>
            </a:graphic>
          </wp:anchor>
        </w:drawing>
      </w:r>
    </w:p>
    <w:p>
      <w:pPr>
        <w:spacing w:after="0" w:line="20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118,294 shares of its common stock to various employees and directors during the nine months ended May 31, 2013. The weighted average per share exercise price of the stock options is $10.25, which is equal to the fair market value of the Company’s common stock on the date of grant.</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May 31, 2012, the Company did not purchase or retire any shares of its common stock. The following stock options to purchase shares of common stock were exercised during the nine months ended May 31,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Options Exercised</w:t>
            </w:r>
          </w:p>
        </w:tc>
        <w:tc>
          <w:tcPr>
            <w:tcW w:w="1020" w:type="dxa"/>
            <w:vAlign w:val="bottom"/>
          </w:tcPr>
          <w:p>
            <w:pPr>
              <w:spacing w:after="0"/>
              <w:rPr>
                <w:sz w:val="18"/>
                <w:szCs w:val="18"/>
                <w:color w:val="auto"/>
              </w:rPr>
            </w:pPr>
          </w:p>
        </w:tc>
        <w:tc>
          <w:tcPr>
            <w:tcW w:w="5020" w:type="dxa"/>
            <w:vAlign w:val="bottom"/>
            <w:gridSpan w:val="3"/>
          </w:tcPr>
          <w:p>
            <w:pPr>
              <w:jc w:val="right"/>
              <w:ind w:right="3980"/>
              <w:spacing w:after="0"/>
              <w:rPr>
                <w:sz w:val="20"/>
                <w:szCs w:val="20"/>
                <w:color w:val="auto"/>
              </w:rPr>
            </w:pPr>
            <w:r>
              <w:rPr>
                <w:rFonts w:ascii="Arial" w:cs="Arial" w:eastAsia="Arial" w:hAnsi="Arial"/>
                <w:sz w:val="18"/>
                <w:szCs w:val="18"/>
                <w:color w:val="auto"/>
                <w:w w:val="88"/>
              </w:rPr>
              <w:t>Exercise Price</w:t>
            </w:r>
          </w:p>
        </w:tc>
      </w:tr>
      <w:tr>
        <w:trPr>
          <w:trHeight w:val="21"/>
        </w:trPr>
        <w:tc>
          <w:tcPr>
            <w:tcW w:w="38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1,966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20" w:type="dxa"/>
            <w:vAlign w:val="bottom"/>
            <w:gridSpan w:val="3"/>
            <w:shd w:val="clear" w:color="auto" w:fill="CCEEFF"/>
          </w:tcPr>
          <w:p>
            <w:pPr>
              <w:jc w:val="right"/>
              <w:ind w:right="3860"/>
              <w:spacing w:after="0"/>
              <w:rPr>
                <w:sz w:val="20"/>
                <w:szCs w:val="20"/>
                <w:color w:val="auto"/>
              </w:rPr>
            </w:pPr>
            <w:r>
              <w:rPr>
                <w:rFonts w:ascii="Arial" w:cs="Arial" w:eastAsia="Arial" w:hAnsi="Arial"/>
                <w:sz w:val="18"/>
                <w:szCs w:val="18"/>
                <w:color w:val="auto"/>
              </w:rPr>
              <w:t>7.65</w:t>
            </w:r>
          </w:p>
        </w:tc>
      </w:tr>
      <w:tr>
        <w:trPr>
          <w:trHeight w:val="365"/>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05"/>
        </w:trPr>
        <w:tc>
          <w:tcPr>
            <w:tcW w:w="3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61"/>
        </w:trPr>
        <w:tc>
          <w:tcPr>
            <w:tcW w:w="38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17411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1170" cy="13716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-473075</wp:posOffset>
            </wp:positionV>
            <wp:extent cx="23837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13716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26,000 shares of its common stock to various employees and directors during the nine months ended May 31, 2012. The weighted average per share exercise price of the stock options is $16.45, which is equal to the fair market value of the Company’s common stock on the date of grant.</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May 31, 2012, the Company issued stock bonuses under the 2007 Plan for an aggregate of 42,707 shares of its common stock to various employees at a grant price of $14.42 per share. The aggregate fair value of the shares of the Company’s common stock as of the date of payment of the stock bonuses was $615,830, based on the closing sale price of a share of the Company’s common stock on the date of payment. The fair value of common stock granted during the nine months ended May 31, 2012 was based on fiscal 2012 performance and was included in accrued liabilities at August 31, 2012.</w:t>
      </w:r>
    </w:p>
    <w:p>
      <w:pPr>
        <w:spacing w:after="0" w:line="211"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Options to purchase shares of common stock of 40,000 were excluded from the computation of common share equivalents for the three and nine months ended May 31, 2013, as the exercise prices of such options were greater than market price of a share of common stock. Options to purchase shares of common stock of 26,000 were excluded from the computation of common share equivalents for the three and nine months ended May 31, 2012, as the exercise prices of such options were greater than market price of a share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and nine months ended May 31, 2013 and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Numerators:</w:t>
            </w: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3"/>
        </w:trPr>
        <w:tc>
          <w:tcPr>
            <w:tcW w:w="6720" w:type="dxa"/>
            <w:vAlign w:val="bottom"/>
            <w:gridSpan w:val="2"/>
            <w:vMerge w:val="continue"/>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0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May 31, 2012</w:t>
            </w:r>
          </w:p>
        </w:tc>
        <w:tc>
          <w:tcPr>
            <w:tcW w:w="1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6"/>
              </w:rPr>
              <w:t>May 31, 2013</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May 31,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attributable to NTIC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1,454,037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1,751,144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3,018,987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Basic – weighted shares outstanding</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4,421,379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4,399,290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4,415,452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4,379,175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shares assumed upon exercise of stock options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49,322</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Diluted – weighted shares outstanding</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4,468,861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4,461,044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4,464,774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4,448,472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0"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right="160"/>
        <w:spacing w:after="0" w:line="291"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granted options to purchase an aggregate of 118,294 and 26,000 shares of its common stock during the nine months ended May 31, 2013 and 2012, respectively. The fair value of option grants is determined at date of grant, using the Black-Scholes option pricing model with the assumptions listed below. Based on these valuations, the Company recognized compensation expense of $213,374 and $216,712 during the nine months ended May 31, 2013 and 2012, respectively, related to the options that vested during such time period. The stock-based expense recorded reduced after-tax net income per share by $0.05 for each of the nine months ended May 31, 2013 and 2012. As of May 31, 2013, the total compensation cost for non-vested options not yet recognized in the Company’s consolidated statements of operations was $398,849 net of estimated forfeitures. Additional stock-based compensation expense of $93,077 is expected through the remainder of fiscal year 2013, and expense of $185,815 and $99,964 is expected to be recognized during fiscal 2014 and fiscal 2015, respectively. Future option grants will impact the compensation expense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740" w:type="dxa"/>
            <w:vAlign w:val="bottom"/>
            <w:gridSpan w:val="4"/>
          </w:tcPr>
          <w:p>
            <w:pPr>
              <w:ind w:left="160"/>
              <w:spacing w:after="0"/>
              <w:rPr>
                <w:sz w:val="20"/>
                <w:szCs w:val="20"/>
                <w:color w:val="auto"/>
              </w:rPr>
            </w:pPr>
            <w:r>
              <w:rPr>
                <w:rFonts w:ascii="Arial" w:cs="Arial" w:eastAsia="Arial" w:hAnsi="Arial"/>
                <w:sz w:val="18"/>
                <w:szCs w:val="18"/>
                <w:b w:val="1"/>
                <w:bCs w:val="1"/>
                <w:color w:val="auto"/>
              </w:rPr>
              <w:t>May 31,</w:t>
            </w:r>
          </w:p>
        </w:tc>
      </w:tr>
      <w:tr>
        <w:trPr>
          <w:trHeight w:val="223"/>
        </w:trPr>
        <w:tc>
          <w:tcPr>
            <w:tcW w:w="50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160" w:type="dxa"/>
            <w:vAlign w:val="bottom"/>
          </w:tcPr>
          <w:p>
            <w:pPr>
              <w:spacing w:after="0"/>
              <w:rPr>
                <w:sz w:val="19"/>
                <w:szCs w:val="19"/>
                <w:color w:val="auto"/>
              </w:rPr>
            </w:pPr>
          </w:p>
        </w:tc>
      </w:tr>
      <w:tr>
        <w:trPr>
          <w:trHeight w:val="210"/>
        </w:trPr>
        <w:tc>
          <w:tcPr>
            <w:tcW w:w="50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580" w:type="dxa"/>
            <w:vAlign w:val="bottom"/>
            <w:gridSpan w:val="3"/>
            <w:shd w:val="clear" w:color="auto" w:fill="CCEEFF"/>
          </w:tcPr>
          <w:p>
            <w:pPr>
              <w:jc w:val="center"/>
              <w:ind w:left="670"/>
              <w:spacing w:after="0"/>
              <w:rPr>
                <w:sz w:val="20"/>
                <w:szCs w:val="20"/>
                <w:color w:val="auto"/>
              </w:rPr>
            </w:pPr>
            <w:r>
              <w:rPr>
                <w:rFonts w:ascii="Arial" w:cs="Arial" w:eastAsia="Arial" w:hAnsi="Arial"/>
                <w:sz w:val="18"/>
                <w:szCs w:val="18"/>
                <w:color w:val="auto"/>
                <w:w w:val="90"/>
              </w:rPr>
              <w:t>0.00%</w:t>
            </w:r>
          </w:p>
        </w:tc>
        <w:tc>
          <w:tcPr>
            <w:tcW w:w="2160" w:type="dxa"/>
            <w:vAlign w:val="bottom"/>
            <w:shd w:val="clear" w:color="auto" w:fill="CCEEFF"/>
          </w:tcPr>
          <w:p>
            <w:pPr>
              <w:spacing w:after="0"/>
              <w:rPr>
                <w:sz w:val="18"/>
                <w:szCs w:val="18"/>
                <w:color w:val="auto"/>
              </w:rPr>
            </w:pPr>
          </w:p>
        </w:tc>
      </w:tr>
      <w:tr>
        <w:trPr>
          <w:trHeight w:val="216"/>
        </w:trPr>
        <w:tc>
          <w:tcPr>
            <w:tcW w:w="5040" w:type="dxa"/>
            <w:vAlign w:val="bottom"/>
          </w:tcPr>
          <w:p>
            <w:pPr>
              <w:ind w:left="218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48.0%</w:t>
            </w:r>
          </w:p>
        </w:tc>
        <w:tc>
          <w:tcPr>
            <w:tcW w:w="258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48.8%</w:t>
            </w:r>
          </w:p>
        </w:tc>
        <w:tc>
          <w:tcPr>
            <w:tcW w:w="2160" w:type="dxa"/>
            <w:vAlign w:val="bottom"/>
          </w:tcPr>
          <w:p>
            <w:pPr>
              <w:spacing w:after="0"/>
              <w:rPr>
                <w:sz w:val="18"/>
                <w:szCs w:val="18"/>
                <w:color w:val="auto"/>
              </w:rPr>
            </w:pPr>
          </w:p>
        </w:tc>
      </w:tr>
      <w:tr>
        <w:trPr>
          <w:trHeight w:val="216"/>
        </w:trPr>
        <w:tc>
          <w:tcPr>
            <w:tcW w:w="50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Expected life of option (years)</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5 - 10</w:t>
            </w:r>
          </w:p>
        </w:tc>
        <w:tc>
          <w:tcPr>
            <w:tcW w:w="2580" w:type="dxa"/>
            <w:vAlign w:val="bottom"/>
            <w:gridSpan w:val="3"/>
            <w:shd w:val="clear" w:color="auto" w:fill="CCEEFF"/>
          </w:tcPr>
          <w:p>
            <w:pPr>
              <w:jc w:val="center"/>
              <w:ind w:left="670"/>
              <w:spacing w:after="0"/>
              <w:rPr>
                <w:sz w:val="20"/>
                <w:szCs w:val="20"/>
                <w:color w:val="auto"/>
              </w:rPr>
            </w:pPr>
            <w:r>
              <w:rPr>
                <w:rFonts w:ascii="Arial" w:cs="Arial" w:eastAsia="Arial" w:hAnsi="Arial"/>
                <w:sz w:val="18"/>
                <w:szCs w:val="18"/>
                <w:color w:val="auto"/>
                <w:w w:val="99"/>
              </w:rPr>
              <w:t>5</w:t>
            </w:r>
          </w:p>
        </w:tc>
        <w:tc>
          <w:tcPr>
            <w:tcW w:w="2160" w:type="dxa"/>
            <w:vAlign w:val="bottom"/>
            <w:shd w:val="clear" w:color="auto" w:fill="CCEEFF"/>
          </w:tcPr>
          <w:p>
            <w:pPr>
              <w:spacing w:after="0"/>
              <w:rPr>
                <w:sz w:val="18"/>
                <w:szCs w:val="18"/>
                <w:color w:val="auto"/>
              </w:rPr>
            </w:pPr>
          </w:p>
        </w:tc>
      </w:tr>
      <w:tr>
        <w:trPr>
          <w:trHeight w:val="230"/>
        </w:trPr>
        <w:tc>
          <w:tcPr>
            <w:tcW w:w="5040" w:type="dxa"/>
            <w:vAlign w:val="bottom"/>
          </w:tcPr>
          <w:p>
            <w:pPr>
              <w:ind w:left="2180"/>
              <w:spacing w:after="0"/>
              <w:rPr>
                <w:sz w:val="20"/>
                <w:szCs w:val="20"/>
                <w:color w:val="auto"/>
              </w:rPr>
            </w:pPr>
            <w:r>
              <w:rPr>
                <w:rFonts w:ascii="Arial" w:cs="Arial" w:eastAsia="Arial" w:hAnsi="Arial"/>
                <w:sz w:val="18"/>
                <w:szCs w:val="18"/>
                <w:color w:val="auto"/>
              </w:rPr>
              <w:t>Average risk-free interest rate</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0.71%</w:t>
            </w:r>
          </w:p>
        </w:tc>
        <w:tc>
          <w:tcPr>
            <w:tcW w:w="2580" w:type="dxa"/>
            <w:vAlign w:val="bottom"/>
            <w:gridSpan w:val="3"/>
          </w:tcPr>
          <w:p>
            <w:pPr>
              <w:jc w:val="center"/>
              <w:ind w:left="670"/>
              <w:spacing w:after="0"/>
              <w:rPr>
                <w:sz w:val="20"/>
                <w:szCs w:val="20"/>
                <w:color w:val="auto"/>
              </w:rPr>
            </w:pPr>
            <w:r>
              <w:rPr>
                <w:rFonts w:ascii="Arial" w:cs="Arial" w:eastAsia="Arial" w:hAnsi="Arial"/>
                <w:sz w:val="18"/>
                <w:szCs w:val="18"/>
                <w:color w:val="auto"/>
                <w:w w:val="90"/>
              </w:rPr>
              <w:t>1.31%</w:t>
            </w: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-557530</wp:posOffset>
            </wp:positionV>
            <wp:extent cx="13722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3716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-282575</wp:posOffset>
            </wp:positionV>
            <wp:extent cx="13722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138049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0490" cy="548640"/>
                    </a:xfrm>
                    <a:prstGeom prst="rect">
                      <a:avLst/>
                    </a:prstGeom>
                    <a:noFill/>
                  </pic:spPr>
                </pic:pic>
              </a:graphicData>
            </a:graphic>
          </wp:anchor>
        </w:drawing>
      </w:r>
    </w:p>
    <w:p>
      <w:pPr>
        <w:spacing w:after="0" w:line="19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weighted average per share fair value of options granted during nine months ended May 31, 2013 and 2012 was $5.53 and $7.14, respectively. The weighted average remaining contractual life of the options outstanding as of May 31, 2013 and 2012 was 4.48 years and 1.82 years, respectively.</w:t>
      </w:r>
    </w:p>
    <w:p>
      <w:pPr>
        <w:spacing w:after="0" w:line="147"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and nine months ended May 31, 2013 and 2012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6440" w:type="dxa"/>
            <w:vAlign w:val="bottom"/>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May 31, 2013</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May 31, 2012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May 31, 2013</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May 31, 2012</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Outside the U.S.A to:</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26.2%</w:t>
            </w:r>
          </w:p>
        </w:tc>
      </w:tr>
      <w:tr>
        <w:trPr>
          <w:trHeight w:val="210"/>
        </w:trPr>
        <w:tc>
          <w:tcPr>
            <w:tcW w:w="6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365"/>
        </w:trPr>
        <w:tc>
          <w:tcPr>
            <w:tcW w:w="6440" w:type="dxa"/>
            <w:vAlign w:val="bottom"/>
          </w:tcPr>
          <w:p>
            <w:pPr>
              <w:ind w:left="5620"/>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6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64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nine months ended May 31, 2013 and 2012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 of Total Fees for</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May 31,</w:t>
            </w:r>
          </w:p>
        </w:tc>
        <w:tc>
          <w:tcPr>
            <w:tcW w:w="1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Services Provided</w:t>
            </w: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to Joint Ventures</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524,724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Germany</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241,338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177,432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260,026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Thailand*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169,085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147,867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61,152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Sweden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141,000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141,257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113,339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113,305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France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104,645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128,480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127,344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United Kingdom</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65,193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83,879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139,416</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70,158</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1,917,947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734,337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8"/>
        </w:trPr>
        <w:tc>
          <w:tcPr>
            <w:tcW w:w="20" w:type="dxa"/>
            <w:vAlign w:val="bottom"/>
          </w:tcPr>
          <w:p>
            <w:pPr>
              <w:spacing w:after="0"/>
              <w:rPr>
                <w:sz w:val="20"/>
                <w:szCs w:val="20"/>
                <w:color w:val="auto"/>
              </w:rPr>
            </w:pPr>
          </w:p>
        </w:tc>
        <w:tc>
          <w:tcPr>
            <w:tcW w:w="4580" w:type="dxa"/>
            <w:vAlign w:val="bottom"/>
            <w:tcBorders>
              <w:top w:val="single" w:sz="8" w:color="CCEEFF"/>
            </w:tcBorders>
          </w:tcPr>
          <w:p>
            <w:pPr>
              <w:spacing w:after="0" w:line="239" w:lineRule="exact"/>
              <w:rPr>
                <w:sz w:val="20"/>
                <w:szCs w:val="20"/>
                <w:color w:val="auto"/>
              </w:rPr>
            </w:pPr>
            <w:r>
              <w:rPr>
                <w:rFonts w:ascii="Arial" w:cs="Arial" w:eastAsia="Arial" w:hAnsi="Arial"/>
                <w:sz w:val="22"/>
                <w:szCs w:val="22"/>
                <w:color w:val="auto"/>
              </w:rPr>
              <w:t>_____________________________</w:t>
            </w:r>
          </w:p>
        </w:tc>
        <w:tc>
          <w:tcPr>
            <w:tcW w:w="14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bl>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venture owned by NTI Asean.</w:t>
      </w:r>
    </w:p>
    <w:p>
      <w:pPr>
        <w:spacing w:after="0" w:line="7" w:lineRule="exact"/>
        <w:rPr>
          <w:sz w:val="20"/>
          <w:szCs w:val="20"/>
          <w:color w:val="auto"/>
        </w:rPr>
      </w:pPr>
    </w:p>
    <w:p>
      <w:pPr>
        <w:ind w:left="820" w:right="500" w:hanging="812"/>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venture owned by NTI Asean as of May 31, 2013, but not as of May 31, 2012. NTI Asean results are not included on the consolidated financial statements for the three months ended May 31, 2012. (See Note 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91"/>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 of Total Fees for</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May 31,</w:t>
            </w: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May 31,</w:t>
            </w:r>
          </w:p>
        </w:tc>
        <w:tc>
          <w:tcPr>
            <w:tcW w:w="1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Services Provided</w:t>
            </w:r>
          </w:p>
        </w:tc>
      </w:tr>
      <w:tr>
        <w:trPr>
          <w:trHeight w:val="234"/>
        </w:trPr>
        <w:tc>
          <w:tcPr>
            <w:tcW w:w="6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Joint Ventures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to Joint Ventures</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1,468,622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742,213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742,171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548,618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763,548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Thailand*</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471,074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409,997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138,149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France</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381,043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397,123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379,650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341,603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Sweden</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305,619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446,191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245,426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378,751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168,005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244,017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414,838</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218,920</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5,535,105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3,477,715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5"/>
        </w:trPr>
        <w:tc>
          <w:tcPr>
            <w:tcW w:w="6040" w:type="dxa"/>
            <w:vAlign w:val="bottom"/>
          </w:tcPr>
          <w:p>
            <w:pPr>
              <w:spacing w:after="0" w:line="245" w:lineRule="exact"/>
              <w:rPr>
                <w:sz w:val="20"/>
                <w:szCs w:val="20"/>
                <w:color w:val="auto"/>
              </w:rPr>
            </w:pPr>
            <w:r>
              <w:rPr>
                <w:rFonts w:ascii="Arial" w:cs="Arial" w:eastAsia="Arial" w:hAnsi="Arial"/>
                <w:sz w:val="22"/>
                <w:szCs w:val="22"/>
                <w:color w:val="auto"/>
              </w:rPr>
              <w:t>_____________________________</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venture owned by NTI Asean.</w:t>
      </w:r>
    </w:p>
    <w:p>
      <w:pPr>
        <w:spacing w:after="0" w:line="7" w:lineRule="exact"/>
        <w:rPr>
          <w:sz w:val="20"/>
          <w:szCs w:val="20"/>
          <w:color w:val="auto"/>
        </w:rPr>
      </w:pPr>
    </w:p>
    <w:p>
      <w:pPr>
        <w:ind w:left="820" w:right="500" w:hanging="812"/>
        <w:spacing w:after="0" w:line="26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venture owned by NTI Asean as of May 31, 2013, but not as of May 31, 2012. NTI Asean results are not included on the consolidated financial statements for the nine months ended May 31, 2012. (See Note 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2013 and 2012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9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0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May 31, 2012</w:t>
            </w:r>
          </w:p>
        </w:tc>
      </w:tr>
      <w:tr>
        <w:trPr>
          <w:trHeight w:val="20"/>
        </w:trPr>
        <w:tc>
          <w:tcPr>
            <w:tcW w:w="3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84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5,418,271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7,220,258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14,923,966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16,243,683</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Natur-Tec™ sales</w:t>
            </w:r>
          </w:p>
        </w:tc>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458,762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584,646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1,491,164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1,367,663</w:t>
            </w:r>
          </w:p>
        </w:tc>
      </w:tr>
      <w:tr>
        <w:trPr>
          <w:trHeight w:val="243"/>
        </w:trPr>
        <w:tc>
          <w:tcPr>
            <w:tcW w:w="396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5,877,033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7,804,904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16,415,130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17,611,346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2013 and 2012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Nine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 of</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1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Product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May 31,</w:t>
            </w:r>
          </w:p>
        </w:tc>
        <w:tc>
          <w:tcPr>
            <w:tcW w:w="12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Product</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May 31,</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0" w:type="dxa"/>
            <w:vAlign w:val="bottom"/>
          </w:tcPr>
          <w:p>
            <w:pPr>
              <w:spacing w:after="0"/>
              <w:rPr>
                <w:sz w:val="1"/>
                <w:szCs w:val="1"/>
                <w:color w:val="auto"/>
              </w:rPr>
            </w:pPr>
          </w:p>
        </w:tc>
      </w:tr>
      <w:tr>
        <w:trPr>
          <w:trHeight w:val="234"/>
        </w:trPr>
        <w:tc>
          <w:tcPr>
            <w:tcW w:w="2500" w:type="dxa"/>
            <w:vAlign w:val="bottom"/>
            <w:gridSpan w:val="2"/>
            <w:vMerge w:val="restart"/>
          </w:tcPr>
          <w:p>
            <w:pPr>
              <w:spacing w:after="0"/>
              <w:rPr>
                <w:sz w:val="20"/>
                <w:szCs w:val="20"/>
                <w:color w:val="auto"/>
              </w:rPr>
            </w:pPr>
            <w:r>
              <w:rPr>
                <w:rFonts w:ascii="Arial" w:cs="Arial" w:eastAsia="Arial" w:hAnsi="Arial"/>
                <w:sz w:val="18"/>
                <w:szCs w:val="18"/>
                <w:color w:val="auto"/>
              </w:rPr>
              <w:t>Direct cost of goods sold</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Sales*</w:t>
            </w: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Sales*</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Sales*</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0"/>
        </w:trPr>
        <w:tc>
          <w:tcPr>
            <w:tcW w:w="25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ZERUST®</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$ 3,115,980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$ 3,046,644</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42.2%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8,383,345</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56.2%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8,074,031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Arial" w:cs="Arial" w:eastAsia="Arial" w:hAnsi="Arial"/>
                <w:sz w:val="18"/>
                <w:szCs w:val="18"/>
                <w:color w:val="auto"/>
              </w:rPr>
              <w:t>Natur-Tec®</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367,485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501,749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1,260,305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1,160,014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570,899</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595,121</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1,735,599</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1,599,027</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Total net cost of goods sold</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$ 4,054,364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$ 4,143,514</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11,379,249</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10,833,072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0</wp:posOffset>
            </wp:positionV>
            <wp:extent cx="5351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-154940</wp:posOffset>
            </wp:positionV>
            <wp:extent cx="5351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ind w:left="820" w:right="140" w:hanging="812"/>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3"/>
        </w:trPr>
        <w:tc>
          <w:tcPr>
            <w:tcW w:w="6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At May 31, 2013</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Brazil</w:t>
            </w: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1,308,385</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45,202,928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46,511,313</w:t>
            </w:r>
          </w:p>
        </w:tc>
      </w:tr>
      <w:tr>
        <w:trPr>
          <w:trHeight w:val="473"/>
        </w:trPr>
        <w:tc>
          <w:tcPr>
            <w:tcW w:w="6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At August 31, 2012</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Brazil</w:t>
            </w: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1,744,693</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40,132,934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41,877,627</w:t>
            </w:r>
          </w:p>
        </w:tc>
      </w:tr>
      <w:tr>
        <w:trPr>
          <w:trHeight w:val="473"/>
        </w:trPr>
        <w:tc>
          <w:tcPr>
            <w:tcW w:w="6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1"/>
              </w:rPr>
              <w:t>Nine Months Ended May 31, 2013</w:t>
            </w:r>
          </w:p>
        </w:tc>
      </w:tr>
      <w:tr>
        <w:trPr>
          <w:trHeight w:val="223"/>
        </w:trPr>
        <w:tc>
          <w:tcPr>
            <w:tcW w:w="6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Brazil</w:t>
            </w: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1,699,084</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14,716,046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16,415,130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(263,353)</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3,600,643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3,337,290</w:t>
            </w:r>
          </w:p>
        </w:tc>
      </w:tr>
      <w:tr>
        <w:trPr>
          <w:trHeight w:val="458"/>
        </w:trPr>
        <w:tc>
          <w:tcPr>
            <w:tcW w:w="6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1"/>
              </w:rPr>
              <w:t>Nine Months Ended May 31, 2012</w:t>
            </w:r>
          </w:p>
        </w:tc>
      </w:tr>
      <w:tr>
        <w:trPr>
          <w:trHeight w:val="223"/>
        </w:trPr>
        <w:tc>
          <w:tcPr>
            <w:tcW w:w="6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Brazil</w:t>
            </w: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4,004,399</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13,606,947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17,611,346</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1,780,269</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2,382,388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4,162,657</w:t>
            </w:r>
          </w:p>
        </w:tc>
      </w:tr>
    </w:tbl>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located in Brazil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$2,853,250 and $2,856,536 of expense during the nine months ended May 31, 2013 and 2012, respectively, in connection with its research and development activities. These costs related to product research and development are net of reimbursements related to certain research and development contracts of $206,046 and $297,258 for the nine months ended May 31, 2013 and 2012, respectively. The net fees are accounted for in the “Research and Development Expenses” section of the consolidated statements of operations.</w:t>
      </w:r>
    </w:p>
    <w:p>
      <w:pPr>
        <w:spacing w:after="0" w:line="21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May 31, 2013, the Company had $143,395 as a receivable, and as of August 31, 2012, the Company had $96,861 of deferred amounts in other accrued liabilities as the Company had not yet performed under the obligations of the contract at that time.</w:t>
      </w:r>
    </w:p>
    <w:p>
      <w:pPr>
        <w:spacing w:after="0" w:line="194"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31, 2012, the Board of Directors of the Company, upon recommendation of the Compensation Committee of the Board of Directors, approved the material terms of an annual bonus plan for the Company’s executive officers and certain officers and employees for the fiscal year ending August 31,</w:t>
      </w:r>
    </w:p>
    <w:p>
      <w:pPr>
        <w:ind w:right="40"/>
        <w:spacing w:after="0" w:line="286" w:lineRule="auto"/>
        <w:rPr>
          <w:sz w:val="20"/>
          <w:szCs w:val="20"/>
          <w:color w:val="auto"/>
        </w:rPr>
      </w:pPr>
      <w:r>
        <w:rPr>
          <w:rFonts w:ascii="Arial" w:cs="Arial" w:eastAsia="Arial" w:hAnsi="Arial"/>
          <w:sz w:val="16"/>
          <w:szCs w:val="16"/>
          <w:color w:val="auto"/>
        </w:rPr>
        <w:t>2013. For fiscal 2013 as in past years, the total amount available under the bonus plan will be up to 25% of the Company’s earnings before interest, taxes and other income, as adjusted to take into account amounts to be paid under the bonus plan and certain other adjustments (Adjusted EBITOI), assuming the achievement of at least a minimum Adjusted EBITOI, which is traditionally 70% of a budgeted target Adjusted EBITOI for fiscal 2013, as proposed by the Compensation Committee and approved by the Board of Directors annually. For each plan participant, 50% of the amount of the participant’s individual bonus payout will be determined based upon the participant’s individual allocation percentage of the total amount available under the bonus plan and 50% of the participant’s payout will be determined based upon the participant’s achievement of certain pre-established but more qualitative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2013. There was $580,000 for management bonuses accrued for nine months ended May 31, 2013 compared to a management bonus accrual of $1,058,045 for the nine months ended May 31,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 leases property with future lease payments as follows: fiscal 2013 - $59,625; fiscal 2014 - $59,500 and thereafter - $0.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Three joint ventures accounted for 67.1% and 55.3% of the Company’s trade joint venture receivables at May 31, 2013 and August 31, 2012, respectively.</w:t>
      </w:r>
    </w:p>
    <w:p>
      <w:pPr>
        <w:spacing w:after="0" w:line="2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NTIC develops and markets proprietary environmentally beneficial products and services in over 55 countries either directly or via a network of majority owned subsidiaries, joint ventures, independent distributors and agents. NTIC’s primary business is corrosion prevention marketed mainly under the ZERUST® brand. NTIC has been selling its proprietary ZERUST®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disposal options.</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Brazilian subsidiary, Zerust Prevenção de Corrosão S.A. (Zerust Brazil), its majority owned joint venture holding company for NTIC’s joint venture investments in the Association of Southeast Asian Nations (ASEAN) region, NTI Asian LLC (NTI Asean), and joint venture arrangements in North America and Europe.</w:t>
      </w:r>
    </w:p>
    <w:p>
      <w:pPr>
        <w:spacing w:after="0" w:line="20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Petroleo Brasileiro S.A. (Petrobras), an oil company located in Brazil, has conducted extensive multi-year product field trials of NTIC’s ZERUST® rust and corrosion inhibiting products against competitive alternatives. During fiscal 2010, Zerust Brazil received a Phase 1 contract for an initial implementation of $1.4 million in ZERUST® products which was delivered in fiscal 2010 and fiscal 2011. During fiscal 2011, Zerust Brazil signed a Phase 2 contract with Petrobras to supply $2.4 million in ZERUST® products. During fiscal 2012, Petrobras expanded this Phase 2 contract to supply an additional $657,000 in ZERUST® products, bringing the total Phase 2 contract value to $3.1 million in ZERUST® products, which were delivered in fiscal 2012. During first quarter of fiscal 2013, Zerust Brazil signed a Phase 3 contract with Petrobras to supply $3.7 million in ZERUST® products, none of which had been delivered through the end of third quarter of fiscal 2013. While NTIC initially had anticipated that Petrobras would fulfill this Phase 3 contract in one large order prior to the end of fiscal 2013, based on NTIC’s recent discussions with Petrobras, NTIC believes that Petrobras intends to place a number of smaller orders during the remainder of fiscal 2013 and fiscal 2014, rather than one large order prior to the end of fiscal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ind w:right="200"/>
        <w:spacing w:after="0" w:line="259" w:lineRule="auto"/>
        <w:rPr>
          <w:sz w:val="20"/>
          <w:szCs w:val="20"/>
          <w:color w:val="auto"/>
        </w:rPr>
      </w:pPr>
      <w:r>
        <w:rPr>
          <w:rFonts w:ascii="Arial" w:cs="Arial" w:eastAsia="Arial" w:hAnsi="Arial"/>
          <w:sz w:val="18"/>
          <w:szCs w:val="18"/>
          <w:color w:val="auto"/>
        </w:rPr>
        <w:t>NTIC is also pursuing opportunities to market its ZERUST® rust and corrosion prevention solutions to other targeted potential customers in the oil and gas industry across several geographies through NTIC’s joint venture partners as well as other strategic partners. NTIC believes that sales of its ZERUST® corrosion prevention solutions to customers in the oil and gas industry require long sales cycles that include trial periods of at least one year with each customer, followed by a slow integration process thereafter.</w:t>
      </w:r>
    </w:p>
    <w:p>
      <w:pPr>
        <w:spacing w:after="0" w:line="2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ventures.</w:t>
      </w:r>
    </w:p>
    <w:p>
      <w:pPr>
        <w:spacing w:after="0" w:line="193"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During fiscal 2012, NTIC’s joint venture in India, Harita NTI Limited (HNTI) entered into an agreement to supply compostable packaging to a major global apparel brand for branded garments. HNTI also continues to pursue bioplastic product sales opportunities in food and personal care industries. During fiscal 2011, NTIC entered into an agreement with Italy-based Naturfuels s.r.l. to distribute its Natur-Tec® bioplastic materials and products in the Italian market.</w:t>
      </w:r>
    </w:p>
    <w:p>
      <w:pPr>
        <w:ind w:right="60"/>
        <w:spacing w:after="0" w:line="252" w:lineRule="auto"/>
        <w:rPr>
          <w:sz w:val="20"/>
          <w:szCs w:val="20"/>
          <w:color w:val="auto"/>
        </w:rPr>
      </w:pPr>
      <w:r>
        <w:rPr>
          <w:rFonts w:ascii="Arial" w:cs="Arial" w:eastAsia="Arial" w:hAnsi="Arial"/>
          <w:sz w:val="18"/>
          <w:szCs w:val="18"/>
          <w:color w:val="auto"/>
        </w:rPr>
        <w:t>Under the terms of this distribution agreement, NTIC supplies Naturfuels with patented high-strength Natur-Tec® film grade resin compounds suited to producing compostable shopping and garbage bags on conventional plastic film production equipment. In 2011, the Italian government passed legislation banning the use of non-biodegradable disposable plastic shopping bags. However, enforcement of this law, continues to be delayed for a number of reasons including a recent legal challenge as to the validity of the ban in a European Union member country by the government of the United Kingdom. Consequently, significant sales of Natur-Tec® film grade resin compounds to Naturfuels are not expected until whenever the Italian ban is fully implemented and enforced.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NTIC participates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historically has funded its investments in joint ventures with cash generated from operations.</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directly or indirectly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NTIC does not consolidate the results of its 23 joint ventures in its financial statements. NTIC’s investments in its joint ventures are accounted for using the equity method.</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Zerust Brazil’s results are consolidated in NTIC’s consolidated financial statements. NTIC holds 85% of the equity and 85% of the voting rights of Zerust Brazil.</w:t>
      </w:r>
    </w:p>
    <w:p>
      <w:pPr>
        <w:spacing w:after="0" w:line="19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 addition, beginning in the first quarter of fiscal 2013, NTIC has consolidated the results of NTI Asean, which effective as of September 1, 2012 is a majority owned subsidiary of NTIC. On September 1, 2012, NTIC and the other 50% owner in NTI Asean contributed their respective shares of capital stock of Korea Zerust Co., Ltd. (Korea Zerust), constituting an aggregate of 50% of the equity and voting rights of Korea Zerust, to NTI Asean, and NTIC contributed exclusive license rights and other intellectual property to NTI Asean in exchange for an additional 10% ownership interest in NTI Asean. As a result of the transaction, NTIC holds 60% of the equity and 60% of the voting rights of NTI Asean. NTI Asean holds investments in eight entities that operate in the following eight territories located in the ASEAN region: China, Indonesia, Korea, Malaysia, Philippines, Singapore, Taiwan and Thailand.</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respect to NTIC’s joint ventures, 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NTIC’s consolidated net sales decreased 24.7% and 6.8% during the three and nine months ended May 31, 2013, compared to the three and nine months ended May 31, 2012, respectively. These decreases were primarily a result of decreases in sales of ZERUST® rust and corrosion inhibiting packaging products and services in Brazil. Zerust Brazil recorded a $2.3 million order during the three months ended May 31, 2012 related to product sales to Petrobras and did not have any sales to Petrobras during the three months ended May 31, 2013. NTIC believes that Petrobras intends to place a number of smaller orders during the remainder of fiscal 2013 and fiscal 2014, rather than one large order as Petrobras did during the three months ended May 31, 2012.</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and nine months ended May 31, 2013, 92.2% and 90.9% of NTIC’s consolidated net sales, respectively, were derived from sales of ZERUST® products and services, which decreased 25.0% and 8.1% to $5,418,271 and $14,923,966 during the three and nine months ended May 31, 2013, respectively, compared to $7,220,258 and $16,243,683 during the three and nine months ended May 31, 2012, respectively, due primarily to decreases in sales of ZERUST® products and services in Brazil as noted above. NTIC has strategically focused its sales efforts for ZERUST® products and services on customers with sizeable corrosion problems in industry sectors that offer sizable growth opportunities, including the oil and gas sector. NTIC’s consolidated net sales for the three and nine months ended May 31, 2013 included $567,615 and $1,699,084, respectively, of sales made by Zerust Brazil, and of those sales, $0 and $189,642, respectively, in sales were made to the oil and gas industry in Brazil. Overall demand for ZERUST® products and services depends heavily on the overall health of the markets in which NTIC sells its products, including in particular the automotive market.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8"/>
          <w:szCs w:val="18"/>
          <w:color w:val="auto"/>
        </w:rPr>
        <w:t>During the three and nine months ended May 31, 2013, 7.8% and 9.1%, respectively, of NTIC’s consolidated net sales were derived from sales of Natur-Tec® products compared to 7.5% and 7.8% during the three and nine months ended May 31, 2012, respectively. Net sales of Natur-Tec® products decreased 21.5% during the three months ended May 31, 2013 compared to the three months ended May 31, 2012 due primarily to variable ordering patterns by distributors and sales agents and a distributor change. Because of the typical size of individual orders and overall size of NTIC’s net sales derived from sales of Natur-Tec® products, the timing of one or more orders can affect materially NTIC’s quarterly sales of Natur-Tec® products and the comparisons to prior year quarters. Net sales of Natur-Tec® products increased 9.0% during the nine months ended May 31, 2013 compared to the nine months ended May 31, 2012 due primarily to increased sales to NTIC’s Natur-Tec® distributors in the United States. Additionally, NTIC continues to target key regional and national retailers through independent sales agents. Demand for the Natur-Tec® products depends primarily on market acceptance and the reach of NTIC’s distribution network.</w:t>
      </w:r>
    </w:p>
    <w:p>
      <w:pPr>
        <w:spacing w:after="0" w:line="2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 of goods sold as a percentage of net sales increased to 69.0% and 69.3% during the three and nine months ended May 31, 2013 compared to 53.1% and 61.5% during the three and nine months ended May 31, 2012 primarily as a result of increased sales during the prior year periods of ZERUST® products for the oil and gas industry which carry higher margins than other ZERUST® products and increased production expenses during the current year periods associated with the production and shipping of ZERUST® products to a new customer. The increase in production expenses is anticipated to be temporary and should normalize during the fourth quarter of fiscal 2013.</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NTIC’s equity in income of joint ventures decreased 21.0% and 15.3% to $1,440,335 and $3,733,069, respectively, during the three and nine months ended May 31, 2013 compared to $1,822,972 and $4,405,327 during the three and nine months ended May 31, 2012, respectively. These decreases were primarily a result of the consolidation of NTI Asean which was included in the current fiscal year periods, but not in the prior fiscal year periods.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NTIC recognized a 161.2% and 59.2% increase in fees for services provided to joint ventures during the three and nine months ended May 31, 2013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three and nine months ended May 31, 2012, respectively. These increases were primarily a result of the consolidation of fees for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by NTI Asean which are included in the current fiscal year periods, but not in the prior fiscal year periods. Fees for services provided are a function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net sales of NTIC’s joint ventures which were $28,541,576 and $82,788,711 during the three and nine months ended May 31, 2013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$28,954,210 and $83,746,872 for the three and nine months ended May 31, 2012, respectively. Total net sales of NTIC’s joint ventures were adversely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affected in part by the European economic slowdown, which NTIC believes adversely affected the net sales of NTIC’s European joint ventures,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NTIC’s other non-European joint ventures, and the weakening of the EURO and other currencies compared to the U.S. dollar.</w:t>
      </w:r>
    </w:p>
    <w:p>
      <w:pPr>
        <w:spacing w:after="0" w:line="2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NTIC’s total operating expenses increased 4.5%, or $468,106, to $10,966,765 during the nine months ended May 31, 2013 compared to the nine months ended May 31, 2012. This increase was primarily the result of increases in selling expenses and expenses incurred in support of joint ventures, and overall reflected NTIC’s efforts to support its new business efforts.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$2,853,250 and $2,856,536 of expense during the nine months ended May 31, 2013 and 2012, respectively, in connection with its research and development activities. These represent net amounts after being reduced by reimbursements related to certain research and development contracts. Such reimbursements totaled $206,046 and $297,258 for the nine months ended May 31, 2013 and 2012, respectively. NTIC anticipates that it will spend between $3,800,000 and $4,000,000 in total during fiscal 2013 on research and development activities related to its new technologies. This estimate is a net range after being reduced by anticipated reimbursements related to certain research and development contracts.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decreased 36.2% to $927,112, or $0.21 per diluted common share, for the three months ended May 31, 2013 compared to</w:t>
      </w:r>
    </w:p>
    <w:p>
      <w:pPr>
        <w:spacing w:after="0" w:line="4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$1,454,037, or $0.33 per diluted common share, for the three months ended May 31, 2012. Net income attributable to NTIC decreased 42.0% to $1,751,144, or $0.39 per diluted common share, for the nine months ended May 31, 2013 compared to $3,018,987, or $0.68 per diluted common share, for the nine months ended May 31, 2012. These decreases were primarily the result of decreases in gross profit, partially offset by increases in fees for services provided to joint ventures. NTIC anticipates that its quarterly net income will remain subject to significant volatility primarily due to the sales performance of its joint ventures and sales of its ZERUST® products and services into the oil and gas industry. Each of these fluctuates more on a quarterly basis than the traditional ZERUST® business in North America.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NTIC anticipates that its net income attributable to NTIC will be positively affected during fourth quarter of fiscal 2013 as a result of its receipt of $500,000 and anticipated receipt of an additional $250,000 in life insurance proceeds as a result of the death of a former NTIC officer.</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NTIC’s working capital was $13,136,534 at May 31, 2013, including $3,176,157 in cash and cash equivalents, compared to $10,060,081 at August 31, 2012, including $4,137,547 in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nine months ended May 31, 2013 and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38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May 31,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May 31, 2012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5,041,096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7,175,825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(2,134,729)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835,937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629,079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206,858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4,054,364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4,143,514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1,440,335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1,822,972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(382,637)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1,917,947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734,337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1,183,610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1,243,687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1,270,996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(27,309)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1,105,710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1,147,744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335,132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294,169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40,963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1,002,651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1,067,454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38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May 31,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May 31, 2012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$ 14,296,686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$ 15,579,086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(1,282,400)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2,118,444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2,032,260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86,184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11,379,249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10,833,072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546,177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3,733,069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4,405,327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(672,258)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5,535,105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3,477,715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2,057,390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3,588,847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3,393,564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195,283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3,498,393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3,518,569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1,026,275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729,990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296,285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2,853,250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2,856,536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decreased 24.7% and 6.8% to $5,877,033 and $16,415,130 during the three and nine months ended May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three and nine months ended May 31, 2012. NTIC’s consolidated net sales excluding NTIC’s joint ventures decreased 29.7% and 8.2% to $5,041,096 and $14,296,686 during the three and nine months ended May 31, 2013, respectively, compared to the same respective prior year periods. These decreases were primarily a result of decreases in sales of ZERUST® rust and corrosion inhibiting packaging products and services in Brazil. Zerust Brazil recorded a $2.3 million order during the three months ended May 31, 2012 related to product sales to Petrobras and did not have any sales to Petrobras during the three months ended May 31, 2013. NTIC believes that Petrobras intends to place a number of smaller orders during the remainder of fiscal 2013 and fiscal 2014, rather than one large order as Petrobras did during the three months ended May 31, 2012. Net sales to joint ventures increased 32.9% and 4.2% to $835,937 and $2,118,444 during the three and nine months ended May 31, 2013, respectively, compared to the same respective prior year periods. The increase for the three month comparison was primarily due to timing differences with orders placed with NTIC’s joint ventures. Because of the typical size of individual orders to joint ventures and overall size of NTIC’s net sales to joint ventures, the timing of one or more orders can affect materially NTIC’s quarterly sales to joint ventures and the comparisons to prior year quarters. The increase for the nine month comparison was a function of sales made by the joint ventures.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sets forth NTIC’s net sales by product category for the three and nine months ended May 31, 2013 and 2012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0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2012</w:t>
            </w:r>
          </w:p>
        </w:tc>
        <w:tc>
          <w:tcPr>
            <w:tcW w:w="1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May 31, 2013</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May 31, 2012</w:t>
            </w:r>
          </w:p>
        </w:tc>
      </w:tr>
      <w:tr>
        <w:trPr>
          <w:trHeight w:val="20"/>
        </w:trPr>
        <w:tc>
          <w:tcPr>
            <w:tcW w:w="3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5,418,271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7,220,258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14,923,966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16,243,683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Natur-Tec® sales</w:t>
            </w:r>
          </w:p>
        </w:tc>
        <w:tc>
          <w:tcPr>
            <w:tcW w:w="2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458,762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584,646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1,491,164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1,367,663</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86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5,877,033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7,804,904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16,415,130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17,611,346</w:t>
            </w:r>
          </w:p>
        </w:tc>
      </w:tr>
    </w:tbl>
    <w:p>
      <w:pPr>
        <w:spacing w:after="0" w:line="22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During the three and nine months ended May 31, 2013, 92.2% and 90.9% of NTIC’s consolidated net sales, respectively, were derived from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which decreased 25.0% and 8.1% to $5,418,271 and $14,923,966 during the three and nine months ended May 31, 2013, respectively, compared to $7,220,258 and $16,243,683 during the three and nine months ended May 31, 2012, respectively. These decreases were due primarily to decreases in sales of ZERUST® products and services in Brazil as noted above. NTIC has strategically focused its sales efforts for ZERUST® products and services on customers with sizeable corrosion problems in industry sectors that offer sizable growth opportunities, including the oil and gas sector.</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three and nine months ended May 31, 2013, 7.8% and 9.1%, respectively, of NTIC’s consolidated net sales were derived from sales of Natur-Tec® products compared to 7.5% and 7.8% during the three and nine months ended May 31, 2012, respectively. Net sales of Natur-Tec® products decreased 21.5% during the three months ended May 31, 2013 compared to the three months ended May 31, 2012 due primarily to variable ordering patterns by distributors and sales agents and a distributor change. Because of the typical size of individual orders and overall size of NTIC’s net sales derived from sales of Natur-Tec® products, the timing of one or more orders can affect materially NTIC’s quarterly sales of Natur-Tec® products and the comparisons to prior year quarters. Net sales of Natur-Tec® products increased 9.0% during the nine months ended May 31, 2013 compared to the nine months ended May 31, 2012 due primarily to increased sales to NTIC’s Natur-Tec® distributors in the United States. Additionally, NTIC continues to target key regional and national retailers through independent sales agents. Demand for the Natur-Tec® products depends primarily on market acceptance and the reach of NTIC’s distribution network</w:t>
      </w:r>
    </w:p>
    <w:p>
      <w:pPr>
        <w:spacing w:after="0" w:line="2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2.2% and increased 5.0% for the three and nine months ended May 31, 2013, respectively,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May 31, 2012. Cost of goods sold as a percentage of net sales increased to 69.0% and 69.3% during the three and nine months ended May 31, 2013 compared to 53.1% and 61.5% during the three and nine months ended May 31, 2012 primarily as a result of increased sales during the prior year periods of ZERUST® products for the oil and gas industry which carry higher margins than other traditional ZERUST® products and increased production expenses during the current year periods associated with the production and shipping of ZERUST® products to a new customer. The increase in production expenses is anticipated to be temporary and should normalize during the fourth quarter of fiscal 2013.</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Equity in Income of Joint Ventures. </w:t>
      </w:r>
      <w:r>
        <w:rPr>
          <w:rFonts w:ascii="Arial" w:cs="Arial" w:eastAsia="Arial" w:hAnsi="Arial"/>
          <w:sz w:val="18"/>
          <w:szCs w:val="18"/>
          <w:color w:val="auto"/>
        </w:rPr>
        <w:t>NTIC’s equity in income of joint ventures decreased 21.0% and 15.3% to $1,440,335 and $3,733,069 during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May 31, 2013, respectively, compared to equity in income of joint ventures of $1,822,972 and $4,405,327 during the three and nine months ended May 31, 2012, respectively. These decreases were primarily a result of the consolidation of NTI Asean in the current fiscal year periods, but not in the prior fiscal year periods. Of the total equity in income of joint ventures, NTIC had equity in income of joint ventures of $2,478,109 attributable to EXCOR during the nine months ended May 31, 2013 compared to $2,396,596 attributable to EXCOR during the nine months ended May 31, 2012. Of the total equity in income of joint ventures, NTIC had equity in income of joint ventures of $407,809 attributable to NTIC’s joint venture in China during the nine months ended May 31, 2013 compared to $356,963 attributable to NTIC’s joint venture in China during the nine months ended May 31, 2012. NTIC had equity in income of all other joint ventures of $847,151 during the nine months ended May 31, 2013 compared to $1,652,038 during the nine months ended May 31,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right="60"/>
        <w:spacing w:after="0" w:line="270" w:lineRule="auto"/>
        <w:rPr>
          <w:sz w:val="20"/>
          <w:szCs w:val="20"/>
          <w:color w:val="auto"/>
        </w:rPr>
      </w:pPr>
      <w:r>
        <w:rPr>
          <w:rFonts w:ascii="Arial" w:cs="Arial" w:eastAsia="Arial" w:hAnsi="Arial"/>
          <w:sz w:val="17"/>
          <w:szCs w:val="17"/>
          <w:i w:val="1"/>
          <w:iCs w:val="1"/>
          <w:color w:val="auto"/>
        </w:rPr>
        <w:t xml:space="preserve">Fees for Services Provided to Joint Ventures. </w:t>
      </w:r>
      <w:r>
        <w:rPr>
          <w:rFonts w:ascii="Arial" w:cs="Arial" w:eastAsia="Arial" w:hAnsi="Arial"/>
          <w:sz w:val="17"/>
          <w:szCs w:val="17"/>
          <w:color w:val="auto"/>
        </w:rPr>
        <w:t>NTIC recognized fee income for services provided to joint ventures of $1,917,947 and $5,535,105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May 31, 2013, respectively, compared to $734,337 and $3,477,715 during the three and nine months ended May 31, 2012, respectively, representing an increase of 161.2% and 59.2%, respectively. These increases were primarily a result of the consolidation of the fees for services earned by NTI Asean which are included in the current fiscal year periods, but not in the prior fiscal year periods. Fee income for services provided to joint ventures are a function of the sales made by NTIC’s joint ventures, which were $28,541,576 and $82,788,711 during the three and nine months ended May 31, 2013, respectively, compared to $28,954,210 and $83,746,872 for the three and nine months ended May 31, 2012, respectively. Total net sales of NTIC’s joint ventures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total fee income for services provided to joint ventures, fees of $742,212 were attributable to EXCOR during the nine months ended May 31, 2013 compared to $742,170 attributable to EXCOR during the nine months ended May 31, 2012. Fees of $1,468,622 were attributable to NTIC’s joint venture in China during the nine months ended May 31, 2013 compared to $0 during the nine months ended May 31, 2012, as a result of the consolidation of NTI Asean in the current fiscal year periods, but not in the prior fiscal year periods.</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decreased 2.1% and increased 5.8% for the three and nine months ended May 31, 2013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periods in fiscal 2012. The increase for the nine month comparison was due primarily to increases in compensation and employee benefits, lab testing related expenses, commission expenses, travel and related expenses, and consulting expenses and selling expenses incurred at Zerust Brazil. Selling expenses as a percentage of net sales increased to 21.1% and 21.9% for the three and nine months ended May 31, 2013, respectively, from 16.3% and 19.3% during the three and nine months ended May 31, 2012, respectively, due primarily to the decrease in net sales and for the nine month comparison the increase in selling expenses, as previously described.</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3.7% and 0.6%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respectively, compared to the same respective periods in fiscal 2012 due to decreases in consulting and employee expenses. As a percentage of net sales, general and administrative expenses increased to 18.8% and 21.3% for the three and nine months ended May 31, 2013 from 14.7% and 20.0% for the three and nine months ended May 31, 2012, respectively, due primarily to the decrease in net sales, partially offset by the decrease in general and administrative expenses, as previously described.</w:t>
      </w:r>
    </w:p>
    <w:p>
      <w:pPr>
        <w:spacing w:after="0" w:line="2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$335,132 and $1,026,275 during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May 31, 2013, respectively, compared to $294,169 and $729,990 during the three and nine months ended May 31, 2012, respectively, representing increases of 13.9% and 40.6%, respectively.</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decreased 6.1% for the three months ended May 31, 2013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fiscal 2012 and decreased 0.1% for the nine months ended May 31, 2013 compared to the same period in fiscal 2012.</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jc w:val="both"/>
        <w:ind w:right="20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$2,984 and increased to $50,618 during the three and nine months ended May 31, 2013,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$15,726 and $36,417 during the three and nine months ended May 31, 2012, respectively, primarily due to changes in cash balances of Zerust Brazil and NTI Asean earning interest.</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increased to $50,986 during the three months ended May 31, 2013 compared to $6,264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31, 2012. NTIC’s interest expense increased to $64,448 during the nine months ended May 31, 2013 compared to $19,514 during the nine months ended May 31, 2012. Such increases were primarily due to increased average outstanding debt levels of Zerust Brazil during the most recent periods.</w:t>
      </w:r>
    </w:p>
    <w:p>
      <w:pPr>
        <w:spacing w:after="0" w:line="17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decreased to $1,445,769 and $3,232,460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2013, respectively, compared to $2,454,623 and $4,200,035 for the three and nine months ended May 31, 2012,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$158,000 and $532,000 during the three and nine months ended May 31, 2013, respectively, compared</w:t>
      </w:r>
    </w:p>
    <w:p>
      <w:pPr>
        <w:spacing w:after="0" w:line="35"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$814,000 and $1,020,000 during the three and nine months ended May 31, 2012, respectively, due primarily to the decrease in income before income tax expense during the current year periods. Income tax expense was calculated based on management’s estimate of NTIC’s annual effective income tax</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rate. NTIC’s annual effective income tax rate during the three and nine months ended May 31, 2013 and 2012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future domestic cash needs. As a result, U.S. income and foreign withholding taxes have not been recognized on the cumulative undistributed earnings of $20.9 million and $19.4 million at May 31, 2013 and August 31, 2012, respectively. To the extent undistributed earnings of NTIC’s joint ventures are distributed in the future, they are not expected to result in any material additional income tax liability after the application of foreign tax credits</w:t>
      </w:r>
    </w:p>
    <w:p>
      <w:pPr>
        <w:spacing w:after="0" w:line="2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the U.S. dollar compared to the Euro and other foreign currencies during the three and nine months ended May 31, 2013 compared to the same respective periods in fiscal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2013, NTIC’s working capital was $13,304,534, including $3,176,157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$10,060,081, including $4,137,547 in cash and cash equivalents, at August 31, 2012.</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May 31, 2013, NTIC had a term loan with a principal amount of $952,444 outstanding that Northern Technologies Holding Company, LLC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$6,343 (inclusive of principal but exclusive of interest). The term loan is secured by a first lien on the real estate and building owned by NTI LLC and all of the assets of NTIC and is guaranteed by NTIC.</w:t>
      </w:r>
    </w:p>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May 31, 2013,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May 31, 2013, the interest rate on the line of credit was 2.85%.</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11, 2012, PNC Bank extended the maturity date of the line of credit from January 9, 2013 to January 8, 2014 and waived a technical covenant default by NTIC to deliver quarterly compliance certificates. All other terms of the line of credit and the loan agreement and other documents evidencing the line of credit remain the same. NTIC expects to remain in compliance with all loan agreement covenants during the remainder of fiscal 2013. It is anticipated that the maturity date of the line of credit will be extended again prior to the January 8, 2014 maturity date.</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2013,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NTIC’s or the joint ventures’ respective operations and/or liquidity.</w:t>
      </w:r>
    </w:p>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nine months ended May 31, 2013 was $3,052,892, which resulted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NTIC’s equity in income from joint ventures and increases in receivables and inventories and a decrease in accounts payables, accrued liabilities and income taxes payable, partially offset by NTIC’s net income, depreciation and amortization. Net cash used in operating activities during the nine months ended May 31, 2012 was $1,172,924 which resulted principally from NTIC’s equity in income from joint ventures and increases in receivables, inventories and prepaid expenses and a decrease in accounts payables, accrued liabilities and income taxes payable, partially offset by NTIC’s net income, depreciation and amortization.</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NTIC experienced an increase in receivables and inventory as of May 31, 2013 compared to August 31, 2012 due primarily to an increase in net sales to joint ventures and in fees for services provided to joint ventures as previously described and a desire to stock more products to shorten lead times and anticipate customer demand.</w:t>
      </w:r>
    </w:p>
    <w:p>
      <w:pPr>
        <w:spacing w:after="0" w:line="20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Outstanding trade receivables excluding joint ventures as of May 31, 2013 increased $284,527 compared to August 31, 2012. Outstanding trade receivables excluding joint ventures balances as of May 31, 2013 increased 1 day to an average of 51 days from balances outstanding from these customers as of August 31, 2012.</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Outstanding trade receivables from joint ventures as of May 31, 2013 increased $385,542 compared to August 31, 2012 primarily due to an increase in net sales to joint ventures and the timing of payments. There was a decrease of outstanding balances from trade receivables from joint ventures as of May 31, 2013 of 6 days from an average of 130 days from balances outstanding from these customers compared to August 31, 2012. The significant average days outstanding of trade receivables from joint ventures as of May 31, 2013 were primarily due to the receivable balance at NTIC’s joint ventures in India, Korea and China.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jc w:val="both"/>
        <w:ind w:right="80"/>
        <w:spacing w:after="0" w:line="264" w:lineRule="auto"/>
        <w:rPr>
          <w:sz w:val="20"/>
          <w:szCs w:val="20"/>
          <w:color w:val="auto"/>
        </w:rPr>
      </w:pPr>
      <w:r>
        <w:rPr>
          <w:rFonts w:ascii="Arial" w:cs="Arial" w:eastAsia="Arial" w:hAnsi="Arial"/>
          <w:sz w:val="18"/>
          <w:szCs w:val="18"/>
          <w:color w:val="auto"/>
        </w:rPr>
        <w:t>Outstanding receivables for fees for services provided to joint ventures as of May 31, 2013 increased $1,142,554 compared to August 31, 2012 primarily due to the increase in fees for services provided to joint ventures and the consolidation of NTI Asean, which resulted in an increase of 12 days of fees receivable outstanding as of May 31, 2013 to an average of 118 days compared to August 31, 2012.</w:t>
      </w:r>
    </w:p>
    <w:p>
      <w:pPr>
        <w:spacing w:after="0" w:line="20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Net cash provided by investing activities for the nine months ended May 31, 2013 was $3,302,358, which was comprised of dividends received from joint ventures and the effect of the NTI Asean consolidation on cash, partially offset by additions to property and equipment and additions to patents. Net cash provided by investing activities for the nine months ended May 31, 2012 was $2,517,369 which was comprised of dividends received from joint ventures, partially offset by additions to property and equipment and additions to patents.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financing activities for the nine months ended May 31, 2013 was $1,196,170, which resulted from a dividend received from non-controlling interest and principal payments on the bank loan for NTIC’s corporate headquarters building, partially offset by proceeds from option exercises and NTIC’s employee stock purchase plan. Net cash provided by financing activities for the nine months ended May 31, 2012 was $13,361, which resulted from proceeds from NTIC’s employee stock purchase plan, and, to a lesser extent, option exercises, partially offset by principal payments on the bank loan for NTIC’s corporate headquarters building.</w:t>
      </w:r>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May 31, 2013, except a lease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16,994 square feet of office, manufacturing, laboratory and warehouse space in Beachwood, Ohio, requiring monthly payments of $17,500, which are adjusted annually according to the annual consumer price index, through November 2014.</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spent $1,160,344 on capital expenditures during the nine months ended May 31, 2013 and expects to spend an aggregate of approximately $1,200,000 to $1,300,000 on capital expenditures during fiscal 2013. Such anticipated capital expenditures for fiscal 2013 relate primarily to the expansion of NTIC’s laboratory facilities in Circle Pines, Minnesota and the purchase of new equipment.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2013,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2012, except for the following: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Northern Technologies Holding Company, LLC and NTIC’s majority owned subsidiary in Brazil, Zerust Prevenção de Corrosão S.A., and NTIC’s majority owned holding company, NTI Asean LLC. NTIC’s consolidated financial statements do not include the accounts of any of its joint ventures. NTIC’s consolidated financial statements do not include Polymer Energy LLC, in which NTIC holds a 62.5% ownership interest. Polymer Energy LLC had immaterial activity in fiscal 2013 and fiscal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4" w:lineRule="exact"/>
        <w:rPr>
          <w:sz w:val="20"/>
          <w:szCs w:val="20"/>
          <w:color w:val="auto"/>
        </w:rPr>
      </w:pPr>
    </w:p>
    <w:p>
      <w:pPr>
        <w:ind w:left="660" w:hanging="395"/>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660" w:right="20" w:hanging="395"/>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660" w:hanging="395"/>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Petrobras and the effect of such sales on NTIC’s quarterly operating results, including in particular its net sales and margins;</w:t>
      </w:r>
    </w:p>
    <w:p>
      <w:pPr>
        <w:spacing w:after="0" w:line="197" w:lineRule="exact"/>
        <w:rPr>
          <w:rFonts w:ascii="Arial" w:cs="Arial" w:eastAsia="Arial" w:hAnsi="Arial"/>
          <w:sz w:val="18"/>
          <w:szCs w:val="18"/>
          <w:color w:val="auto"/>
        </w:rPr>
      </w:pPr>
    </w:p>
    <w:p>
      <w:pPr>
        <w:ind w:left="660" w:hanging="395"/>
        <w:spacing w:after="0" w:line="227"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variability in NTIC’s sales of ZERUST® products and services into oil and gas industry and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NTIC’s equity income of joint ventures, which variability in sales and equity in income of joint venture in turn, subject NTIC’s earnings to quarterly fluctuations;</w:t>
      </w:r>
    </w:p>
    <w:p>
      <w:pPr>
        <w:spacing w:after="0" w:line="229" w:lineRule="exact"/>
        <w:rPr>
          <w:rFonts w:ascii="Arial" w:cs="Arial" w:eastAsia="Arial" w:hAnsi="Arial"/>
          <w:sz w:val="17"/>
          <w:szCs w:val="17"/>
          <w:color w:val="auto"/>
        </w:rPr>
      </w:pPr>
    </w:p>
    <w:p>
      <w:pPr>
        <w:ind w:left="660" w:hanging="395"/>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75" w:lineRule="exact"/>
        <w:rPr>
          <w:rFonts w:ascii="Arial" w:cs="Arial" w:eastAsia="Arial" w:hAnsi="Arial"/>
          <w:sz w:val="16"/>
          <w:szCs w:val="16"/>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2" w:lineRule="exact"/>
        <w:rPr>
          <w:rFonts w:ascii="Arial" w:cs="Arial" w:eastAsia="Arial" w:hAnsi="Arial"/>
          <w:sz w:val="18"/>
          <w:szCs w:val="18"/>
          <w:color w:val="auto"/>
        </w:rPr>
      </w:pPr>
    </w:p>
    <w:p>
      <w:pPr>
        <w:jc w:val="both"/>
        <w:ind w:left="660" w:right="20" w:hanging="395"/>
        <w:spacing w:after="0" w:line="22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30"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660" w:hanging="395"/>
        <w:spacing w:after="0" w:line="2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30" w:lineRule="exact"/>
        <w:rPr>
          <w:rFonts w:ascii="Arial" w:cs="Arial" w:eastAsia="Arial" w:hAnsi="Arial"/>
          <w:sz w:val="18"/>
          <w:szCs w:val="18"/>
          <w:color w:val="auto"/>
        </w:rPr>
      </w:pPr>
    </w:p>
    <w:p>
      <w:pPr>
        <w:ind w:left="660" w:hanging="395"/>
        <w:spacing w:after="0" w:line="2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30"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left="660" w:hanging="39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660" w:hanging="395"/>
        <w:spacing w:after="0" w:line="21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30"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660" w:hanging="39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2012 under the heading “Part I. Item 1A. Risk Factors.”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was no change in NTIC’s internal control over financial reporting that occurred during the quarter ended May 31, 2013 that has materially affected, or is reasonably likely to materially affect NTIC’s internal control over financial reporting, other than the consolidation of NTI Asean.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33" w:name="page34"/>
    <w:bookmarkEnd w:id="33"/>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May 31, 2013, NTIC did not issue any shares of its common stock or other equity securities of NTIC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2013, NTIC did not purchase any shares of its common stock or other equity securities of NTIC.</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2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Certification of Chief Executive Officer Pursuant to Exchange Act Rules 13a-14(a)/15d-14(a), as Adopted Pursuant to Section 302 of the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Sarbanes-Oxley Act of 2002 (filed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of Chief Financial Officer Pursuant to Exchange Act Rules 13a-14(a)/15d-14(a), as Adopted Pursuant to Section 302 of the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Sarbanes-Oxley Act of 2002 (filed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Act of 2002 (furnished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Act of 2002 (furnished herewith)</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4460"/>
              <w:spacing w:after="0"/>
              <w:rPr>
                <w:sz w:val="20"/>
                <w:szCs w:val="20"/>
                <w:color w:val="auto"/>
              </w:rPr>
            </w:pPr>
            <w:r>
              <w:rPr>
                <w:rFonts w:ascii="Arial" w:cs="Arial" w:eastAsia="Arial" w:hAnsi="Arial"/>
                <w:sz w:val="18"/>
                <w:szCs w:val="18"/>
                <w:color w:val="auto"/>
              </w:rPr>
              <w:t>33</w:t>
            </w:r>
          </w:p>
        </w:tc>
      </w:tr>
      <w:tr>
        <w:trPr>
          <w:trHeight w:val="105"/>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92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9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4" w:name="page35"/>
    <w:bookmarkEnd w:id="34"/>
    <w:p>
      <w:pPr>
        <w:ind w:left="60"/>
        <w:spacing w:after="0"/>
        <w:tabs>
          <w:tab w:leader="none" w:pos="14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1420" w:right="20" w:hanging="1053"/>
        <w:spacing w:after="0" w:line="301"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Quarterly Report on Form 10-Q for the fiscal quarter ended May 31, 2013,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(furnished herewith)*</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580" w:hanging="648"/>
        <w:spacing w:after="0" w:line="302"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-1435735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-655320</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320" w:top="270"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172085</wp:posOffset>
            </wp:positionV>
            <wp:extent cx="1543685" cy="488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68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Pr>
          <w:p>
            <w:pPr>
              <w:spacing w:after="0"/>
              <w:rPr>
                <w:sz w:val="20"/>
                <w:szCs w:val="20"/>
                <w:color w:val="auto"/>
              </w:rPr>
            </w:pPr>
            <w:r>
              <w:rPr>
                <w:rFonts w:ascii="Arial" w:cs="Arial" w:eastAsia="Arial" w:hAnsi="Arial"/>
                <w:sz w:val="18"/>
                <w:szCs w:val="18"/>
                <w:color w:val="auto"/>
              </w:rPr>
              <w:t>Date: July 12, 2013</w:t>
            </w:r>
          </w:p>
        </w:tc>
        <w:tc>
          <w:tcPr>
            <w:tcW w:w="51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Matthew C. Wolsfeld, CPA</w:t>
            </w:r>
          </w:p>
        </w:tc>
        <w:tc>
          <w:tcPr>
            <w:tcW w:w="1700" w:type="dxa"/>
            <w:vAlign w:val="bottom"/>
          </w:tcPr>
          <w:p>
            <w:pPr>
              <w:spacing w:after="0"/>
              <w:rPr>
                <w:sz w:val="19"/>
                <w:szCs w:val="19"/>
                <w:color w:val="auto"/>
              </w:rPr>
            </w:pPr>
          </w:p>
        </w:tc>
      </w:tr>
      <w:tr>
        <w:trPr>
          <w:trHeight w:val="232"/>
        </w:trPr>
        <w:tc>
          <w:tcPr>
            <w:tcW w:w="4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170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 and</w:t>
            </w:r>
          </w:p>
        </w:tc>
        <w:tc>
          <w:tcPr>
            <w:tcW w:w="170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Duly Authorized to Sign on Behalf of the Registrant)</w:t>
            </w:r>
          </w:p>
        </w:tc>
        <w:tc>
          <w:tcPr>
            <w:tcW w:w="1700" w:type="dxa"/>
            <w:vAlign w:val="bottom"/>
          </w:tcPr>
          <w:p>
            <w:pPr>
              <w:spacing w:after="0"/>
              <w:rPr>
                <w:sz w:val="20"/>
                <w:szCs w:val="20"/>
                <w:color w:val="auto"/>
              </w:rPr>
            </w:pPr>
          </w:p>
        </w:tc>
      </w:tr>
      <w:tr>
        <w:trPr>
          <w:trHeight w:val="608"/>
        </w:trPr>
        <w:tc>
          <w:tcPr>
            <w:tcW w:w="4580" w:type="dxa"/>
            <w:vAlign w:val="bottom"/>
          </w:tcPr>
          <w:p>
            <w:pPr>
              <w:spacing w:after="0"/>
              <w:rPr>
                <w:sz w:val="24"/>
                <w:szCs w:val="24"/>
                <w:color w:val="auto"/>
              </w:rPr>
            </w:pPr>
          </w:p>
        </w:tc>
        <w:tc>
          <w:tcPr>
            <w:tcW w:w="5140" w:type="dxa"/>
            <w:vAlign w:val="bottom"/>
          </w:tcPr>
          <w:p>
            <w:pPr>
              <w:ind w:left="1040"/>
              <w:spacing w:after="0"/>
              <w:rPr>
                <w:sz w:val="20"/>
                <w:szCs w:val="20"/>
                <w:color w:val="auto"/>
              </w:rPr>
            </w:pPr>
            <w:r>
              <w:rPr>
                <w:rFonts w:ascii="Arial" w:cs="Arial" w:eastAsia="Arial" w:hAnsi="Arial"/>
                <w:sz w:val="18"/>
                <w:szCs w:val="18"/>
                <w:color w:val="auto"/>
              </w:rPr>
              <w:t>35</w:t>
            </w:r>
          </w:p>
        </w:tc>
        <w:tc>
          <w:tcPr>
            <w:tcW w:w="1700" w:type="dxa"/>
            <w:vAlign w:val="bottom"/>
          </w:tcPr>
          <w:p>
            <w:pPr>
              <w:spacing w:after="0"/>
              <w:rPr>
                <w:sz w:val="24"/>
                <w:szCs w:val="24"/>
                <w:color w:val="auto"/>
              </w:rPr>
            </w:pPr>
          </w:p>
        </w:tc>
      </w:tr>
      <w:tr>
        <w:trPr>
          <w:trHeight w:val="105"/>
        </w:trPr>
        <w:tc>
          <w:tcPr>
            <w:tcW w:w="45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61"/>
        </w:trPr>
        <w:tc>
          <w:tcPr>
            <w:tcW w:w="458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860" w:type="dxa"/>
            <w:vAlign w:val="bottom"/>
            <w:tcBorders>
              <w:top w:val="single" w:sz="8" w:color="auto"/>
              <w:right w:val="single" w:sz="8" w:color="auto"/>
            </w:tcBorders>
          </w:tcPr>
          <w:p>
            <w:pPr>
              <w:spacing w:after="0"/>
              <w:rPr>
                <w:sz w:val="22"/>
                <w:szCs w:val="22"/>
                <w:color w:val="auto"/>
              </w:rPr>
            </w:pPr>
          </w:p>
        </w:tc>
        <w:tc>
          <w:tcPr>
            <w:tcW w:w="3400" w:type="dxa"/>
            <w:vAlign w:val="bottom"/>
            <w:tcBorders>
              <w:top w:val="single" w:sz="8" w:color="auto"/>
              <w:right w:val="single" w:sz="8" w:color="auto"/>
            </w:tcBorders>
          </w:tcPr>
          <w:p>
            <w:pPr>
              <w:spacing w:after="0"/>
              <w:rPr>
                <w:sz w:val="22"/>
                <w:szCs w:val="22"/>
                <w:color w:val="auto"/>
              </w:rPr>
            </w:pPr>
          </w:p>
        </w:tc>
      </w:tr>
      <w:tr>
        <w:trPr>
          <w:trHeight w:val="261"/>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860" w:type="dxa"/>
            <w:vAlign w:val="bottom"/>
            <w:tcBorders>
              <w:right w:val="single" w:sz="8" w:color="auto"/>
            </w:tcBorders>
          </w:tcPr>
          <w:p>
            <w:pPr>
              <w:ind w:left="296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37"/>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Certification of Chief Executive Officer Pursuant to Exchange Act Rules 13a-14(a)/15d-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14(a), as Adopted Pursuant to Section 302 of the Sarbanes-Oxley Act of 2002</w:t>
            </w:r>
          </w:p>
        </w:tc>
        <w:tc>
          <w:tcPr>
            <w:tcW w:w="340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Certification of Chief Financial Officer Pursuant to Exchange Act Rules 13a-14(a)/15d-14(a),</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340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Certification of Chief Financial Officer Pursuant to 18 U.S.C. Section 1350, as Adopted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following materials from Northern Technologies International Corporation’s Quarterly</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Furnished herewith</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 on Form 10-Q for the fiscal quarter ended May 31, 2013, formatted in XBRL</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(Extensible Business Reporting Language): (i) the unaudited Consolidated Balance Sheets,</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(ii) the unaudited Consolidated Statements of Operations, (iii) the unaudited Consolidated</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Statements of Comprehensive Income, (iv) the unaudited Consolidated Statements of Cash</w:t>
            </w:r>
          </w:p>
        </w:tc>
        <w:tc>
          <w:tcPr>
            <w:tcW w:w="340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Flows, and (v) Notes to Condensed Financial Statements*</w:t>
            </w:r>
          </w:p>
        </w:tc>
        <w:tc>
          <w:tcPr>
            <w:tcW w:w="340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ind w:left="660" w:right="60" w:hanging="652"/>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2898775" cy="454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2013</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543685"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68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6350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Matthew C. Wolsfeld, CPA</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2898775" cy="488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4889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2013</w:t>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2013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898775" cy="497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10"/>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6"/>
    </w:lvl>
  </w:abstractNum>
  <w:abstractNum w:abstractNumId="5">
    <w:nsid w:val="6B68079A"/>
    <w:multiLevelType w:val="hybridMultilevel"/>
    <w:lvl w:ilvl="0">
      <w:lvlJc w:val="left"/>
      <w:lvlText w:val="%1."/>
      <w:numFmt w:val="decimal"/>
      <w:start w:val="7"/>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2"/>
      <w:numFmt w:val="decimal"/>
      <w:start w:val="10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upperLetter"/>
      <w:start w:val="1"/>
    </w:lvl>
    <w:lvl w:ilvl="1">
      <w:lvlJc w:val="left"/>
      <w:lvlText w:val="(%2)"/>
      <w:numFmt w:val="decimal"/>
      <w:start w:val="1"/>
    </w:lvl>
  </w:abstractNum>
  <w:abstractNum w:abstractNumId="24">
    <w:nsid w:val="4353D0CD"/>
    <w:multiLevelType w:val="hybridMultilevel"/>
    <w:lvl w:ilvl="0">
      <w:lvlJc w:val="left"/>
      <w:lvlText w:val="%1."/>
      <w:numFmt w:val="upperLetter"/>
      <w:start w:val="7"/>
    </w:lvl>
    <w:lvl w:ilvl="1">
      <w:lvlJc w:val="left"/>
      <w:lvlText w:val="%2"/>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2019-12-06T05:54:18Z</dcterms:created>
  <dcterms:modified xsi:type="dcterms:W3CDTF">2019-12-06T05:54:18Z</dcterms:modified>
</cp:coreProperties>
</file>