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7" w:lineRule="exact"/>
        <w:rPr>
          <w:sz w:val="24"/>
          <w:szCs w:val="24"/>
          <w:color w:val="auto"/>
        </w:rPr>
      </w:pPr>
    </w:p>
    <w:p>
      <w:pPr>
        <w:ind w:left="3980" w:right="2040" w:hanging="3972"/>
        <w:spacing w:after="0" w:line="359" w:lineRule="auto"/>
        <w:tabs>
          <w:tab w:leader="none" w:pos="21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May 31, 2018</w:t>
      </w:r>
    </w:p>
    <w:p>
      <w:pPr>
        <w:spacing w:after="0" w:line="29" w:lineRule="exact"/>
        <w:rPr>
          <w:sz w:val="24"/>
          <w:szCs w:val="24"/>
          <w:color w:val="auto"/>
        </w:rPr>
      </w:pPr>
    </w:p>
    <w:p>
      <w:pPr>
        <w:ind w:left="2960" w:right="2020" w:hanging="2952"/>
        <w:spacing w:after="0" w:line="397" w:lineRule="auto"/>
        <w:tabs>
          <w:tab w:leader="none" w:pos="22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 to 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850" w:right="259" w:bottom="1440" w:gutter="0" w:footer="0" w:header="0"/>
        </w:sectPr>
      </w:pPr>
    </w:p>
    <w:p>
      <w:pPr>
        <w:spacing w:after="0" w:line="20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40"/>
          </w:cols>
          <w:pgMar w:left="240" w:top="850" w:right="259" w:bottom="144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850" w:right="259" w:bottom="1440" w:gutter="0" w:footer="0" w:header="0"/>
          <w:type w:val="continuous"/>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(Do not check if a 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800" w:space="720"/>
            <w:col w:w="4880"/>
          </w:cols>
          <w:pgMar w:left="240" w:top="850" w:right="259" w:bottom="1440" w:gutter="0" w:footer="0" w:header="0"/>
          <w:type w:val="continuous"/>
        </w:sectPr>
      </w:pPr>
    </w:p>
    <w:p>
      <w:pPr>
        <w:spacing w:after="0" w:line="140"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7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13, 2018, there were 4,541,304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850"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gridSpan w:val="6"/>
          </w:tcPr>
          <w:p>
            <w:pPr>
              <w:ind w:left="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89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May 31, 2018 (unaudited) and August 31, 2017 (audited)</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920" w:type="dxa"/>
            <w:vAlign w:val="bottom"/>
            <w:gridSpan w:val="19"/>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Operations (unaudited) for the Three and Nine Months Ended May 31, 2018 and 2017</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920" w:type="dxa"/>
            <w:vAlign w:val="bottom"/>
            <w:gridSpan w:val="19"/>
            <w:shd w:val="clear" w:color="auto" w:fill="CCEEFF"/>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Comprehensive Income (unaudited) for the Three and Nine Months Ended May 31, 2018</w:t>
              </w:r>
            </w:hyperlink>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4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2017</w:t>
              </w:r>
            </w:hyperlink>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6"/>
            <w:shd w:val="clear" w:color="auto" w:fill="CCEEFF"/>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Nine Months Ended May 31, 2018 and 2017</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7-19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20-33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33-34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892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5.</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8920" w:type="dxa"/>
            <w:vAlign w:val="bottom"/>
            <w:gridSpan w:val="19"/>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Arial" w:cs="Arial" w:eastAsia="Arial" w:hAnsi="Arial"/>
                <w:sz w:val="18"/>
                <w:szCs w:val="18"/>
                <w:b w:val="1"/>
                <w:bCs w:val="1"/>
                <w:color w:val="0000EE"/>
                <w:w w:val="97"/>
              </w:rPr>
            </w:pPr>
            <w:hyperlink w:anchor="page38">
              <w:r>
                <w:rPr>
                  <w:rFonts w:ascii="Arial" w:cs="Arial" w:eastAsia="Arial" w:hAnsi="Arial"/>
                  <w:sz w:val="18"/>
                  <w:szCs w:val="18"/>
                  <w:b w:val="1"/>
                  <w:bCs w:val="1"/>
                  <w:color w:val="0000EE"/>
                  <w:w w:val="97"/>
                </w:rPr>
                <w:t>SIGNATURE PAGE</w:t>
              </w:r>
            </w:hyperlink>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460" w:type="dxa"/>
            <w:vAlign w:val="bottom"/>
            <w:tcBorders>
              <w:top w:val="single" w:sz="8" w:color="CCEEFF"/>
            </w:tcBorders>
            <w:gridSpan w:val="14"/>
          </w:tcPr>
          <w:p>
            <w:pPr>
              <w:ind w:left="3320"/>
              <w:spacing w:after="0"/>
              <w:rPr>
                <w:sz w:val="20"/>
                <w:szCs w:val="20"/>
                <w:color w:val="auto"/>
              </w:rPr>
            </w:pPr>
            <w:r>
              <w:rPr>
                <w:rFonts w:ascii="Arial" w:cs="Arial" w:eastAsia="Arial" w:hAnsi="Arial"/>
                <w:sz w:val="18"/>
                <w:szCs w:val="18"/>
                <w:color w:val="auto"/>
              </w:rPr>
              <w:t>_________________</w:t>
            </w:r>
          </w:p>
        </w:tc>
        <w:tc>
          <w:tcPr>
            <w:tcW w:w="1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jc w:val="both"/>
        <w:ind w:right="160" w:firstLine="8"/>
        <w:spacing w:after="0" w:line="254"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(6) “NTI Asean” refer to NTIC’s majority-owned holding company subsidiary, NTI Asean LLC, which is a holding company that holds investments in seven entities that operate in the Association of Southeast Asian Nations (ASEAN) region, including the following countries: Indonesia, South Korea, Malaysia, Philippines, Singapore, Taiwan and Thailand.</w:t>
      </w:r>
    </w:p>
    <w:p>
      <w:pPr>
        <w:spacing w:after="0" w:line="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76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MAY 31, 2018 (UNAUDITED)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2017 (AUDITED)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7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May 31, 2018</w:t>
            </w: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7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4,610,325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3,282,915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3,766,984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Receivables:</w:t>
            </w:r>
          </w:p>
        </w:tc>
        <w:tc>
          <w:tcPr>
            <w:tcW w:w="6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520"/>
              <w:spacing w:after="0" w:line="201" w:lineRule="exact"/>
              <w:rPr>
                <w:sz w:val="20"/>
                <w:szCs w:val="20"/>
                <w:color w:val="auto"/>
              </w:rPr>
            </w:pPr>
            <w:r>
              <w:rPr>
                <w:rFonts w:ascii="Arial" w:cs="Arial" w:eastAsia="Arial" w:hAnsi="Arial"/>
                <w:sz w:val="18"/>
                <w:szCs w:val="18"/>
                <w:color w:val="auto"/>
                <w:w w:val="93"/>
              </w:rPr>
              <w:t>Trade excluding joint ventures, less allowance for doubtful accounts of $50,000 at May 31, 2018 and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tcPr>
          <w:p>
            <w:pPr>
              <w:ind w:left="700"/>
              <w:spacing w:after="0"/>
              <w:rPr>
                <w:sz w:val="20"/>
                <w:szCs w:val="20"/>
                <w:color w:val="auto"/>
              </w:rPr>
            </w:pPr>
            <w:r>
              <w:rPr>
                <w:rFonts w:ascii="Arial" w:cs="Arial" w:eastAsia="Arial" w:hAnsi="Arial"/>
                <w:sz w:val="18"/>
                <w:szCs w:val="18"/>
                <w:color w:val="auto"/>
              </w:rPr>
              <w:t>$40,000 at August 31, 2017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8,692,708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5,912,631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597,805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50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1,352,249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1,302,944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369,136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6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9,174,743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7,456,552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1,081,190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gridSpan w:val="2"/>
          </w:tcPr>
          <w:p>
            <w:pPr>
              <w:ind w:left="800"/>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29,161,071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26,067,618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7,233,307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22,412,792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20,035,074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1,056,565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1,756,565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1,196,222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67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153,846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24,819,425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23,185,413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61,213,803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56,612,693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3,316,169</w:t>
            </w:r>
          </w:p>
        </w:tc>
        <w:tc>
          <w:tcPr>
            <w:tcW w:w="10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2,676,610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112,686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Payroll and related benefits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1,804,451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1,540,386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w:t>
            </w:r>
          </w:p>
        </w:tc>
        <w:tc>
          <w:tcPr>
            <w:tcW w:w="67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1,115,595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6,348,901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4,894,617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6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Common stock, $0.02 par value per share; authorized 15,000,000 shares as of May 31, 2018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10,000,000  shares  as  of  August  31,  2017;  issued  and  outstanding  4,541,304  and  4,535,018,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90,826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14,516,510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14,163,509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40,275,326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37,077,483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(3,058,672)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51,823,990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48,860,628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Non-controlling interest</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3,040,912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2,857,448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54,864,902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51,718,076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520"/>
              <w:spacing w:after="0"/>
              <w:rPr>
                <w:sz w:val="20"/>
                <w:szCs w:val="20"/>
                <w:color w:val="auto"/>
              </w:rPr>
            </w:pPr>
            <w:r>
              <w:rPr>
                <w:rFonts w:ascii="Arial" w:cs="Arial" w:eastAsia="Arial" w:hAnsi="Arial"/>
                <w:sz w:val="18"/>
                <w:szCs w:val="18"/>
                <w:color w:val="auto"/>
              </w:rPr>
              <w:t>Total liabilities and equity</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61,213,803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56,612,693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AND NINE MONTHS ENDED MAY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6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May 31, 2018</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12,044,513</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9,360,883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34,479,773</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26,552,434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879,324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862,136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2,201,077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2,115,511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12,923,837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10,223,019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36,680,850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28,667,945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8,592,366</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6,774,001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24,493,672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19,256,953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4,331,471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3,449,018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12,187,178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9,410,992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from joint ventures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2,246,066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1,686,016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5,793,391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4,343,159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1,508,500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1,442,048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4,624,532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3,941,667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joint venture operations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3,754,566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3,128,064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10,417,923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8,284,826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Selling expenses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2,784,694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2,430,824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8,028,279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6,716,390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1,987,785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1,682,669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6,012,746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5,996,977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860,347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733,651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2,581,824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2,118,210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5,632,826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4,847,144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16,622,849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14,831,577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2,453,211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1,729,938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5,982,252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2,864,241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2,485,702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1,733,525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6,052,814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2,867,814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181,683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237,801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1,128,583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480,423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2,304,019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1,495,724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4,924,231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2,387,391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8"/>
              </w:rPr>
              <w:t>NET INCOME ATTRIBUTABLE TO NON-CONTROLLING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INTERESTS</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161,267</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143,308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365,006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350,370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2,142,752</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1,352,416</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4,559,225</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2,037,021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9"/>
              </w:rPr>
              <w:t>NET INCOME ATTRIBUTABLE TO NTIC PER COMMON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SHARE: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0.46</w:t>
            </w: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ASSUMED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4,539,353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4,526,771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4,538,838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4,528,523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5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4,707,032</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4,591,527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4,663,847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4,571,395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CASH DIVIDENDS DECLARED PER COMMON SHARE</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0.10</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COMPREHENSIVE INCOME (UNAUDITED) FOR THE THREE AND NINE MONTHS ENDED MAY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7"/>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May 31, 2018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 2018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r>
      <w:tr>
        <w:trPr>
          <w:trHeight w:val="197"/>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2,304,019</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1,495,724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4,924,231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2,387,391</w:t>
            </w: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w w:val="97"/>
              </w:rPr>
              <w:t>OTHER COMPREHENSIVE INCOME (LOSS) – FOREIGN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CURRENCY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(1,011,686)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780,726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(569,151)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(239,095)</w:t>
            </w:r>
          </w:p>
        </w:tc>
      </w:tr>
      <w:tr>
        <w:trPr>
          <w:trHeight w:val="230"/>
        </w:trPr>
        <w:tc>
          <w:tcPr>
            <w:tcW w:w="4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1,292,333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2,276,450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4,355,080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2,148,296</w:t>
            </w:r>
          </w:p>
        </w:tc>
      </w:tr>
      <w:tr>
        <w:trPr>
          <w:trHeight w:val="202"/>
        </w:trPr>
        <w:tc>
          <w:tcPr>
            <w:tcW w:w="4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COMPREHENSIVE INCOME ATTRIBUTABLE TO</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44"/>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137,501</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160,223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383,463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353,423</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COMPREHENSIVE INCOME ATTRIBUTABLE TO NTIC</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1,154,832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2,116,227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3,971,617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1,794,873</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NINE MONTHS ENDED MAY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May 31, 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4,924,231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2,387,391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309,743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631,399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188,460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assets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Equity in income from joint ventures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(5,793,391)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2,941,807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5,179,786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520"/>
              <w:spacing w:after="0"/>
              <w:rPr>
                <w:sz w:val="20"/>
                <w:szCs w:val="20"/>
                <w:color w:val="auto"/>
              </w:rPr>
            </w:pPr>
            <w:r>
              <w:rPr>
                <w:rFonts w:ascii="Arial" w:cs="Arial" w:eastAsia="Arial" w:hAnsi="Arial"/>
                <w:sz w:val="18"/>
                <w:szCs w:val="18"/>
                <w:color w:val="auto"/>
              </w:rPr>
              <w:t>Receivables: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excluding joint ventures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(2,827,606)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700"/>
              <w:spacing w:after="0"/>
              <w:rPr>
                <w:sz w:val="20"/>
                <w:szCs w:val="20"/>
                <w:color w:val="auto"/>
              </w:rPr>
            </w:pPr>
            <w:r>
              <w:rPr>
                <w:rFonts w:ascii="Arial" w:cs="Arial" w:eastAsia="Arial" w:hAnsi="Arial"/>
                <w:sz w:val="18"/>
                <w:szCs w:val="18"/>
                <w:color w:val="auto"/>
              </w:rPr>
              <w:t>Trade, joint ventures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93,947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Fees for services provided to joint ventures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700"/>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(1,773,085)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(718,839)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728,657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520"/>
              <w:spacing w:after="0"/>
              <w:rPr>
                <w:sz w:val="20"/>
                <w:szCs w:val="20"/>
                <w:color w:val="auto"/>
              </w:rPr>
            </w:pPr>
            <w:r>
              <w:rPr>
                <w:rFonts w:ascii="Arial" w:cs="Arial" w:eastAsia="Arial" w:hAnsi="Arial"/>
                <w:sz w:val="18"/>
                <w:szCs w:val="18"/>
                <w:color w:val="auto"/>
              </w:rPr>
              <w:t>Income tax payable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104,643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7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676,138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provided by operating activities</w:t>
            </w:r>
          </w:p>
        </w:tc>
        <w:tc>
          <w:tcPr>
            <w:tcW w:w="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2,826,166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available for sale securities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(3,013,572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Proceeds from the sale of available for sale securities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1,502,665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property and equipment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Additions to patents</w:t>
            </w:r>
          </w:p>
        </w:tc>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(2,398,443)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Dividend received by non-controlling interest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Dividends paid on NTIC common stock</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(1,361,382)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stock purchase plan</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Proceeds from option exercises</w:t>
            </w:r>
          </w:p>
        </w:tc>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financing activities</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(1,517,998)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37" w:right="239" w:bottom="1440" w:gutter="0" w:footer="0" w:header="0"/>
        </w:sectPr>
      </w:pPr>
    </w:p>
    <w:p>
      <w:pPr>
        <w:ind w:right="2040"/>
        <w:spacing w:after="0" w:line="290" w:lineRule="auto"/>
        <w:rPr>
          <w:sz w:val="20"/>
          <w:szCs w:val="20"/>
          <w:color w:val="auto"/>
        </w:rPr>
      </w:pPr>
      <w:r>
        <w:rPr>
          <w:rFonts w:ascii="Arial" w:cs="Arial" w:eastAsia="Arial" w:hAnsi="Arial"/>
          <w:sz w:val="17"/>
          <w:szCs w:val="17"/>
          <w:color w:val="auto"/>
        </w:rPr>
        <w:t>NET (DECREASE) INCREASE IN CASH AND CASH EQUIVALENTS 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720"/>
        <w:spacing w:after="0"/>
        <w:tabs>
          <w:tab w:leader="none" w:pos="2580" w:val="left"/>
        </w:tabs>
        <w:rPr>
          <w:sz w:val="20"/>
          <w:szCs w:val="20"/>
          <w:color w:val="auto"/>
        </w:rPr>
      </w:pPr>
      <w:r>
        <w:rPr>
          <w:rFonts w:ascii="Arial" w:cs="Arial" w:eastAsia="Arial" w:hAnsi="Arial"/>
          <w:sz w:val="18"/>
          <w:szCs w:val="18"/>
          <w:color w:val="auto"/>
        </w:rPr>
        <w:t>(1,749,876)</w:t>
      </w:r>
      <w:r>
        <w:rPr>
          <w:sz w:val="20"/>
          <w:szCs w:val="20"/>
          <w:color w:val="auto"/>
        </w:rPr>
        <w:tab/>
      </w:r>
      <w:r>
        <w:rPr>
          <w:rFonts w:ascii="Arial" w:cs="Arial" w:eastAsia="Arial" w:hAnsi="Arial"/>
          <w:sz w:val="18"/>
          <w:szCs w:val="18"/>
          <w:color w:val="auto"/>
        </w:rPr>
        <w:t>104,890</w:t>
      </w:r>
    </w:p>
    <w:p>
      <w:pPr>
        <w:spacing w:after="0" w:line="9" w:lineRule="exact"/>
        <w:rPr>
          <w:sz w:val="20"/>
          <w:szCs w:val="20"/>
          <w:color w:val="auto"/>
        </w:rPr>
      </w:pPr>
    </w:p>
    <w:p>
      <w:pPr>
        <w:jc w:val="both"/>
        <w:ind w:left="780"/>
        <w:spacing w:after="0"/>
        <w:tabs>
          <w:tab w:leader="none" w:pos="2460" w:val="left"/>
        </w:tabs>
        <w:rPr>
          <w:sz w:val="20"/>
          <w:szCs w:val="20"/>
          <w:color w:val="auto"/>
        </w:rPr>
      </w:pPr>
      <w:r>
        <w:rPr>
          <w:rFonts w:ascii="Arial" w:cs="Arial" w:eastAsia="Arial" w:hAnsi="Arial"/>
          <w:sz w:val="18"/>
          <w:szCs w:val="18"/>
          <w:color w:val="auto"/>
        </w:rPr>
        <w:t>6,360,201</w:t>
      </w:r>
      <w:r>
        <w:rPr>
          <w:sz w:val="20"/>
          <w:szCs w:val="20"/>
          <w:color w:val="auto"/>
        </w:rPr>
        <w:tab/>
      </w:r>
      <w:r>
        <w:rPr>
          <w:rFonts w:ascii="Arial" w:cs="Arial" w:eastAsia="Arial" w:hAnsi="Arial"/>
          <w:sz w:val="18"/>
          <w:szCs w:val="18"/>
          <w:color w:val="auto"/>
        </w:rPr>
        <w:t>3,395,274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092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45" w:lineRule="exact"/>
        <w:rPr>
          <w:sz w:val="20"/>
          <w:szCs w:val="20"/>
          <w:color w:val="auto"/>
        </w:rPr>
      </w:pPr>
    </w:p>
    <w:p>
      <w:pPr>
        <w:spacing w:after="0"/>
        <w:tabs>
          <w:tab w:leader="none" w:pos="760" w:val="left"/>
          <w:tab w:leader="none" w:pos="1700" w:val="left"/>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4,610,325</w:t>
        <w:tab/>
        <w:t>$</w:t>
      </w:r>
      <w:r>
        <w:rPr>
          <w:sz w:val="20"/>
          <w:szCs w:val="20"/>
          <w:color w:val="auto"/>
        </w:rPr>
        <w:tab/>
      </w:r>
      <w:r>
        <w:rPr>
          <w:rFonts w:ascii="Arial" w:cs="Arial" w:eastAsia="Arial" w:hAnsi="Arial"/>
          <w:sz w:val="16"/>
          <w:szCs w:val="16"/>
          <w:color w:val="auto"/>
        </w:rPr>
        <w:t>3,500,164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2092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337" w:right="23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 w:name="page8"/>
    <w:bookmarkEnd w:id="7"/>
    <w:p>
      <w:pPr>
        <w:ind w:right="41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2018 and August 31, 2017 and the results of their operations for the three and nine months ended May 31, 2018 and 2017 and their cash flows for the nine months ended May 31, 2018 and 2017, in conformity with accounting principles generally accepted in the United States of America (U.S. GAAP).</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2017. These consolidated financial statements also should be read in conjunction with the “Management’s Discussion and Analysis of Financial Condition and Results of Operations” section appearing in this report.</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results for the three and nine months ended May 31, 2018 are not necessarily indicative of the results that may be expected for the full fiscal year ending August 31, 2018.</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guidance creating Accounting Standards Codification (ASC) Section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which establishes a comprehensive new model for the recognition of revenue from contracts with customers. This model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core principle that revenue should be recognized to depict the transfer of promised goods or services to customers in an amount that reflects the consideration to which the entity expects to be entitled in exchange for those goods or services. The Company has performed a review of the requirements of the new guidance and has identified which of its revenue streams will be within the scope of ASC 606. The Company has applied the five-step model of the new standard to a selection of contracts within each of its revenue streams and has compared the results to its current accounting practices. The Company is expecting to utilize the modified retrospective transition method of adoption. The Company is continuing to work through the remaining steps of the adoption plan to facilitate adoption effective September 1, 2018. As part of this, the Company is assessing changes that might be necessary to information technology systems, processes, and internal controls to capture new data and address changes in financial reporting. The Company will be revising its revenue recognition accounting policy and expanding revenue disclosures to reflect the requirements of ASC 606, which include disclosures related to the nature, amount, timing and uncertainty of revenue and cash flows arising from contracts with customers. Additionally, qualitative and quantitative disclosures are required about customer contracts, significant judgments and assets recognized from the costs to obtain or fulfill a contract. Based on its assessment to date, the Company does not expect the adoption of this standard to have a material impact on the way it recognizes revenue.</w:t>
      </w:r>
    </w:p>
    <w:p>
      <w:pPr>
        <w:spacing w:after="0" w:line="17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During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guidance will be effective for the Company’s first quarter of fiscal 2020. The Company is currently assessing the effect that ASU No. 2016-02 will have on its consolidated financial statements.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ind w:right="60"/>
        <w:spacing w:after="0" w:line="272"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Classification of Certain Cash Receipts and Cash Payments.</w:t>
      </w:r>
      <w:r>
        <w:rPr>
          <w:rFonts w:ascii="Arial" w:cs="Arial" w:eastAsia="Arial" w:hAnsi="Arial"/>
          <w:sz w:val="17"/>
          <w:szCs w:val="17"/>
          <w:color w:val="auto"/>
        </w:rPr>
        <w:t xml:space="preserve"> ASU No. 2016-15 eliminates the diversity in practice related to the classification of certain cash receipts and payments for debt prepayments or extinguishment costs, the maturing of a zero-coupon bond, the settlement of contingent liabilities arising from a business combination, proceeds from insurance settlements, distributions from certain equity method investees and beneficial interests obtained in a financial asset securitization. ASU No. 2016-15 designates the appropriate cash flow classification, including requirements to allocate certain components of these cash receipts and payments among operating, investing and financing activities. The guidance is effective for fiscal years beginning after December 15, 2017. Early adoption is permitted. The Company is currently evaluating the effects of adopting ASU No. 2016-15 on its consolidated financial statements.</w:t>
      </w:r>
    </w:p>
    <w:p>
      <w:pPr>
        <w:spacing w:after="0" w:line="1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will allow a reclassification from accumulated other comprehensive income to retained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for the tax effects resulting from the Tax Cuts and Jobs Act (Tax Reform Act) that are stranded in accumulated other comprehensive income. This standard also requires certain disclosures about stranded tax effects. ASU No. 2018-02, however, does not change the underlying guidance that requires that the effect of a change in tax laws or rates be included in income from continuing operations. ASU No. 2018-02 will be effective for the Company’s fiscal year 2020, with the option for early adoption at any time prior to the effective date. It must be applied either in the period of adoption or retrospectively to each period in which the effect of the change in the U.S. federal corporate income tax rate in the Tax Reform Act is recognized. The Company is currently assessing the impact this new accounting guidance will have on its consolidated financial statements.</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December 2017, the Securities and Exchange Commission (SEC) issued Staff Accounting Bulletin (SAB) No. 118 (as further clarified by FASB ASU No. 2018-05,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“Amendments to SEC Paragraphs Pursuant to SEC Staff Accounting Bulletin No. 118”) to provide guidance for companies that may not have completed their accounting for the income tax effects of the Tax Reform Act in the period of enactment, which is the period that includes December 22, 2017. SAB No. 118 provides for a provisional one-year measurement period for entities to finalize their accounting for certain income tax effects related to the Tax Reform Act. SAB No. 118 provides guidance where: (i) the accounting for the income tax effect of the Tax Reform Act is complete and reported in the Tax Reform Act’s enactment period, (ii) the accounting for the income tax effect of the Tax Reform Act is incomplete and reported as provisional amounts based on reasonable estimates (to the extent determinable) subject to adjustments during a limited measurement period until complete, and (iii) accounting for the income tax effect of the Tax Reform Act is not reasonably estimable (no related provisional amounts are reported in the enactment period) and entities would continue to apply accounting based on tax law provisions in effect prior to the Tax Reform Act enactment until provisional amounts are reasonably estimable. SAB No. 118 requires disclosure of the reasons for incomplete accounting additional information or analysis needed, among other relevant information (see Note 15 - Income Taxes).</w:t>
      </w:r>
    </w:p>
    <w:p>
      <w:pPr>
        <w:spacing w:after="0" w:line="18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43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INVENTORIES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466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46"/>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May 31, 2018</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August 31, 2017</w:t>
            </w:r>
          </w:p>
        </w:tc>
      </w:tr>
      <w:tr>
        <w:trPr>
          <w:trHeight w:val="210"/>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1,296,106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1,747,189</w:t>
            </w:r>
          </w:p>
        </w:tc>
      </w:tr>
      <w:tr>
        <w:trPr>
          <w:trHeight w:val="230"/>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7,878,637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5,709,363</w:t>
            </w:r>
          </w:p>
        </w:tc>
      </w:tr>
      <w:tr>
        <w:trPr>
          <w:trHeight w:val="223"/>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9,174,743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7,456,552</w:t>
            </w: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31, 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August 31, 2017</w:t>
            </w: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310,365</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6,903,231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6,847,177</w:t>
            </w: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4,554,692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4,171,387</w:t>
            </w: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11,768,288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11,328,929</w:t>
            </w: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(4,534,981)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(3,969,267)</w:t>
            </w: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7,233,307</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7,359,662</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5.   PATENTS AND TRADEMARKS, NET</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526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May 31, 2018</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August 31, 2017</w:t>
            </w:r>
          </w:p>
        </w:tc>
      </w:tr>
      <w:tr>
        <w:trPr>
          <w:trHeight w:val="210"/>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2,800,553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2,737,959</w:t>
            </w:r>
          </w:p>
        </w:tc>
      </w:tr>
      <w:tr>
        <w:trPr>
          <w:trHeight w:val="230"/>
        </w:trPr>
        <w:tc>
          <w:tcPr>
            <w:tcW w:w="116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(1,604,331)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(1,415,870)</w:t>
            </w:r>
          </w:p>
        </w:tc>
      </w:tr>
      <w:tr>
        <w:trPr>
          <w:trHeight w:val="223"/>
        </w:trPr>
        <w:tc>
          <w:tcPr>
            <w:tcW w:w="116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1,196,222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1,322,089</w:t>
            </w:r>
          </w:p>
        </w:tc>
      </w:tr>
      <w:tr>
        <w:trPr>
          <w:trHeight w:val="20"/>
        </w:trPr>
        <w:tc>
          <w:tcPr>
            <w:tcW w:w="1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$240,000 in each of the next five fiscal years.</w:t>
      </w:r>
    </w:p>
    <w:p>
      <w:pPr>
        <w:spacing w:after="0" w:line="17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recorded that remain on the consolidated balance sheet on sales from the Company to its joint ventures and from joint ventures to other joint ventures have been eliminated for financial reporting purposes.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1"/>
              </w:rPr>
              <w:t>As of May 31, 2018</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58,113,904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25,734,914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32,378,990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62,004,849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27,838,358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34,166,491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16,622,611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3,830,246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12,792,365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110,926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110,926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45,271,314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24,008,112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21,263,202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22,412,792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12,004,058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10,408,734</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20,383,580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11,973,153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8,410,427</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right"/>
              <w:ind w:right="1070"/>
              <w:spacing w:after="0"/>
              <w:rPr>
                <w:sz w:val="20"/>
                <w:szCs w:val="20"/>
                <w:color w:val="auto"/>
              </w:rPr>
            </w:pPr>
            <w:r>
              <w:rPr>
                <w:rFonts w:ascii="Arial" w:cs="Arial" w:eastAsia="Arial" w:hAnsi="Arial"/>
                <w:sz w:val="18"/>
                <w:szCs w:val="18"/>
                <w:b w:val="1"/>
                <w:bCs w:val="1"/>
                <w:color w:val="auto"/>
              </w:rPr>
              <w:t>Three Months Ended May 31, 2018</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31,480,885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12,219,414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19,261,471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14,209,819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6,823,609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7,386,210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4,540,968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3,113,660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1,427,308</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2,246,066</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1,558,243</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687,823</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Nine Months Ended May 31, 2018</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90,200,146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35,450,664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54,749,482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40,529,217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19,315,099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21,214,118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11,753,467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8,272,237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3,481,230</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joint 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5,793,391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4,138,814</w:t>
            </w: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1,654,577</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dividends received from joint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2,941,807</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1,780,392</w:t>
            </w:r>
          </w:p>
        </w:tc>
        <w:tc>
          <w:tcPr>
            <w:tcW w:w="5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1,161,415</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0"/>
              </w:rPr>
              <w:t>As of August 31, 2017</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EXCOR</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51,518,210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22,142,514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29,375,696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55,633,891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24,301,194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31,332,697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15,118,074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4,469,567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10,648,507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181,210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181,210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40,334,607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19,831,627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20,502,980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20,035,074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9,915,816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10,119,258</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17,960,860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9,884,911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8,075,949</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dividends received from joint</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6,377,054</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5,379,062</w:t>
            </w:r>
          </w:p>
        </w:tc>
        <w:tc>
          <w:tcPr>
            <w:tcW w:w="60" w:type="dxa"/>
            <w:vAlign w:val="bottom"/>
          </w:tcPr>
          <w:p>
            <w:pPr>
              <w:spacing w:after="0"/>
              <w:rPr>
                <w:sz w:val="20"/>
                <w:szCs w:val="20"/>
                <w:color w:val="auto"/>
              </w:rPr>
            </w:pP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997,992</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right"/>
              <w:ind w:right="1070"/>
              <w:spacing w:after="0"/>
              <w:rPr>
                <w:sz w:val="20"/>
                <w:szCs w:val="20"/>
                <w:color w:val="auto"/>
              </w:rPr>
            </w:pPr>
            <w:r>
              <w:rPr>
                <w:rFonts w:ascii="Arial" w:cs="Arial" w:eastAsia="Arial" w:hAnsi="Arial"/>
                <w:sz w:val="18"/>
                <w:szCs w:val="18"/>
                <w:b w:val="1"/>
                <w:bCs w:val="1"/>
                <w:color w:val="auto"/>
              </w:rPr>
              <w:t>Three Months Ended May 31, 2017</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25,935,169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9,884,546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16,050,623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11,517,711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5,271,028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6,246,683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3,379,883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2,166,435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1,213,448</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1,686,016</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1,083,494</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602,522</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Nine Months Ended May 31, 2017</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73,098,215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28,169,978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44,928,237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32,376,247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15,032,724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17,343,523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8,562,834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6,184,181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2,378,653</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4,343,159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3,089,935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1,253,224</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dividends received from joint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5,179,786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4,240,400</w:t>
            </w:r>
          </w:p>
        </w:tc>
        <w:tc>
          <w:tcPr>
            <w:tcW w:w="5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939,386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three and nine months ended May 31, 2018 and 2017.</w:t>
      </w:r>
    </w:p>
    <w:p>
      <w:pPr>
        <w:spacing w:after="0" w:line="22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 revolving line of credit with PNC Bank, National Association (PNC Bank) of $3,000,000. No amounts were outstanding under the line of credit as of both May 31, 2018 and August 31, 2017.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May 31, 2018, the Company was in compliance with all debt covenants.</w:t>
      </w:r>
    </w:p>
    <w:p>
      <w:pPr>
        <w:spacing w:after="0" w:line="188"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revolving credit facility allows the Company to request that PNC Bank issue letters of credit up to $1,200,000. The Company did not have any letters of credit reserved against the available letters of credit balance as of May 31, 2018 and August 31, 2017 with PNC Bank. The availability of advances under the line of credit will be reduced by the face amount of any letter of credit issued and outstanding (whether or not drawn) under the revolving credit facility.</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May 31, 2018, and August 31, 2017, the Company had $88,831 and $89,543, respectively, of letters of credit with JP Morgan Chase Bank that are performance based and set to expire between 2020 and 2022.</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January 5, 2018, the Company and PNC Bank extended the maturity date of the line of credit to January 7, 2019. All other terms of the line of credit and the loan agreement and other documents evidencing the line of credit remain the same.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2" w:name="page13"/>
    <w:bookmarkEnd w:id="12"/>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nine months ended May 31, 2018, the Company’s Board of Directors declared cash dividends on the following dates in the following amounts to the following holders of the Company’s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Declaration Date</w:t>
            </w: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Amount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20, 2017</w:t>
            </w:r>
          </w:p>
        </w:tc>
        <w:tc>
          <w:tcPr>
            <w:tcW w:w="1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8, 2017</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21, 2017</w:t>
            </w:r>
          </w:p>
        </w:tc>
      </w:tr>
      <w:tr>
        <w:trPr>
          <w:trHeight w:val="216"/>
        </w:trPr>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24, 2018</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8,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16"/>
        </w:trPr>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25, 2018</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9, 2018</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May 31, 2018, the Company repurchased and retired no shares of its common stock.</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nine months ended May 31, 2018, stock options to purchase an aggregate of 4,410 shares of common stock were exercised at a weighted average exercise price of $11.59 per share.</w:t>
      </w:r>
    </w:p>
    <w:p>
      <w:pPr>
        <w:spacing w:after="0" w:line="17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 granted stock options under the Northern Technologies International Corporation Amended and Restated 2007 Stock Incentive Plan (2007 Plan) to purchase an aggregate of 47,252 shares of its common stock to various employees and directors during the nine months ended May 31, 2018. The weighted average per share exercise price of the stock options is $18.35, which was equal to the fair market value of the Company’s common stock on the date of grant.</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issued 891 and 3,029 shares of common stock on September 1, 2017 and 2016, respectively, under the Northern Technologies International Corporation Employee Stock Purchase Plan (ESPP). The Company issued 985 and 1098 shares of common stock on March 1, 2018 and 2017, respectively, under the ESPP.</w:t>
      </w:r>
    </w:p>
    <w:p>
      <w:pPr>
        <w:spacing w:after="0" w:line="18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 held its 2018 Annual Meeting of Stockholders (2018 Annual Meeting) on January 12, 2018. At the 2018 Annual Meeting, a proposal to approve an amendment to the Company’s Restated Certificate of Incorporation to increase the Company’s authorized shares of common stock from 10,000,000 to 15,000,000 (Share Increase Amendment) was approved by the Company’s stockholders by the required vote. The Share Increase Amendment was filed with the Office of the Secretary of State of the State of Delaware on January 16, 2018 and it became effective the same day. In determining that the Share Increase Amendment was approved by the required vote, votes cast by brokers, banks or other nominees without instruction from the beneficial owners of certain of our outstanding shares were counted in favor of the proposal in accordance with the rules of the New York Stock Exchange that govern how brokers may cast such votes. Because a disclosure in the definitive proxy statement for the 2018 Annual Meeting, which was filed on Schedule 14A with the Securities and Exchange Commission (SEC) on November 27, 2017 (2018 Proxy Statement), anticipated that brokers would not have discretion to vote for the proposal to approve the Share Increase Amendment, a question has been raised as to the validity of the vote taken on the proposal to approve the Share Increase Amendment. The Company believes that the Share Increase Amendment was properly approved and is effective. However, because the description of the authority of brokers to vote on proposals without instruction in the 2018 Proxy Statement may create some uncertainty as to the effect of the vote obtained at the 2018 Annual Meeting and out of an abundance of caution, the Company intends to ask its stockholders at either a special meeting or the next annual meeting of the Company’s stockholders to ratify the filing and effectiveness of the Share Increase Amendment pursuant to Delaware law in order to eliminate any uncertainty related to the effectiveness of the Share Increase Amendment. The Company has not issued, or reserved for issuance, and will not issue, or reserve for issuance, any of the additional 5,000,000 authorized shares as part of the Share Increase Amendment unless the vote at the special or annual meeting of the Company’s stockholders is in favor of the ratification of the Share Increase Amendment.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May 31, 2017, the Company repurchased and retired 14,525 shares of its common stock at a price of $13.51 per share.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ind w:right="140"/>
        <w:spacing w:after="0" w:line="277" w:lineRule="auto"/>
        <w:rPr>
          <w:sz w:val="20"/>
          <w:szCs w:val="20"/>
          <w:color w:val="auto"/>
        </w:rPr>
      </w:pPr>
      <w:r>
        <w:rPr>
          <w:rFonts w:ascii="Arial" w:cs="Arial" w:eastAsia="Arial" w:hAnsi="Arial"/>
          <w:sz w:val="18"/>
          <w:szCs w:val="18"/>
          <w:color w:val="auto"/>
        </w:rPr>
        <w:t>During the nine months ended May 31, 2017, stock options to purchase an aggregate of 4,000 shares of common stock were exercised at a weighted average exercise price of $10.25 per share.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nine months ended May 31, 2017, the Company granted stock options under the 2007 Plan to purchase an aggregate of 56,677 shares of its common stock to various employees and directors. The weighted average per share exercise price of the stock options was $13.40, which was equal to the fair market value of the Company’s common stock on the date of grant.</w:t>
      </w:r>
    </w:p>
    <w:p>
      <w:pPr>
        <w:spacing w:after="0" w:line="1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earnings per share computation: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vMerge w:val="restart"/>
          </w:tcPr>
          <w:p>
            <w:pPr>
              <w:spacing w:after="0"/>
              <w:rPr>
                <w:sz w:val="20"/>
                <w:szCs w:val="20"/>
                <w:color w:val="auto"/>
              </w:rPr>
            </w:pPr>
            <w:r>
              <w:rPr>
                <w:rFonts w:ascii="Arial" w:cs="Arial" w:eastAsia="Arial" w:hAnsi="Arial"/>
                <w:sz w:val="18"/>
                <w:szCs w:val="18"/>
                <w:color w:val="auto"/>
              </w:rPr>
              <w:t>Numerators: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May 31, 2018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2,142,752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1,352,416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4,559,225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2,037,021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Denominators: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 shares outstanding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4,539,353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4,526,771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4,538,838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4,528,523</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Weighted shares assumed upon exercise of stock options</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167,679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125,009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42,872</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Diluted – weighted shares outstanding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4,707,032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4,591,527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4,663,847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4,571,395</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Basic income per share:</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0.47</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0.46</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 There were no shares excluded from the computation of diluted income per share for the three and nine months ended May 31, 2018. Excluded from the computation of diluted earnings per share for the three and nine months ended May 31, 2017 were options outstanding to purchase 48,067 shares of common stock.</w:t>
      </w:r>
    </w:p>
    <w:p>
      <w:pPr>
        <w:spacing w:after="0" w:line="174"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(ESPP). The Compensation Committee of the Board of Directors and the Board of Directors administer these plans.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May 31, 2018, only stock options and stock bonuses had been granted under the 2007 Plan.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granted options to purchase an aggregate of 47,252 and 56,677 shares of its common stock during the nine months ended May 31, 2018 and 2017, respectively. The fair value of option grants is determined at date of grant, using the Black-Scholes option pricing model with the assumptions listed below. The Company recognized compensation expense of $309,473 and $293,748 during the nine months ended May 31, 2018 and 2017, respectively, related to the options that vested during such time period. As of May 31, 2018, the total compensation cost for nonvested options not yet recognized in the Company’s consolidated statements of operations was $322,402. Stock-based compensation expense of $103,267 is expected through the remainder of fiscal year 2018, and $153,901 and $65,234 is expected to be recognized during fiscal 2019 and fiscal 2020, respectively, based on outstanding options as of May 31, 2018. Future option grants will impact the compensation expense recognized. Stock-based compensation expense is included in general and administrative expense on the consolidated statements of operations.</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260" w:type="dxa"/>
            <w:vAlign w:val="bottom"/>
            <w:tcBorders>
              <w:bottom w:val="single" w:sz="8" w:color="auto"/>
            </w:tcBorders>
            <w:gridSpan w:val="3"/>
          </w:tcPr>
          <w:p>
            <w:pPr>
              <w:ind w:left="1720"/>
              <w:spacing w:after="0"/>
              <w:rPr>
                <w:sz w:val="20"/>
                <w:szCs w:val="20"/>
                <w:color w:val="auto"/>
              </w:rPr>
            </w:pPr>
            <w:r>
              <w:rPr>
                <w:rFonts w:ascii="Arial" w:cs="Arial" w:eastAsia="Arial" w:hAnsi="Arial"/>
                <w:sz w:val="18"/>
                <w:szCs w:val="18"/>
                <w:b w:val="1"/>
                <w:bCs w:val="1"/>
                <w:color w:val="auto"/>
                <w:w w:val="90"/>
              </w:rPr>
              <w:t>Nine Months Ended</w:t>
            </w:r>
          </w:p>
        </w:tc>
        <w:tc>
          <w:tcPr>
            <w:tcW w:w="174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2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2"/>
              </w:rPr>
              <w:t>May 31, 2018</w:t>
            </w:r>
          </w:p>
        </w:tc>
        <w:tc>
          <w:tcPr>
            <w:tcW w:w="1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May 31, 2017</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2.18%</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ind w:right="630"/>
              <w:spacing w:after="0"/>
              <w:rPr>
                <w:sz w:val="20"/>
                <w:szCs w:val="20"/>
                <w:color w:val="auto"/>
              </w:rPr>
            </w:pPr>
            <w:r>
              <w:rPr>
                <w:rFonts w:ascii="Arial" w:cs="Arial" w:eastAsia="Arial" w:hAnsi="Arial"/>
                <w:sz w:val="18"/>
                <w:szCs w:val="18"/>
                <w:color w:val="auto"/>
                <w:w w:val="90"/>
              </w:rPr>
              <w:t>0.00%</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Expected volatility</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45.9%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tcPr>
          <w:p>
            <w:pPr>
              <w:jc w:val="center"/>
              <w:ind w:right="630"/>
              <w:spacing w:after="0"/>
              <w:rPr>
                <w:sz w:val="20"/>
                <w:szCs w:val="20"/>
                <w:color w:val="auto"/>
              </w:rPr>
            </w:pPr>
            <w:r>
              <w:rPr>
                <w:rFonts w:ascii="Arial" w:cs="Arial" w:eastAsia="Arial" w:hAnsi="Arial"/>
                <w:sz w:val="18"/>
                <w:szCs w:val="18"/>
                <w:color w:val="auto"/>
                <w:w w:val="90"/>
              </w:rPr>
              <w:t>46.4%</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3260" w:type="dxa"/>
            <w:vAlign w:val="bottom"/>
            <w:gridSpan w:val="3"/>
            <w:shd w:val="clear" w:color="auto" w:fill="CCEEFF"/>
          </w:tcPr>
          <w:p>
            <w:pPr>
              <w:jc w:val="center"/>
              <w:ind w:right="800"/>
              <w:spacing w:after="0"/>
              <w:rPr>
                <w:sz w:val="20"/>
                <w:szCs w:val="20"/>
                <w:color w:val="auto"/>
              </w:rPr>
            </w:pPr>
            <w:r>
              <w:rPr>
                <w:rFonts w:ascii="Arial" w:cs="Arial" w:eastAsia="Arial" w:hAnsi="Arial"/>
                <w:sz w:val="18"/>
                <w:szCs w:val="18"/>
                <w:color w:val="auto"/>
                <w:w w:val="89"/>
              </w:rPr>
              <w:t>10 years</w:t>
            </w:r>
          </w:p>
        </w:tc>
        <w:tc>
          <w:tcPr>
            <w:tcW w:w="1740" w:type="dxa"/>
            <w:vAlign w:val="bottom"/>
            <w:shd w:val="clear" w:color="auto" w:fill="CCEEFF"/>
          </w:tcPr>
          <w:p>
            <w:pPr>
              <w:jc w:val="center"/>
              <w:ind w:right="610"/>
              <w:spacing w:after="0"/>
              <w:rPr>
                <w:sz w:val="20"/>
                <w:szCs w:val="20"/>
                <w:color w:val="auto"/>
              </w:rPr>
            </w:pPr>
            <w:r>
              <w:rPr>
                <w:rFonts w:ascii="Arial" w:cs="Arial" w:eastAsia="Arial" w:hAnsi="Arial"/>
                <w:sz w:val="18"/>
                <w:szCs w:val="18"/>
                <w:color w:val="auto"/>
                <w:w w:val="86"/>
              </w:rPr>
              <w:t>10 years</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1.87%</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tcPr>
          <w:p>
            <w:pPr>
              <w:jc w:val="center"/>
              <w:ind w:right="630"/>
              <w:spacing w:after="0"/>
              <w:rPr>
                <w:sz w:val="20"/>
                <w:szCs w:val="20"/>
                <w:color w:val="auto"/>
              </w:rPr>
            </w:pPr>
            <w:r>
              <w:rPr>
                <w:rFonts w:ascii="Arial" w:cs="Arial" w:eastAsia="Arial" w:hAnsi="Arial"/>
                <w:sz w:val="18"/>
                <w:szCs w:val="18"/>
                <w:color w:val="auto"/>
                <w:w w:val="90"/>
              </w:rPr>
              <w:t>1.63%</w:t>
            </w:r>
          </w:p>
        </w:tc>
      </w:tr>
    </w:tbl>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weighted average per share fair value of options granted during the nine months ended May 31, 2018 and 2017 was $7.75 and $7.69, respectively. The weighted average remaining contractual life of the options outstanding as of May 31, 2018 and 2017 was 6.52 years and 6.73 years, respectively.</w:t>
      </w:r>
    </w:p>
    <w:p>
      <w:pPr>
        <w:spacing w:after="0" w:line="120"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sets forth the Company’s net sales for the three and nine months ended May 31, 2018 and 2017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3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May 31, 2018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10,382,884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8,368,487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30,102,080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23,681,192</w:t>
            </w:r>
          </w:p>
        </w:tc>
      </w:tr>
      <w:tr>
        <w:trPr>
          <w:trHeight w:val="230"/>
        </w:trPr>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Natur-Tec® net sales</w:t>
            </w:r>
          </w:p>
        </w:tc>
        <w:tc>
          <w:tcPr>
            <w:tcW w:w="15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2,540,953</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1,854,532</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6,578,770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4,986,753</w:t>
            </w:r>
          </w:p>
        </w:tc>
      </w:tr>
      <w:tr>
        <w:trPr>
          <w:trHeight w:val="237"/>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12,923,837</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10,223,019</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36,680,850</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28,667,945</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and nine months ended May 31, 2018 and 2017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May 31, 2018</w:t>
            </w:r>
          </w:p>
        </w:tc>
        <w:tc>
          <w:tcPr>
            <w:tcW w:w="12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Segment</w:t>
            </w:r>
          </w:p>
        </w:tc>
        <w:tc>
          <w:tcPr>
            <w:tcW w:w="14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May 31, 2017</w:t>
            </w:r>
          </w:p>
        </w:tc>
        <w:tc>
          <w:tcPr>
            <w:tcW w:w="1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 of Segment</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May 31, 2018</w:t>
            </w: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 of Segment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May 31, 2017</w:t>
            </w:r>
          </w:p>
        </w:tc>
        <w:tc>
          <w:tcPr>
            <w:tcW w:w="1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 of Segment</w:t>
            </w:r>
          </w:p>
        </w:tc>
        <w:tc>
          <w:tcPr>
            <w:tcW w:w="0" w:type="dxa"/>
            <w:vAlign w:val="bottom"/>
          </w:tcPr>
          <w:p>
            <w:pPr>
              <w:spacing w:after="0"/>
              <w:rPr>
                <w:sz w:val="1"/>
                <w:szCs w:val="1"/>
                <w:color w:val="auto"/>
              </w:rPr>
            </w:pPr>
          </w:p>
        </w:tc>
      </w:tr>
      <w:tr>
        <w:trPr>
          <w:trHeight w:val="171"/>
        </w:trPr>
        <w:tc>
          <w:tcPr>
            <w:tcW w:w="3340" w:type="dxa"/>
            <w:vAlign w:val="bottom"/>
            <w:vMerge w:val="restart"/>
          </w:tcPr>
          <w:p>
            <w:pPr>
              <w:spacing w:after="0"/>
              <w:rPr>
                <w:sz w:val="20"/>
                <w:szCs w:val="20"/>
                <w:color w:val="auto"/>
              </w:rPr>
            </w:pPr>
            <w:r>
              <w:rPr>
                <w:rFonts w:ascii="Arial" w:cs="Arial" w:eastAsia="Arial" w:hAnsi="Arial"/>
                <w:sz w:val="14"/>
                <w:szCs w:val="14"/>
                <w:color w:val="auto"/>
              </w:rPr>
              <w:t>Direct cost of goods sold</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209"/>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9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Sales*</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9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42"/>
        </w:trPr>
        <w:tc>
          <w:tcPr>
            <w:tcW w:w="334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ZERUST®</w:t>
            </w: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6,139,699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59.1%</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4,834,355</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57.8%</w:t>
            </w:r>
          </w:p>
        </w:tc>
        <w:tc>
          <w:tcPr>
            <w:tcW w:w="10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$ 17,948,941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2"/>
              </w:rPr>
              <w:t>$ 13,788,416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Natur-Tec®</w:t>
            </w:r>
          </w:p>
        </w:tc>
        <w:tc>
          <w:tcPr>
            <w:tcW w:w="1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1,812,084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1,327,323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71.6%</w:t>
            </w:r>
          </w:p>
        </w:tc>
        <w:tc>
          <w:tcPr>
            <w:tcW w:w="10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4,738,523</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72.0%</w:t>
            </w:r>
          </w:p>
        </w:tc>
        <w:tc>
          <w:tcPr>
            <w:tcW w:w="12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3,608,722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Indirect cost of goods sold</w:t>
            </w: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640,583</w:t>
            </w: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612,323</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1,806,208</w:t>
            </w: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1,859,815</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20"/>
                <w:szCs w:val="20"/>
                <w:color w:val="auto"/>
              </w:rPr>
            </w:pPr>
            <w:r>
              <w:rPr>
                <w:rFonts w:ascii="Arial" w:cs="Arial" w:eastAsia="Arial" w:hAnsi="Arial"/>
                <w:sz w:val="14"/>
                <w:szCs w:val="14"/>
                <w:color w:val="auto"/>
              </w:rPr>
              <w:t>Total net cost of goods sold</w:t>
            </w: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8,592,366</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6,774,001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$ 24,493,672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w w:val="92"/>
              </w:rPr>
              <w:t>$ 19,256,953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w:t>
      </w:r>
    </w:p>
    <w:p>
      <w:pPr>
        <w:spacing w:after="0" w:line="211" w:lineRule="exact"/>
        <w:rPr>
          <w:sz w:val="20"/>
          <w:szCs w:val="20"/>
          <w:color w:val="auto"/>
        </w:rPr>
      </w:pPr>
    </w:p>
    <w:p>
      <w:pPr>
        <w:ind w:left="380" w:right="580" w:hanging="372"/>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for the three and nine months ended May 31, 2018 and 2017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43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May 31, 2018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7,434,991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5,967,459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19,771,031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16,363,291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Outside the U.S.A. to:</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2"/>
        </w:trPr>
        <w:tc>
          <w:tcPr>
            <w:tcW w:w="4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Joint ventures in which the Company is a shareholder</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directly and indirectly</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879,324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862,136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2,201,077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2,115,511</w:t>
            </w:r>
          </w:p>
        </w:tc>
      </w:tr>
      <w:tr>
        <w:trPr>
          <w:trHeight w:val="230"/>
        </w:trPr>
        <w:tc>
          <w:tcPr>
            <w:tcW w:w="4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4,609,522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3,393,424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14,708,742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10,189,143</w:t>
            </w:r>
          </w:p>
        </w:tc>
      </w:tr>
      <w:tr>
        <w:trPr>
          <w:trHeight w:val="223"/>
        </w:trPr>
        <w:tc>
          <w:tcPr>
            <w:tcW w:w="43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12,923,837</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10,223,019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36,680,850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28,667,945</w:t>
            </w:r>
          </w:p>
        </w:tc>
      </w:tr>
      <w:tr>
        <w:trPr>
          <w:trHeight w:val="20"/>
        </w:trPr>
        <w:tc>
          <w:tcPr>
            <w:tcW w:w="4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40"/>
        <w:spacing w:after="0" w:line="308" w:lineRule="auto"/>
        <w:rPr>
          <w:sz w:val="20"/>
          <w:szCs w:val="20"/>
          <w:color w:val="auto"/>
        </w:rPr>
      </w:pPr>
      <w:r>
        <w:rPr>
          <w:rFonts w:ascii="Arial" w:cs="Arial" w:eastAsia="Arial" w:hAnsi="Arial"/>
          <w:sz w:val="17"/>
          <w:szCs w:val="17"/>
          <w:color w:val="auto"/>
        </w:rPr>
        <w:t>Net sales by geographic location are based on the location of the customer. Fees for services provided to joint ventures by geographic location as a percentage of total fees for services provided to joint ventures during the three and nine months ended May 31, 2018 and 2017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640" w:type="dxa"/>
            <w:vAlign w:val="bottom"/>
            <w:tcBorders>
              <w:bottom w:val="single" w:sz="8" w:color="auto"/>
            </w:tcBorders>
          </w:tcPr>
          <w:p>
            <w:pPr>
              <w:spacing w:after="0"/>
              <w:rPr>
                <w:sz w:val="20"/>
                <w:szCs w:val="20"/>
                <w:color w:val="auto"/>
              </w:rPr>
            </w:pPr>
          </w:p>
        </w:tc>
      </w:tr>
      <w:tr>
        <w:trPr>
          <w:trHeight w:val="191"/>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 for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Services Provided to</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Services Provided to</w:t>
            </w:r>
          </w:p>
        </w:tc>
      </w:tr>
      <w:tr>
        <w:trPr>
          <w:trHeight w:val="234"/>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 2018</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31, 2017</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Joint Ventures</w:t>
            </w:r>
          </w:p>
        </w:tc>
      </w:tr>
      <w:tr>
        <w:trPr>
          <w:trHeight w:val="210"/>
        </w:trPr>
        <w:tc>
          <w:tcPr>
            <w:tcW w:w="4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224,366</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212,257</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Poland</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185,107</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180,969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183,335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153,903</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Sweden</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155,588</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150,139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146,949</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112,455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Thailand</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110,894</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104,771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Czech Republic</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100,131</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74,135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Korea</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96,574</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92,954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Finland</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81,402</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78,012</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80,931</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87,768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India</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49,778</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90,469</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93,445</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104,216</w:t>
            </w: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1,508,500</w:t>
            </w: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1,442,048</w:t>
            </w: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26"/>
        </w:trPr>
        <w:tc>
          <w:tcPr>
            <w:tcW w:w="4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1"/>
              </w:rPr>
              <w:t>Nine Months Ended</w:t>
            </w:r>
          </w:p>
        </w:tc>
        <w:tc>
          <w:tcPr>
            <w:tcW w:w="1640" w:type="dxa"/>
            <w:vAlign w:val="bottom"/>
            <w:tcBorders>
              <w:bottom w:val="single" w:sz="8" w:color="auto"/>
            </w:tcBorders>
          </w:tcPr>
          <w:p>
            <w:pPr>
              <w:spacing w:after="0"/>
              <w:rPr>
                <w:sz w:val="24"/>
                <w:szCs w:val="24"/>
                <w:color w:val="auto"/>
              </w:rPr>
            </w:pPr>
          </w:p>
        </w:tc>
      </w:tr>
      <w:tr>
        <w:trPr>
          <w:trHeight w:val="191"/>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 for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Services Provided to</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Services Provided to</w:t>
            </w:r>
          </w:p>
        </w:tc>
      </w:tr>
      <w:tr>
        <w:trPr>
          <w:trHeight w:val="234"/>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 2018</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31, 2017</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Joint Ventures</w:t>
            </w:r>
          </w:p>
        </w:tc>
      </w:tr>
      <w:tr>
        <w:trPr>
          <w:trHeight w:val="210"/>
        </w:trPr>
        <w:tc>
          <w:tcPr>
            <w:tcW w:w="4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680,939</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614,766</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Poland</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598,221</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483,626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529,412</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445,662</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Sweden</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448,707</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314,664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416,913</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293,240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Thailand</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325,205</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339,852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Czech Republic</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283,193</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218,249</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Korea</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279,524</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284,435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275,137</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227,140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India</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274,980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229,200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Finland</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247,574</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221,294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264,727</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269,539</w:t>
            </w: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4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4,624,532</w:t>
            </w: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3,941,667</w:t>
            </w: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geographical distribution of key financial statement data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At May 31, 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At August 31, 2017</w:t>
            </w:r>
          </w:p>
        </w:tc>
      </w:tr>
      <w:tr>
        <w:trPr>
          <w:trHeight w:val="210"/>
        </w:trPr>
        <w:tc>
          <w:tcPr>
            <w:tcW w:w="5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China</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251,848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228,458</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81,161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54,646</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India</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21,628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14,712</w:t>
            </w: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6,868,515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7,047,675</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7,233,307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7,359,662</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29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May 31, 2018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r>
      <w:tr>
        <w:trPr>
          <w:trHeight w:val="21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China</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3,069,232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1,695,508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9,176,174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4,991,807</w:t>
            </w: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Brazil</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853,675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565,089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2,310,131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1,683,255</w:t>
            </w: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India</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564,339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323,551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1,642,633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1,057,132</w:t>
            </w: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Germany</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312,057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161,139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556,859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378,635</w:t>
            </w: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955,418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583,752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2,318,569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2,115,511</w:t>
            </w:r>
          </w:p>
        </w:tc>
      </w:tr>
      <w:tr>
        <w:trPr>
          <w:trHeight w:val="230"/>
        </w:trPr>
        <w:tc>
          <w:tcPr>
            <w:tcW w:w="2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United States</w:t>
            </w: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7,169,116</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6,893,980</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20,676,484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18,441,605</w:t>
            </w:r>
          </w:p>
        </w:tc>
      </w:tr>
      <w:tr>
        <w:trPr>
          <w:trHeight w:val="25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12,923,837</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10,223,019</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36,680,850</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28,667,945</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property and equipment are periodically reviewed to assure the net realizable value from the estimated future production based on forecasted sales exceeds the carrying value of the assets.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 products and services.</w:t>
      </w:r>
    </w:p>
    <w:p>
      <w:pPr>
        <w:spacing w:after="0" w:line="244"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August 31, 2017, the Compensation Committee of the Board of Directors of the Company approved the material terms of an annual bonus plan for the Company’s executive officers as well as certain officers and employees for the fiscal year ending August 31, 2018. For fiscal 2018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Adjusted EBITOI for fiscal 2018 compared to a pre-established target EBITOI for fiscal 2018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will be determined by the Company’s Board of Directors, upon recommendation of the Compensation Committee, after the completion of the Company’s consolidated financial statements for fiscal 2018. There was $1,380,000 accrued for management bonuses for the nine months ended May 31, 2018 compared to $600,000 accrued for management bonuses for the nine months ended May 31, 2017.</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Three joint ventures (consisting of the Company’s joint ventures in South Korea, India and United States) accounted for 51.8% of the Company’s trade joint venture receivables at May 31, 2018, and three joint ventures (consisting of the Company’s joint ventures in South Korea, Thailand and India) accounted for 60.7% of the Company’s trade joint venture receivables at August 31, 2017.</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May 31, 2018, the amount of liability, if any, with respect to these matters, individually or in the aggregate, will not materially affect the Company’s consolidated results of operations, financial position or cash flows.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8" w:name="page19"/>
    <w:bookmarkEnd w:id="18"/>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6"/>
          </w:tcPr>
          <w:p>
            <w:pPr>
              <w:jc w:val="right"/>
              <w:ind w:right="205"/>
              <w:spacing w:after="0"/>
              <w:rPr>
                <w:sz w:val="20"/>
                <w:szCs w:val="20"/>
                <w:color w:val="auto"/>
              </w:rPr>
            </w:pPr>
            <w:r>
              <w:rPr>
                <w:rFonts w:ascii="Arial" w:cs="Arial" w:eastAsia="Arial" w:hAnsi="Arial"/>
                <w:sz w:val="18"/>
                <w:szCs w:val="18"/>
                <w:b w:val="1"/>
                <w:bCs w:val="1"/>
                <w:color w:val="auto"/>
              </w:rPr>
              <w:t>Fair Value Measurements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Fair value as of</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w w:val="89"/>
              </w:rPr>
              <w:t>Using Inputs Considered as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May 31, 2018</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3,282,915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3,282,915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91"/>
              </w:rPr>
              <w:t>Fair Value Measurements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Fair value as of</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w w:val="89"/>
              </w:rPr>
              <w:t>Using Inputs Considered as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August 31, 2017</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3,766,984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3,766,984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and nine months ended May 31, 2018 and 2017.</w:t>
      </w:r>
    </w:p>
    <w:p>
      <w:pPr>
        <w:spacing w:after="0" w:line="221"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57175" cy="617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175" cy="61722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4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r>
      <w:tr>
        <w:trPr>
          <w:trHeight w:val="223"/>
        </w:trPr>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r>
      <w:tr>
        <w:trPr>
          <w:trHeight w:val="243"/>
        </w:trPr>
        <w:tc>
          <w:tcPr>
            <w:tcW w:w="474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4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r>
      <w:tr>
        <w:trPr>
          <w:trHeight w:val="223"/>
        </w:trPr>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w:t>
            </w:r>
          </w:p>
        </w:tc>
      </w:tr>
      <w:tr>
        <w:trPr>
          <w:trHeight w:val="243"/>
        </w:trPr>
        <w:tc>
          <w:tcPr>
            <w:tcW w:w="474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257175"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7175" cy="617220"/>
                    </a:xfrm>
                    <a:prstGeom prst="rect">
                      <a:avLst/>
                    </a:prstGeom>
                    <a:noFill/>
                  </pic:spPr>
                </pic:pic>
              </a:graphicData>
            </a:graphic>
          </wp:anchor>
        </w:drawing>
      </w:r>
    </w:p>
    <w:p>
      <w:pPr>
        <w:spacing w:after="0" w:line="394"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or Tax Reform Act. The Tax Reform Act makes broad and complex changes to the U.S. tax code that will affect the Company’s fiscal year ending August 31 2018, including, but not limited to, reducing the U.S. federal corporate tax rate from 35% to 21% effective January 1, 2018, generally eliminating U.S. federal income taxes on dividends received from foreign subsidiaries and joint ventures after December 31, 2017, and imposing a one-time deemed repatriation tax on certain unremitted earnings of foreign subsidiaries and joint ventures. The Company will be subject to a blended U.S. federal tax rate of 25.7% for the fiscal year ending August 31, 2018 as a result of the reduction of the U.S. federal corporate tax rate from 35% to 21% effective January 1, 2018.</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spacing w:after="0" w:line="257" w:lineRule="auto"/>
        <w:rPr>
          <w:sz w:val="20"/>
          <w:szCs w:val="20"/>
          <w:color w:val="auto"/>
        </w:rPr>
      </w:pPr>
      <w:r>
        <w:rPr>
          <w:rFonts w:ascii="Arial" w:cs="Arial" w:eastAsia="Arial" w:hAnsi="Arial"/>
          <w:sz w:val="18"/>
          <w:szCs w:val="18"/>
          <w:color w:val="auto"/>
        </w:rPr>
        <w:t xml:space="preserve">The Company recognized the income tax effects of the Tax Reform Act in its 2018 interim consolidated financial statements in accordance with SAB No. 118, which provides SEC staff guidance for the application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in the reporting period in which the Tax Reform Act was signed into law. As such, the Company’s financial results reflect the income tax effects of the Tax Reform Act for which the accounting under ASC Topic 740 is complete and provisional amounts for those specific income tax effects of the Tax Reform Act for which the accounting under ASC Topic 740 is incomplete but a reasonable estimate could be determined.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recorded income tax expense during the three and nine months ended May 31, 2018 of $181,683 and $1,128,583, respectively, compared to $237,801 and $480,423 for the three and nine months ended May 31, 2017.</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measures deferred tax assets and liabilities using enacted tax rates that will apply in the years in which the temporary differences are expected to be recovered or paid. Accordingly, the Company’s deferred tax assets and liabilities were re-measured to reflect the reduction in the U.S. corporate income tax rate from 35% to 21% effective January 1, 2018, resulting in an increase of $700,000 in income tax expense for the nine months ended May 31, 2018 and a corresponding decrease of $700,000 in net deferred tax assets as of May 31, 2018 compared to August 31, 2017. The $700,000 income tax expense and corresponding decrease in net deferred tax assets represents a provisional estimate based on the Company’s current interpretation of the Tax Reform Act and may change as the Company receives additional clarification and implementation guidance. No changes were recorded during the three months ended May 31, 2018.</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one-time deemed repatriation tax is applicable to the unremitted earnings of the Company’s foreign subsidiaries and joint ventures. The Company calculated deemed repatriation tax of $489,000, which the Company expects to fully offset with foreign tax credit carryforwards for which the Company has not previously recognized a tax benefit. As a result, the transition tax resulted in zero increase in income tax expense and income taxes payable for the nine months ended May 31, 2018. The $489,000 transition tax on deemed repatriation of unremitted foreign earnings represents a provisional estimate and is subject to adjustment during the measurement period of up to one year following the December 2017 enactment date of the Tax Reform Act, as provided by recent SEC guidance. No adjustments were recorded during the three months ended May 31, 2018.</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continues to analyze the impact of other provisions of the Tax Reform Act on its financial statements and operations, including the impact of the global intangible low-taxed income (GILTI) rules, and the impact of the Tax Reform Act on the Company’s indefinite reinvestment assertion with respect to the undistributed earnings of certain foreign subsidiaries and joint ventures. Any additional impacts from the enactment of the Tax Reform Act will be recorded as they are identified during the measurement period as provided for in accordance with SAB No. 118.</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 w:name="page21"/>
    <w:bookmarkEnd w:id="20"/>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Management’s Discussion and Analysis of Financial Condition and Results of Operations—Forward-Looking 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2017. The 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2" w:lineRule="exact"/>
        <w:rPr>
          <w:sz w:val="20"/>
          <w:szCs w:val="20"/>
          <w:color w:val="auto"/>
        </w:rPr>
      </w:pPr>
    </w:p>
    <w:p>
      <w:pPr>
        <w:ind w:right="4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ind w:right="14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4"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ind w:right="80"/>
        <w:spacing w:after="0" w:line="217"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 w:name="page22"/>
    <w:bookmarkEnd w:id="21"/>
    <w:p>
      <w:pPr>
        <w:ind w:right="8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6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18"/>
          <w:szCs w:val="18"/>
          <w:color w:val="auto"/>
        </w:rPr>
        <w:t>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majority-owned subsidiary in India, Natur-Tec India Private Limited (Natur-Tec India), and through distributors and certain joint ventures.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NTIC has ownership interests in six subsidiaries in North America, South America, Europe and Asia. The following table sets forth a list of NTIC’s operating subsidiaries as of May 31, 2018, the country in which the subsidiary is organized and NTIC’s ownership percentage in each subsidiary: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34"/>
        </w:trPr>
        <w:tc>
          <w:tcPr>
            <w:tcW w:w="5620" w:type="dxa"/>
            <w:vAlign w:val="bottom"/>
            <w:gridSpan w:val="2"/>
          </w:tcPr>
          <w:p>
            <w:pPr>
              <w:ind w:left="2080"/>
              <w:spacing w:after="0"/>
              <w:rPr>
                <w:sz w:val="20"/>
                <w:szCs w:val="20"/>
                <w:color w:val="auto"/>
              </w:rPr>
            </w:pPr>
            <w:r>
              <w:rPr>
                <w:rFonts w:ascii="Arial" w:cs="Arial" w:eastAsia="Arial" w:hAnsi="Arial"/>
                <w:sz w:val="18"/>
                <w:szCs w:val="18"/>
                <w:b w:val="1"/>
                <w:bCs w:val="1"/>
                <w:color w:val="auto"/>
              </w:rPr>
              <w:t>Subsidiary Name</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 Ownership</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United States</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Brazil</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Mexico</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India</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Germany</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22" w:name="page23"/>
    <w:bookmarkEnd w:id="22"/>
    <w:p>
      <w:pPr>
        <w:ind w:right="46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NTIC’s consolidated net sales increased 26.4% and 28.0% during the three and nine months ended May 31, 2018, respectively, compared to the three and nine months ended May 31, 2017. These increases were primarily a result of increased demand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packaging products and services and the addition of new customers in North America and China and an increase in sales of Natur-Tec® products.</w:t>
      </w:r>
    </w:p>
    <w:p>
      <w:pPr>
        <w:spacing w:after="0" w:line="20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During the three and nine months ended May 31, 2018, 80.3% and 82.1% of NTIC’s consolidated net sales, respectively, were derived from sales of ZERUST® products and services, which increased 24.1% and 27.1% to $10,382,884 and $30,102,080 during the three and nine months ended May 31, 2018, respectively, compared to $8,368,487 and $23,681,192 during the three and nine months ended May 31, 2017, respectively. These increases were due to</w:t>
      </w:r>
    </w:p>
    <w:p>
      <w:pPr>
        <w:ind w:right="100"/>
        <w:spacing w:after="0" w:line="248" w:lineRule="auto"/>
        <w:rPr>
          <w:sz w:val="20"/>
          <w:szCs w:val="20"/>
          <w:color w:val="auto"/>
        </w:rPr>
      </w:pPr>
      <w:r>
        <w:rPr>
          <w:rFonts w:ascii="Arial" w:cs="Arial" w:eastAsia="Arial" w:hAnsi="Arial"/>
          <w:sz w:val="17"/>
          <w:szCs w:val="17"/>
          <w:color w:val="auto"/>
        </w:rPr>
        <w:t>increased demand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packaging products and services and the addition of new customers in North America and China.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nine months ended May 31, 2018 included $1,418,573 of sales made to customers in the oil and gas industry compared to $1,287,789 for the nine months ended May 31, 2017. Overall demand for ZERUST® products and services depends heavily on the overall health of the markets in which NTIC sells its products, including the automotive, oil and gas, agriculture, and mining markets in particular.</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and nine months ended May 31, 2018, 19.7% and 17.9%, of NTIC’s consolidated net sales, respectively, were derived from sales of Natur-Tec® products compared to 18.1% and 17.4% during the three and nine months ended May 31, 2017, respectively. Net sales of Natur-Tec® products increased 37.0% and 31.9% during the three and nine months ended May 31, 2018, respectively, compared to the three and nine months ended May 31, 2017, primarily due to an increase in finished product sales in North America and finished product sales at NTIC’s majority owned subsidiary in India, Natur-Tec India Private Limited (Natur-Tec India).</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Cost of goods sold as a percentage of net sales increased slightly to 66.5% during the three months ended May 31, 2018 compared to 66.3% during the three months ended May 31, 2017 and decreased slightly to 66.8% during the nine months ended May 31, 2018 compared to 67.2% during the prior fiscal year period, primarily due to product mix and the different gross profits realized on different products.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NTIC’s equity in income from joint ventures increased 33.2% and 33.4% to $2,246,066 and $5,793,391, respectively, during the three and nine months ended May 31, 2018 compared to $1,686,016 and $4,343,159 during the three and nine months ended May 31, 2017, respectively. These increases were primarily due to corresponding increases in net sales at the joint ventures, which increased 21.4% and 23.4% to $31,480,885 and $90,200,146 during the three and nine months ended May 31, 2018, respectively, compared to $25,935,169 and $73,098,215 for the three and nine months ended May 31, 2017, respectively, as well as a strengthened Euro and other currencies compared to the U.S. Dollar. The increases in net sales of NTIC’s joint ventures were due primarily to higher sales from existing customers for new and existing products as a result of increased demand.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100"/>
        <w:spacing w:after="0" w:line="273" w:lineRule="auto"/>
        <w:rPr>
          <w:sz w:val="20"/>
          <w:szCs w:val="20"/>
          <w:color w:val="auto"/>
        </w:rPr>
      </w:pPr>
      <w:r>
        <w:rPr>
          <w:rFonts w:ascii="Arial" w:cs="Arial" w:eastAsia="Arial" w:hAnsi="Arial"/>
          <w:sz w:val="17"/>
          <w:szCs w:val="17"/>
          <w:color w:val="auto"/>
        </w:rPr>
        <w:t>NTIC’s total operating expenses increased 16.2% and 12.1% to $5,632,826 and $16,622,849 during the three and nine months ended May 31, 2018, respectively, compared to $4,847,144 and $14,831,577 for the three and nine months ended May 31, 2017. These increases were primarily due to an increase in NTIC’s personnel expenses, including an increase in the management bonus accrual of $780,000. Operating expenses, as a percent of net sales, for the three months ended May 31, 2018 were 43.6%, compared to 47.4% for the same period last fiscal year and for the nine months ended May 31, 2018 were 45.3%, compared to 51.7% for the same period last fiscal year. These reductions in operating expenses, as a percent of net sales were primarily due to significantly higher net sales, partially offset by higher operating expenses.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NTIC spent $860,347 and $2,581,824 during the three and nine months ended May 31, 2018 compared to $733,651 and $2,118,210 during the three and nine months ended May 31, 2017, respectively, in connection with its research and development activities. NTIC anticipates that it will spend a total of between $3,200,000 and $3,600,000 in fiscal 2018 on research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NTIC increased to $2,142,752, or $0.46 per diluted common share, for the three months ended May 31, 2018 compared to</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$1,352,416, or $0.30 per diluted common share, for the three months ended May 31, 2017, an increase of $790,336 or $0.16 per diluted share. Net income attributable to NTIC increased 123.7%, to $4,559,225, or $0.98 per diluted common share, for the nine months ended May 31, 2018 compared to $2,039,021, or $0.45 per diluted common share, for the nine months ended May 31, 2017, an increase of $2,520,204 or $0.53 per diluted share. These increases were primarily the result of the increases in net sales and corresponding gross profit, as well as the increases in income from joint venture operations, partially offset by the increase in operating expenses, as previously described. The increase for the nine-month comparison was partially offset by the significant impact of the $700,000 one-time provisional adjustment related to the Tax Cuts and Jobs Act (Tax Reform Act), as described in more detail below.</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NTIC anticipates that its quarterly net income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remain volatile primarily as a result of the changes in its Chinese operations.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NTIC’s working capital, as defined as current assets less current liabilities, was $22,812,170 at May 31, 2018, including $4,610,325 in cash and cash equivalents and $3,282,915 in available for sale securities, compared to $21,173,001 at August 31, 2017, including $6,360,201 in cash and cash equivalents and $3,766,984 in available for sale securities.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nine months ended May 31, 2018, the Company’s Board of Directors declared cash dividends on the following dates in the following amounts to the following holders of the Company’s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Amount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20, 2017</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8, 2017</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21, 2017</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24, 2018</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8,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16"/>
        </w:trPr>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25, 2018</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w:t>
            </w: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9, 2018</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2018</w:t>
            </w: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cash dividends were declared by NTIC’s Board of Directors during the fiscal year ended August 31, 2017. Although NTIC’s Board of Directors intends to continue to declare regular quarterly cash dividends,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780" w:type="dxa"/>
            <w:vAlign w:val="bottom"/>
            <w:gridSpan w:val="11"/>
          </w:tcPr>
          <w:p>
            <w:pPr>
              <w:spacing w:after="0"/>
              <w:rPr>
                <w:sz w:val="20"/>
                <w:szCs w:val="20"/>
                <w:color w:val="auto"/>
              </w:rPr>
            </w:pPr>
            <w:r>
              <w:rPr>
                <w:rFonts w:ascii="Arial" w:cs="Arial" w:eastAsia="Arial" w:hAnsi="Arial"/>
                <w:sz w:val="18"/>
                <w:szCs w:val="18"/>
                <w:color w:val="auto"/>
                <w:w w:val="92"/>
              </w:rPr>
              <w:t>The following tables set forth NTIC’s results of operations for the three and nine months ended May 31, 2018 and 2017.</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6"/>
        </w:trPr>
        <w:tc>
          <w:tcPr>
            <w:tcW w:w="3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1"/>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31, 2018</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Net Sales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May 31, 2017</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Net Sales</w:t>
            </w: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Change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12,044,513</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9,360,883</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2,683,630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879,324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862,136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17,188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8,592,366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6,774,001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1,818,365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2,246,066</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1,686,016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560,050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4"/>
              </w:rPr>
              <w:t>Fees for services provided to joint ventures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1,508,500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1,442,048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66,452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Selling expenses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2,784,694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2,430,824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353,870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1,987,785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1,682,669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305,116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860,347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733,651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126,696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431"/>
        </w:trPr>
        <w:tc>
          <w:tcPr>
            <w:tcW w:w="3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1"/>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31, 2018</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Net Sales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May 31, 2017</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Net Sales</w:t>
            </w: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Change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34,479,773</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26,552,434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7,927,339</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2,201,077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2,115,511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85,566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24,493,672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19,256,953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5,236,719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5,793,391</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4,343,159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1,450,232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4"/>
              </w:rPr>
              <w:t>Fees for services provided to joint ventures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4,624,532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3,941,667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682,865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Selling expenses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8,028,279</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6,716,390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1,311,889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6,012,746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5,996,977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15,769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2,581,824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2,118,210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463,614</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w:t>
            </w:r>
          </w:p>
        </w:tc>
      </w:tr>
    </w:tbl>
    <w:p>
      <w:pPr>
        <w:spacing w:after="0" w:line="18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26.4% and 28.0% to $12,923,837 and $36,680,850 during the three and nine months ended May 31, 2018,</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three and nine months ended May 31, 2017. NTIC’s consolidated net sales to unaffiliated customers excluding NTIC’s joint ventures increased 28.7% and 29.9% to $12,044,513 and $34,479,773, respectively, during the three and nine months ended May 31, 2018, respectively,</w:t>
      </w:r>
    </w:p>
    <w:p>
      <w:pPr>
        <w:spacing w:after="0" w:line="224" w:lineRule="auto"/>
        <w:rPr>
          <w:sz w:val="20"/>
          <w:szCs w:val="20"/>
          <w:color w:val="auto"/>
        </w:rPr>
      </w:pPr>
      <w:r>
        <w:rPr>
          <w:rFonts w:ascii="Arial" w:cs="Arial" w:eastAsia="Arial" w:hAnsi="Arial"/>
          <w:sz w:val="18"/>
          <w:szCs w:val="18"/>
          <w:color w:val="auto"/>
        </w:rPr>
        <w:t>compared to the same respective periods in fiscal 2017. These increases were primarily a result of increased demand from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addition of new customers in North America and China and an increase in sales of Natur-Tec® products. Net sales to joint ventures increased 2.0% and 4.0% to $879,324 and $2,201,077, respectively, during the three and nine months ended May 31, 2018 compared to the same respective periods in fiscal 2017. These increases were primarily a result of increased demand.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the three and nine months ended May 31, 2018 and 2017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4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May 31, 2018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2017</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10,382,884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8,368,487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30,102,080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23,681,192</w:t>
            </w:r>
          </w:p>
        </w:tc>
      </w:tr>
      <w:tr>
        <w:trPr>
          <w:trHeight w:val="23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Natur-Tec® sales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2,540,953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1,854,532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6,578,770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4,986,753</w:t>
            </w:r>
          </w:p>
        </w:tc>
      </w:tr>
      <w:tr>
        <w:trPr>
          <w:trHeight w:val="22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12,923,837</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10,223,019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36,680,850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28,667,945</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During the three and nine months ended May 31, 2018, 80.3% and 82.1% of NTIC’s consolidated net sales, respectively,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increased 24.1% and 27.1% to $10,382,884 and $30,102,080 during the three and nine months ended May 31, 2018, respectively, compared to $8,368,487 and $23,681,192 during the three and nine months ended May 31, 2017, respectively. These increases were due to</w:t>
      </w:r>
    </w:p>
    <w:p>
      <w:pPr>
        <w:spacing w:after="0" w:line="3" w:lineRule="exact"/>
        <w:rPr>
          <w:sz w:val="20"/>
          <w:szCs w:val="20"/>
          <w:color w:val="auto"/>
        </w:rPr>
      </w:pPr>
    </w:p>
    <w:p>
      <w:pPr>
        <w:ind w:right="60"/>
        <w:spacing w:after="0" w:line="206" w:lineRule="auto"/>
        <w:rPr>
          <w:sz w:val="20"/>
          <w:szCs w:val="20"/>
          <w:color w:val="auto"/>
        </w:rPr>
      </w:pPr>
      <w:r>
        <w:rPr>
          <w:rFonts w:ascii="Arial" w:cs="Arial" w:eastAsia="Arial" w:hAnsi="Arial"/>
          <w:sz w:val="16"/>
          <w:szCs w:val="16"/>
          <w:color w:val="auto"/>
        </w:rPr>
        <w:t>increased demand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products and services and the addition of new customers in North America and China and increased demand of ZERUST® oil and gas products and services.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w:t>
      </w:r>
    </w:p>
    <w:p>
      <w:pPr>
        <w:spacing w:after="0" w:line="1"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corrosion problems in industry sectors that offer sizable growth opportunities, including the oil and gas sector. Overall demand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depends heavily on the overall health of the market segments to which NTIC sells its products, including the automotive, oil and gas, agriculture, and mining markets in particular.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three and nine months ended May 31, 2018 and 2017:</w:t>
      </w:r>
    </w:p>
    <w:p>
      <w:pPr>
        <w:spacing w:after="0" w:line="13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1800" w:type="dxa"/>
            <w:vAlign w:val="bottom"/>
            <w:tcBorders>
              <w:bottom w:val="single" w:sz="8" w:color="auto"/>
            </w:tcBorders>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51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ind w:right="49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right"/>
              <w:ind w:right="75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800" w:type="dxa"/>
            <w:vAlign w:val="bottom"/>
          </w:tcPr>
          <w:p>
            <w:pPr>
              <w:jc w:val="right"/>
              <w:ind w:right="75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c>
          <w:tcPr>
            <w:tcW w:w="1800" w:type="dxa"/>
            <w:vAlign w:val="bottom"/>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8,947,847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7,170,802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1,777,045</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3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879,324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862,136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17,188</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555,713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335,549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220,164</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Total ZERUST® net sales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10,382,884</w:t>
            </w:r>
          </w:p>
        </w:tc>
        <w:tc>
          <w:tcPr>
            <w:tcW w:w="1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8,368,487</w:t>
            </w:r>
          </w:p>
        </w:tc>
        <w:tc>
          <w:tcPr>
            <w:tcW w:w="1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2,014,397</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24.1%</w:t>
            </w:r>
          </w:p>
        </w:tc>
      </w:tr>
    </w:tbl>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Nine Months Ended</w:t>
            </w:r>
          </w:p>
        </w:tc>
        <w:tc>
          <w:tcPr>
            <w:tcW w:w="1800" w:type="dxa"/>
            <w:vAlign w:val="bottom"/>
            <w:tcBorders>
              <w:bottom w:val="single" w:sz="8" w:color="auto"/>
            </w:tcBorders>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51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ind w:right="49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right"/>
              <w:ind w:right="75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800" w:type="dxa"/>
            <w:vAlign w:val="bottom"/>
          </w:tcPr>
          <w:p>
            <w:pPr>
              <w:jc w:val="right"/>
              <w:ind w:right="75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c>
          <w:tcPr>
            <w:tcW w:w="1800" w:type="dxa"/>
            <w:vAlign w:val="bottom"/>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26,482,430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20,277,892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6,204,538</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3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2,201,077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2,115,511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85,566</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1,418,573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1,287,789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130,784</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rPr>
              <w:t>Total ZERUST® net sales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30,102,080</w:t>
            </w:r>
          </w:p>
        </w:tc>
        <w:tc>
          <w:tcPr>
            <w:tcW w:w="1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23,681,192</w:t>
            </w:r>
          </w:p>
        </w:tc>
        <w:tc>
          <w:tcPr>
            <w:tcW w:w="1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6,420,888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27.1%</w:t>
            </w:r>
          </w:p>
        </w:tc>
      </w:tr>
    </w:tbl>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Demand for ZERUST®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 NTIC anticipates that its sales of ZERUST® products and services into the oil and gas industry will continue to remain volatile from quarter to quarter as sales are recognized due to the average order size and the timing of sales, as well as oil prices.</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three and nine months ended May 31, 2018, 19.7% and 17.9% of NTIC’s consolidated net sales, respectively, were derived from sales of Natur-Tec® products, which increased 37.0% and 31.9% to $2,540,953 and $6,578,770 during the three and nine months ended May 31, 2018, respectively, compared to the three and nine months ended May 31, 2017. These increases were primarily due to an increase in finished product sales in North America and finished product sales at NTIC’s majority-owned subsidiary in India, Natur-Tec India Private Limited (Natur-Tec India).</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increased 26.8% and 27.2% for the three and nine months ended May 31, 2018, respectively,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nine months ended May 31, 2017. These increases were primarily a result of the corresponding increased sales levels. Cost of goods sold as a percentage of net sales increased slightly to 66.5% during the three months ended May 31, 2018 compared to 66.3% during the three months ended May 31, 2017 and decreased slightly to 66.8% during the nine months ended May 31, 2018 compared to 67.2% during the nine months ended May 31, 2017 primarily due to product mix and the different gross profits realized on different products.</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Equity in Income from Joint Ventures. </w:t>
      </w:r>
      <w:r>
        <w:rPr>
          <w:rFonts w:ascii="Arial" w:cs="Arial" w:eastAsia="Arial" w:hAnsi="Arial"/>
          <w:sz w:val="17"/>
          <w:szCs w:val="17"/>
          <w:color w:val="auto"/>
        </w:rPr>
        <w:t>NTIC’s equity in income from joint ventures increased 33.2% and 33.4% to $2,246,066 and $5,793,391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nine months ended May 31, 2018, respectively, compared to $1,686,016 and $4,343,159 during the three and nine months ended May 31, 2017, respectively. These increases were primarily a result of improved profitability at the joint ventures. Of the total equity in income from joint ventures, NTIC had equity in income from joint ventures of $4,138,814 attributable to EXCOR during the nine months ended May 31, 2018 compared to $3,089,935 during the nine months ended May 31, 2017. NTIC had equity in income from all other joint ventures of $1,654,577 during the nine months ended May 31, 2018 compared to $1,253,224 during the nine months ended May 31, 2017.</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345" w:right="339" w:bottom="1440" w:gutter="0" w:footer="0" w:header="0"/>
        </w:sectPr>
      </w:pPr>
    </w:p>
    <w:bookmarkStart w:id="26" w:name="page27"/>
    <w:bookmarkEnd w:id="26"/>
    <w:p>
      <w:pPr>
        <w:ind w:right="80"/>
        <w:spacing w:after="0" w:line="271" w:lineRule="auto"/>
        <w:rPr>
          <w:sz w:val="20"/>
          <w:szCs w:val="20"/>
          <w:color w:val="auto"/>
        </w:rPr>
      </w:pPr>
      <w:r>
        <w:rPr>
          <w:rFonts w:ascii="Arial" w:cs="Arial" w:eastAsia="Arial" w:hAnsi="Arial"/>
          <w:sz w:val="17"/>
          <w:szCs w:val="17"/>
          <w:i w:val="1"/>
          <w:iCs w:val="1"/>
          <w:color w:val="auto"/>
        </w:rPr>
        <w:t xml:space="preserve">Fees for Services Provided to Joint Ventures. </w:t>
      </w:r>
      <w:r>
        <w:rPr>
          <w:rFonts w:ascii="Arial" w:cs="Arial" w:eastAsia="Arial" w:hAnsi="Arial"/>
          <w:sz w:val="17"/>
          <w:szCs w:val="17"/>
          <w:color w:val="auto"/>
        </w:rPr>
        <w:t>NTIC recognized fee income for services provided to joint ventures of $1,508,500 and $4,624,532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nine months ended May 31, 2018, respectively, compared to $1,442,048 and $3,941,667 during the three and nine months ended May 31, 2017, respectively, representing increases of 4.6% and 17.3%, respectively. Fee income for services provided to joint ventures is traditionally a function of the sales made by NTIC’s joint ventures. Total net sales of NTIC’s joint ventures increased to $31,480,885 and $90,200,146 during the three and nine months ended May 31, 2018, respectively, compared to $25,935,169 and $73,098,215 during the three and nine months ended May 31, 2017, respectively, representing increases of $5,545,716 and $17,101,931, respectively. Net sales of NTIC’s joint ventures are not included in NTIC’s consolidated financial statements. Of the total fee income for services provided to joint ventures, fees of $680,939 were attributable to EXCOR during the nine months ended May 31, 2018 compared to $614,766 attributable to EXCOR during the nine months ended May 31, 2017.</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Selling Expenses</w:t>
      </w:r>
      <w:r>
        <w:rPr>
          <w:rFonts w:ascii="Arial" w:cs="Arial" w:eastAsia="Arial" w:hAnsi="Arial"/>
          <w:sz w:val="17"/>
          <w:szCs w:val="17"/>
          <w:color w:val="auto"/>
        </w:rPr>
        <w:t>. NTIC’s selling expenses increased 14.6% and 19.5% for the three and nine months ended May 31, 2018, respectively,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periods in fiscal 2017 due primarily to increases in operating expenses associated with ZERUST® sales efforts, consisting primarily of selling and personnel expense. Selling expenses as a percentage of net sales decreased to 21.5% and 21.9% for the three and nine months ended May 31, 2018, respectively, from 23.8% and 23.4% and during the three and nine months ended May 31, 2017, respectively, primarily due to the significant increase in net sales, partially offset by the increase in selling expenses, as previously described.</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18.1% and 0.3% for the three and nine months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respectively, compared to the same respective periods in fiscal 2017. The increase in expenses during the three-month comparison was primarily due to an increase in compensation expense and an increase in operating expenses at NTIC China. As a percentage of net sales, general and administrative expenses decreased to 15.4% and 16.4% for the three and nine months ended May 31, 2018, respectively, from 16.5% and 20.9% for the same respective periods in fiscal 2017, respectively. These decreases were due primarily to the significant increase in net sales, partially offset by the increase in general and administrative expenses, as previously described.</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17.3% and 21.9% for the three and nine months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respectively, compared to the same respective period in fiscal 2017 due primarily to increased research and development activities during the current fiscal year periods.</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NTIC’s interest income increased to $35,630 and $84,569 during the three and nine months ended May 31, 2018, respectively,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$10,996 and $19,075 during the three and nine months ended May 31, 2017, respectively, due to increased levels of invested cash.</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$3,139 and $14,007 during the three and nine months ended May 31, 2018,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$7,409 and $15,502 during the three and nine months ended May 31, 2017, respectively.</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NTIC incurred income before income tax expense equal to $2,485,702 and $6,052,814 for the three and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May 31, 2018, respectively, compared to $1,733,525 and $2,867,814 for the three and nine months ended May 31, 2017, respectively.</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$181,683 and $1,128,583 for the three and nine months ended May 31, 2018, respectively, compared to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of $237,801 and $480,423 during the three and nine months ended May 31, 2017, respectively. Income tax expense is calculated based on management’s estimate of NTIC’s annual effective income tax rate. The increase for the nine-month comparison was primarily due to one-time provisional adjustments related to the Tax Reform Act. The Tax Reform Act, among other things, reduced the U.S. federal corporate tax rate from 35% to 21% effective January 1, 2018, generally eliminated U.S. federal income taxes on dividends received from foreign subsidiaries and joint ventures after December 31, 2017, and imposed a one-time deemed repatriation tax on certain unremitted earnings of foreign subsidiaries and joint ventures. As a result of the change in the tax law, a one-time non-cash tax provisional charge of $700,000 related to the re-measurement of deferred tax assets and liabilities was recorded in the nine months ended May 31, 2018. The impact of this non-cash tax charge increased NTIC’s effective rate by approximately 30.3% for the nine months ended May 31, 2018. The $700,000 income tax expense and corresponding decrease in net deferred tax assets represents a provisional estimate based on NTIC’s current interpretation of the Tax Reform Act and may change as NTIC receives additional clarification and implementation guidance. NTIC continues to analyze the impact of other provisions of the Tax Reform Act on its financial statements and operations, including the impact of the global intangible low-taxed income (GILTI) rules, and the impact of the Tax Reform Act on NTIC’s indefinite reinvestment assertion with respect to the undistributed earnings of certain foreign subsidiaries and joint ventures. Any additional impacts from the enactment of the Tax Reform Act will be recorded as they are identified during the measurement period as provided for in accordance with SAB No. 118. No changes or adjustments were made during the three months ended May 31, 2018.</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40"/>
        <w:spacing w:after="0" w:line="270" w:lineRule="auto"/>
        <w:rPr>
          <w:sz w:val="20"/>
          <w:szCs w:val="20"/>
          <w:color w:val="auto"/>
        </w:rPr>
      </w:pPr>
      <w:r>
        <w:rPr>
          <w:rFonts w:ascii="Arial" w:cs="Arial" w:eastAsia="Arial" w:hAnsi="Arial"/>
          <w:sz w:val="17"/>
          <w:szCs w:val="17"/>
          <w:i w:val="1"/>
          <w:iCs w:val="1"/>
          <w:color w:val="auto"/>
        </w:rPr>
        <w:t>Net Income Attributable to NTIC</w:t>
      </w:r>
      <w:r>
        <w:rPr>
          <w:rFonts w:ascii="Arial" w:cs="Arial" w:eastAsia="Arial" w:hAnsi="Arial"/>
          <w:sz w:val="17"/>
          <w:szCs w:val="17"/>
          <w:color w:val="auto"/>
        </w:rPr>
        <w:t>. Net income attributable to NTIC increased to $2,140,752, or $0.46, per diluted common share,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May 31, 2018 compared to $1,352,416, or $0.30, per diluted common share, for the three months ended May 31, 2017, an increase of $790,336 or $0.16 per diluted share. Net income attributable to NTIC increased to $4,557,225, or $0.98 per diluted common share, for the nine months ended May 31, 2018 compared to $2,037,021, or $0.45 per diluted common share, for the nine months ended May 31, 2017, an increase of $2,522,204 or $0.53 per diluted share. These increases were primarily the result of the increases in net sales and corresponding gross profit, as well as the increases in income from joint venture operations, partially offset by the increase in operating expenses. The increase for the nine-month comparison was partially offset by the significant impact of the $700,000 one-time provisional adjustment related to the Tax Reform Act. As previously mentioned, the impact from the enactment of the Tax Reform Act was driven by the provisional re-measurement of deferred tax assets and liabilities, which resulted in a non-cash discrete tax charge of $700,000 during the nine months ended May 31, 2018.</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 of the U.S. dollar compared to the Euro and other foreign currencies during the three and nine months ended May 31, 2018 compared to the same period in fiscal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May 31, 2018, NTIC’s working capital was $22,812,170, including $4,610,325 in cash and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$3,282,915 in available for sale securities, compared to $21,173,001 at August 31, 2017, including $6,360,201 in cash and cash equivalents and $3,766,984 in available for sale securities.</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May 31, 2018,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 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May 31, 2018, NTIC was in compliance with all debt covenants.</w:t>
      </w:r>
    </w:p>
    <w:p>
      <w:pPr>
        <w:spacing w:after="0" w:line="19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January 5, 2018, NTIC and PNC Bank extended the maturity date of the line of credit from January 7, 2018 to January 7, 2019.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right="1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2018, NTIC expects to continue to invest in NTIC China, research and development and in marketing efforts and resources for the application of its corrosion prevention technology in the oil and gas industry and its Natur-Tec®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Net cash used in operating activities during the nine months ended May 31, 2018 was $141,994, which resulted principally</w:t>
      </w:r>
      <w:r>
        <w:rPr>
          <w:rFonts w:ascii="Arial" w:cs="Arial" w:eastAsia="Arial" w:hAnsi="Arial"/>
          <w:sz w:val="17"/>
          <w:szCs w:val="17"/>
          <w:i w:val="1"/>
          <w:iCs w:val="1"/>
          <w:color w:val="auto"/>
        </w:rPr>
        <w:t xml:space="preserve"> </w:t>
      </w:r>
      <w:r>
        <w:rPr>
          <w:rFonts w:ascii="Arial" w:cs="Arial" w:eastAsia="Arial" w:hAnsi="Arial"/>
          <w:sz w:val="17"/>
          <w:szCs w:val="17"/>
          <w:color w:val="auto"/>
        </w:rPr>
        <w:t>from NTIC’s equity in income from joint ventures, increases in trade receivables excluding joint ventures, inventories, and prepaid expenses and other, partially offset by NTIC’s net income, dividends received from joint ventures, and increases in accounts payable, accrued liabilities, depreciation and amortization. Net cash provided by operating activities during the nine months ended May 31, 2017 was $2,826,166, which resulted principally from dividends received from NTIC’s joint ventures, net income, an increase in accounts payable and depreciation and amortization, partially offset by NTIC’s equity in income from joint ventures and an increase in trade receivables.</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40"/>
        <w:spacing w:after="0" w:line="291" w:lineRule="auto"/>
        <w:rPr>
          <w:sz w:val="20"/>
          <w:szCs w:val="20"/>
          <w:color w:val="auto"/>
        </w:rPr>
      </w:pPr>
      <w:r>
        <w:rPr>
          <w:rFonts w:ascii="Arial" w:cs="Arial" w:eastAsia="Arial" w:hAnsi="Arial"/>
          <w:sz w:val="16"/>
          <w:szCs w:val="16"/>
          <w:color w:val="auto"/>
        </w:rPr>
        <w:t>NTIC experienced an increase in trade receivables as of May 31, 2018 compared to August 31, 2017. Trade receivables excluding joint ventures as of May 31, 2018 increased $2,780,077 compared to August 31, 2017, primarily related to the timing of collections and the increase in sales. Outstanding trade receivables excluding joint ventures balances as of May 31, 2018 increased 11 days to an average of 66 days from balances outstanding from these customers as of August 31, 2017. Outstanding trade receivables from joint ventures as of May 31, 2018 decreased $93,947 compared to August 31, 2017 primarily due to the timing of payments. Outstanding balances from trade receivables from joint ventures increased as of May 31, 2018 by an average of 5 days from an average of 57 days from balances outstanding from these customers compared to August 31, 2017. The average days outstanding of trade receivables from joint ventures as of May 31, 2018 were primarily due to the receivables balances at NTIC’s joint ventures in South Korea and Thailand.</w:t>
      </w:r>
    </w:p>
    <w:p>
      <w:pPr>
        <w:spacing w:after="0" w:line="16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Outstanding receivables for services provided to joint ventures as of May 31, 2018 increased $49,305 compared to August 31, 2017, which resulted in an increase of 3 days of fees receivable outstanding as of May 31, 2018 to an average of 82 days compared to August 31, 2017.</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investing activities for the nine months ended May 31, 2018 was $79,449, which was primarily the result of additions to property and equipment and additions to patents, partially offset by proceeds from the sale of available for sale securities. Net cash used in investing activities for the nine months ended May 31, 2017 was $2,398,443, which was primarily the result of cash used in the purchase of available for sale securities, additions to property and equipment, and additions to patents.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Net cash used in financing activities for the nine months ended May 31, 2018 was $1,517,998, which resulted from dividends paid on NTIC common stock and a dividend paid to a non-controlling interest, partially offset by proceeds from stock option exercises and purchases under NTIC’s employee stock purchase plan. Net cash used in financing activities for the nine months ended May 31, 2017 was $308,689, which resulted from a dividend paid to a non-controlling interest and the repurchase of common stock, partially offset by proceeds from NTIC’s employee stock purchase plan and stock option exercises.</w:t>
      </w:r>
    </w:p>
    <w:p>
      <w:pPr>
        <w:spacing w:after="0" w:line="15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i w:val="1"/>
          <w:iCs w:val="1"/>
          <w:color w:val="auto"/>
        </w:rPr>
        <w:t>Share Repurchase Plan</w:t>
      </w:r>
      <w:r>
        <w:rPr>
          <w:rFonts w:ascii="Arial" w:cs="Arial" w:eastAsia="Arial" w:hAnsi="Arial"/>
          <w:sz w:val="17"/>
          <w:szCs w:val="17"/>
          <w:color w:val="auto"/>
        </w:rPr>
        <w:t>. On January 15, 2015, NTIC’s Board of Directors authorized the repurchase of up to $3,000,000 in shares of NTIC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open market purchases or unsolicited or solicited privately negotiated transactions. This program has no expiration date but may be terminated by NTIC’s Board of Directors at any time. No repurchases occurred during the nine months ended May 31, 2017. As of May 31, 2018, up to $2,640,548 in shares of NTIC common stock remained available for repurchase under NTIC’s stock repurchase program.</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Cash Dividends</w:t>
      </w:r>
      <w:r>
        <w:rPr>
          <w:rFonts w:ascii="Arial" w:cs="Arial" w:eastAsia="Arial" w:hAnsi="Arial"/>
          <w:sz w:val="18"/>
          <w:szCs w:val="18"/>
          <w:color w:val="auto"/>
        </w:rPr>
        <w:t>. On April 25, 2018, NTIC’s Board of Directors declared a cash dividend of $0.10 per share of NTIC’s common stock, paid on May 23, 2018</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stockholders of record on May 9, 2018. During the nine months ended May 31, 2018, NTIC’s Board of Directors paid cash dividends totaling $0.30 per share of NTIC’s common stock. No cash dividends were declared during fiscal 2017. Although NTIC’s Board of Directors intends to declare regular quarterly cash dividends going forward,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$500,924 on capital expenditures during the nine months ended May 31, 2018, which related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purchase of new equipment. NTIC expects to spend an aggregate of approximately $500,000 to $600,000 on capital expenditures during fiscal 2018, which it expects will relate primarily to the purchase of new equipment.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w:t>
      </w:r>
      <w:r>
        <w:rPr>
          <w:rFonts w:ascii="Arial" w:cs="Arial" w:eastAsia="Arial" w:hAnsi="Arial"/>
          <w:sz w:val="16"/>
          <w:szCs w:val="16"/>
          <w:i w:val="1"/>
          <w:iCs w:val="1"/>
          <w:color w:val="auto"/>
        </w:rPr>
        <w:t>Part II. 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Operations—Contractual Obligations</w:t>
      </w:r>
      <w:r>
        <w:rPr>
          <w:rFonts w:ascii="Arial" w:cs="Arial" w:eastAsia="Arial" w:hAnsi="Arial"/>
          <w:sz w:val="16"/>
          <w:szCs w:val="16"/>
          <w:color w:val="auto"/>
        </w:rPr>
        <w:t>,” included in NTIC’s annual report on Form 10-K for the fiscal year ended August 31,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now some seasonality in its business. NTIC believes its net sales in second fiscal quarter were adversely affected by the long Chinese New Year, the North American holiday season and overall less corrosion taking place at lower winter temperatures worldwide.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2018, NTIC had no borrowings under the line of credit.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5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500" w:hanging="324"/>
        <w:spacing w:after="0" w:line="202" w:lineRule="auto"/>
        <w:tabs>
          <w:tab w:leader="none" w:pos="98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The variability in NTIC’s sales of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from joint venture in turn, subject NTIC’s earnings to quarterly fluctuations;</w:t>
      </w:r>
    </w:p>
    <w:p>
      <w:pPr>
        <w:spacing w:after="0" w:line="204" w:lineRule="exact"/>
        <w:rPr>
          <w:rFonts w:ascii="Arial" w:cs="Arial" w:eastAsia="Arial" w:hAnsi="Arial"/>
          <w:sz w:val="36"/>
          <w:szCs w:val="36"/>
          <w:color w:val="auto"/>
          <w:vertAlign w:val="superscript"/>
        </w:rPr>
      </w:pPr>
    </w:p>
    <w:p>
      <w:pPr>
        <w:ind w:left="980" w:right="1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import duties and taxes and tariffs;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the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2" w:name="page33"/>
    <w:bookmarkEnd w:id="32"/>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324" w:right="140" w:hanging="324"/>
        <w:spacing w:after="0" w:line="277"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324" w:right="80" w:hanging="324"/>
        <w:spacing w:after="0" w:line="222"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324" w:right="320" w:hanging="324"/>
        <w:spacing w:after="0" w:line="186" w:lineRule="auto"/>
        <w:tabs>
          <w:tab w:leader="none" w:pos="324" w:val="left"/>
        </w:tabs>
        <w:numPr>
          <w:ilvl w:val="0"/>
          <w:numId w:val="19"/>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324" w:right="20" w:hanging="324"/>
        <w:spacing w:after="0" w:line="186" w:lineRule="auto"/>
        <w:tabs>
          <w:tab w:leader="none" w:pos="324" w:val="left"/>
        </w:tabs>
        <w:numPr>
          <w:ilvl w:val="0"/>
          <w:numId w:val="19"/>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78" w:lineRule="exact"/>
        <w:rPr>
          <w:rFonts w:ascii="Arial" w:cs="Arial" w:eastAsia="Arial" w:hAnsi="Arial"/>
          <w:sz w:val="36"/>
          <w:szCs w:val="36"/>
          <w:color w:val="auto"/>
          <w:vertAlign w:val="superscript"/>
        </w:rPr>
      </w:pPr>
    </w:p>
    <w:p>
      <w:pPr>
        <w:ind w:left="324" w:hanging="324"/>
        <w:spacing w:after="0" w:line="277"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operations in China, the termination of the joint venture agreements with Tianjin Zerust, and the anticipated liquidation of Tianjin Zerust and the effect of all these events on NTIC’s business and future operating results;</w:t>
      </w:r>
    </w:p>
    <w:p>
      <w:pPr>
        <w:spacing w:after="0" w:line="170" w:lineRule="exact"/>
        <w:rPr>
          <w:rFonts w:ascii="Arial" w:cs="Arial" w:eastAsia="Arial" w:hAnsi="Arial"/>
          <w:sz w:val="18"/>
          <w:szCs w:val="18"/>
          <w:color w:val="auto"/>
        </w:rPr>
      </w:pPr>
    </w:p>
    <w:p>
      <w:pPr>
        <w:ind w:left="324" w:right="320" w:hanging="324"/>
        <w:spacing w:after="0" w:line="277"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00" w:lineRule="exact"/>
        <w:rPr>
          <w:sz w:val="20"/>
          <w:szCs w:val="20"/>
          <w:color w:val="auto"/>
        </w:rPr>
      </w:pPr>
    </w:p>
    <w:p>
      <w:pPr>
        <w:spacing w:after="0" w:line="369"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44"/>
          </w:cols>
          <w:pgMar w:left="896" w:top="368" w:right="259" w:bottom="1440" w:gutter="0" w:footer="0" w:header="0"/>
        </w:sectPr>
      </w:pPr>
    </w:p>
    <w:bookmarkStart w:id="33" w:name="page34"/>
    <w:bookmarkEnd w:id="33"/>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recently enacted Tax Cuts and Jobs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 of extreme weather conditions on NTIC’s operating results;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2017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2018, NTIC had no borrowings under the line of credit.</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May 31, 2018 that has materially affected, or is reasonably likely to materially affect NTIC’s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March 23, 2015, NTIC and NTI Asean LLC (NTI Asean), a majority-owned subsidiary of NTIC,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At this point it is too early in the lawsuit to reasonably estimate the amount of any recovery to NTI Asean, if any.</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5" w:name="page36"/>
    <w:bookmarkEnd w:id="35"/>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May 31, 2018,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third quarter of fiscal 2018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600" w:type="dxa"/>
            <w:vAlign w:val="bottom"/>
            <w:tcBorders>
              <w:top w:val="single" w:sz="8" w:color="auto"/>
              <w:left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Total Number of</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 (or Units)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 (or Units) that</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Shares</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Purchased As Part of</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(or Units)</w:t>
            </w:r>
          </w:p>
        </w:tc>
        <w:tc>
          <w:tcPr>
            <w:tcW w:w="17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Average Price Paid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70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Purchased</w:t>
            </w:r>
          </w:p>
        </w:tc>
        <w:tc>
          <w:tcPr>
            <w:tcW w:w="17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Per Share (or Unit)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2018 through March 31, 2018</w:t>
            </w:r>
          </w:p>
        </w:tc>
        <w:tc>
          <w:tcPr>
            <w:tcW w:w="1700" w:type="dxa"/>
            <w:vAlign w:val="bottom"/>
            <w:tcBorders>
              <w:bottom w:val="single" w:sz="8" w:color="auto"/>
              <w:right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April 1, 2018 through April 30, 2018</w:t>
            </w:r>
          </w:p>
        </w:tc>
        <w:tc>
          <w:tcPr>
            <w:tcW w:w="17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r>
        <w:trPr>
          <w:trHeight w:val="210"/>
        </w:trPr>
        <w:tc>
          <w:tcPr>
            <w:tcW w:w="46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2018 through May 31, 2018</w:t>
            </w:r>
          </w:p>
        </w:tc>
        <w:tc>
          <w:tcPr>
            <w:tcW w:w="1700" w:type="dxa"/>
            <w:vAlign w:val="bottom"/>
            <w:tcBorders>
              <w:bottom w:val="single" w:sz="8" w:color="auto"/>
              <w:right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(1)(2)</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bl>
    <w:p>
      <w:pPr>
        <w:spacing w:after="0" w:line="202" w:lineRule="exact"/>
        <w:rPr>
          <w:sz w:val="20"/>
          <w:szCs w:val="20"/>
          <w:color w:val="auto"/>
        </w:rPr>
      </w:pPr>
    </w:p>
    <w:p>
      <w:pPr>
        <w:ind w:left="660" w:right="44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80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May 31, 2018, up to $2,640,548 in shares of NTIC common stock remained available for repurchase under NTIC’s stock repurchase program.</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9"/>
              </w:rPr>
              <w:t>Exhibit No.</w:t>
            </w:r>
          </w:p>
        </w:tc>
        <w:tc>
          <w:tcPr>
            <w:tcW w:w="24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b w:val="1"/>
                <w:bCs w:val="1"/>
                <w:color w:val="auto"/>
              </w:rPr>
              <w:t>Item</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93"/>
              </w:rPr>
              <w:t>Method of Filing</w:t>
            </w:r>
          </w:p>
        </w:tc>
      </w:tr>
      <w:tr>
        <w:trPr>
          <w:trHeight w:val="169"/>
        </w:trPr>
        <w:tc>
          <w:tcPr>
            <w:tcW w:w="1040" w:type="dxa"/>
            <w:vAlign w:val="bottom"/>
            <w:gridSpan w:val="3"/>
          </w:tcPr>
          <w:p>
            <w:pPr>
              <w:jc w:val="center"/>
              <w:spacing w:after="0" w:line="170" w:lineRule="exact"/>
              <w:rPr>
                <w:rFonts w:ascii="Arial" w:cs="Arial" w:eastAsia="Arial" w:hAnsi="Arial"/>
                <w:sz w:val="18"/>
                <w:szCs w:val="18"/>
                <w:color w:val="0000EE"/>
                <w:w w:val="85"/>
              </w:rPr>
            </w:pPr>
            <w:hyperlink w:anchor="page3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240" w:type="dxa"/>
            <w:vAlign w:val="bottom"/>
          </w:tcPr>
          <w:p>
            <w:pPr>
              <w:spacing w:after="0"/>
              <w:rPr>
                <w:sz w:val="14"/>
                <w:szCs w:val="14"/>
                <w:color w:val="auto"/>
              </w:rPr>
            </w:pPr>
          </w:p>
        </w:tc>
        <w:tc>
          <w:tcPr>
            <w:tcW w:w="8100" w:type="dxa"/>
            <w:vAlign w:val="bottom"/>
            <w:gridSpan w:val="7"/>
          </w:tcPr>
          <w:p>
            <w:pPr>
              <w:spacing w:after="0" w:line="170"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Certification of Chief Executive Officer Pursuant to Exchange Act Rules 13a-14(a)/15d-14(a), as Adopted</w:t>
              </w:r>
            </w:hyperlink>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center"/>
              <w:ind w:right="220"/>
              <w:spacing w:after="0" w:line="170"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Filed herewith</w:t>
              </w:r>
            </w:hyperlink>
          </w:p>
        </w:tc>
      </w:tr>
      <w:tr>
        <w:trPr>
          <w:trHeight w:val="196"/>
        </w:trPr>
        <w:tc>
          <w:tcPr>
            <w:tcW w:w="3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Pursuant to Section 302 of the Sarbanes-Oxley Act of 2002</w:t>
              </w:r>
            </w:hyperlink>
          </w:p>
        </w:tc>
        <w:tc>
          <w:tcPr>
            <w:tcW w:w="3380" w:type="dxa"/>
            <w:vAlign w:val="bottom"/>
            <w:tcBorders>
              <w:top w:val="single" w:sz="8" w:color="0000EE"/>
            </w:tcBorders>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1040" w:type="dxa"/>
            <w:vAlign w:val="bottom"/>
            <w:gridSpan w:val="3"/>
          </w:tcPr>
          <w:p>
            <w:pPr>
              <w:jc w:val="cente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240" w:type="dxa"/>
            <w:vAlign w:val="bottom"/>
          </w:tcPr>
          <w:p>
            <w:pPr>
              <w:spacing w:after="0"/>
              <w:rPr>
                <w:sz w:val="24"/>
                <w:szCs w:val="24"/>
                <w:color w:val="auto"/>
              </w:rPr>
            </w:pPr>
          </w:p>
        </w:tc>
        <w:tc>
          <w:tcPr>
            <w:tcW w:w="8100" w:type="dxa"/>
            <w:vAlign w:val="bottom"/>
            <w:gridSpan w:val="7"/>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Certification of Chief Financial Officer Pursuant to Exchange Act Rules 13a-14(a)/15d-14(a), as Adopted</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4"/>
          </w:tcPr>
          <w:p>
            <w:pPr>
              <w:jc w:val="center"/>
              <w:ind w:right="220"/>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Filed herewith</w:t>
              </w:r>
            </w:hyperlink>
          </w:p>
        </w:tc>
      </w:tr>
      <w:tr>
        <w:trPr>
          <w:trHeight w:val="196"/>
        </w:trPr>
        <w:tc>
          <w:tcPr>
            <w:tcW w:w="3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Pursuant to Section 302 of the Sarbanes-Oxley Act of 2002</w:t>
              </w:r>
            </w:hyperlink>
          </w:p>
        </w:tc>
        <w:tc>
          <w:tcPr>
            <w:tcW w:w="3320" w:type="dxa"/>
            <w:vAlign w:val="bottom"/>
            <w:tcBorders>
              <w:top w:val="single" w:sz="8" w:color="0000EE"/>
            </w:tcBorders>
          </w:tcPr>
          <w:p>
            <w:pPr>
              <w:spacing w:after="0"/>
              <w:rPr>
                <w:sz w:val="17"/>
                <w:szCs w:val="17"/>
                <w:color w:val="auto"/>
              </w:rPr>
            </w:pPr>
          </w:p>
        </w:tc>
        <w:tc>
          <w:tcPr>
            <w:tcW w:w="5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1040" w:type="dxa"/>
            <w:vAlign w:val="bottom"/>
            <w:gridSpan w:val="3"/>
          </w:tcPr>
          <w:p>
            <w:pPr>
              <w:jc w:val="cente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240" w:type="dxa"/>
            <w:vAlign w:val="bottom"/>
          </w:tcPr>
          <w:p>
            <w:pPr>
              <w:spacing w:after="0"/>
              <w:rPr>
                <w:sz w:val="24"/>
                <w:szCs w:val="24"/>
                <w:color w:val="auto"/>
              </w:rPr>
            </w:pPr>
          </w:p>
        </w:tc>
        <w:tc>
          <w:tcPr>
            <w:tcW w:w="8100" w:type="dxa"/>
            <w:vAlign w:val="bottom"/>
            <w:gridSpan w:val="7"/>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Certification of Chief Executive Officer Pursuant to 18 U.S.C. Section 1350, as Adopted Pursuant to Section</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4"/>
          </w:tcPr>
          <w:p>
            <w:pPr>
              <w:jc w:val="center"/>
              <w:ind w:right="220"/>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Furnished herewith</w:t>
              </w:r>
            </w:hyperlink>
          </w:p>
        </w:tc>
      </w:tr>
      <w:tr>
        <w:trPr>
          <w:trHeight w:val="196"/>
        </w:trPr>
        <w:tc>
          <w:tcPr>
            <w:tcW w:w="3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906 of the Sarbanes-Oxley Act of 2002</w:t>
              </w:r>
            </w:hyperlink>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040" w:type="dxa"/>
            <w:vAlign w:val="bottom"/>
            <w:gridSpan w:val="3"/>
          </w:tcPr>
          <w:p>
            <w:pPr>
              <w:jc w:val="cente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240" w:type="dxa"/>
            <w:vAlign w:val="bottom"/>
          </w:tcPr>
          <w:p>
            <w:pPr>
              <w:spacing w:after="0"/>
              <w:rPr>
                <w:sz w:val="24"/>
                <w:szCs w:val="24"/>
                <w:color w:val="auto"/>
              </w:rPr>
            </w:pPr>
          </w:p>
        </w:tc>
        <w:tc>
          <w:tcPr>
            <w:tcW w:w="8100" w:type="dxa"/>
            <w:vAlign w:val="bottom"/>
            <w:gridSpan w:val="7"/>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Chief Financial Officer Pursuant to 18 U.S.C. Section 1350, as Adopted Pursuant to Section 906</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4"/>
          </w:tcPr>
          <w:p>
            <w:pPr>
              <w:jc w:val="center"/>
              <w:ind w:right="220"/>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Furnished herewith</w:t>
              </w:r>
            </w:hyperlink>
          </w:p>
        </w:tc>
      </w:tr>
      <w:tr>
        <w:trPr>
          <w:trHeight w:val="196"/>
        </w:trPr>
        <w:tc>
          <w:tcPr>
            <w:tcW w:w="3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of the Sarbanes-Oxley Act of 2002</w:t>
              </w:r>
            </w:hyperlink>
          </w:p>
        </w:tc>
        <w:tc>
          <w:tcPr>
            <w:tcW w:w="5580" w:type="dxa"/>
            <w:vAlign w:val="bottom"/>
            <w:tcBorders>
              <w:top w:val="single" w:sz="8" w:color="0000EE"/>
            </w:tcBorders>
            <w:gridSpan w:val="6"/>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r>
      <w:tr>
        <w:trPr>
          <w:trHeight w:val="438"/>
        </w:trPr>
        <w:tc>
          <w:tcPr>
            <w:tcW w:w="680" w:type="dxa"/>
            <w:vAlign w:val="bottom"/>
            <w:gridSpan w:val="2"/>
          </w:tcPr>
          <w:p>
            <w:pPr>
              <w:jc w:val="center"/>
              <w:ind w:left="290"/>
              <w:spacing w:after="0"/>
              <w:rPr>
                <w:sz w:val="20"/>
                <w:szCs w:val="20"/>
                <w:color w:val="auto"/>
              </w:rPr>
            </w:pPr>
            <w:r>
              <w:rPr>
                <w:rFonts w:ascii="Arial" w:cs="Arial" w:eastAsia="Arial" w:hAnsi="Arial"/>
                <w:sz w:val="18"/>
                <w:szCs w:val="18"/>
                <w:color w:val="auto"/>
                <w:w w:val="86"/>
              </w:rPr>
              <w:t>101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w w:val="97"/>
              </w:rPr>
              <w:t>The following materials from NTIC’s Quarterly Report on Form 10-Q for the fiscal quarter ended May 31,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Filed herewith</w:t>
            </w:r>
          </w:p>
        </w:tc>
      </w:tr>
      <w:tr>
        <w:trPr>
          <w:trHeight w:val="230"/>
        </w:trPr>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00" w:type="dxa"/>
            <w:vAlign w:val="bottom"/>
            <w:gridSpan w:val="7"/>
          </w:tcPr>
          <w:p>
            <w:pPr>
              <w:spacing w:after="0"/>
              <w:rPr>
                <w:sz w:val="20"/>
                <w:szCs w:val="20"/>
                <w:color w:val="auto"/>
              </w:rPr>
            </w:pPr>
            <w:r>
              <w:rPr>
                <w:rFonts w:ascii="Arial" w:cs="Arial" w:eastAsia="Arial" w:hAnsi="Arial"/>
                <w:sz w:val="18"/>
                <w:szCs w:val="18"/>
                <w:color w:val="auto"/>
                <w:w w:val="93"/>
              </w:rPr>
              <w:t>2018, formatted in XBRL (Extensible Business Reporting Language): (i) the unaudited Consolidated Balance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ind w:left="1280" w:right="2080"/>
        <w:spacing w:after="0" w:line="255" w:lineRule="auto"/>
        <w:rPr>
          <w:sz w:val="20"/>
          <w:szCs w:val="20"/>
          <w:color w:val="auto"/>
        </w:rPr>
      </w:pPr>
      <w:r>
        <w:rPr>
          <w:rFonts w:ascii="Arial" w:cs="Arial" w:eastAsia="Arial" w:hAnsi="Arial"/>
          <w:sz w:val="18"/>
          <w:szCs w:val="18"/>
          <w:color w:val="auto"/>
        </w:rPr>
        <w:t>Sheets, (ii) the unaudited Consolidated Statements of Operations, (iii) the unaudited Consolidated Statements of Comprehensive Income, (iv) the unaudited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NORTHERN TECHNOLOGIES INTERNATIONAL</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142875</wp:posOffset>
            </wp:positionV>
            <wp:extent cx="1509395" cy="883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0939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July 16, 2018</w:t>
            </w: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6"/>
        </w:trPr>
        <w:tc>
          <w:tcPr>
            <w:tcW w:w="57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7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and Accounting Officer and</w:t>
            </w:r>
          </w:p>
        </w:tc>
      </w:tr>
      <w:tr>
        <w:trPr>
          <w:trHeight w:val="230"/>
        </w:trPr>
        <w:tc>
          <w:tcPr>
            <w:tcW w:w="57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right="180" w:hanging="6"/>
        <w:spacing w:after="0" w:line="264" w:lineRule="auto"/>
        <w:tabs>
          <w:tab w:leader="none" w:pos="10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10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700" w:hanging="6"/>
        <w:spacing w:after="0" w:line="342" w:lineRule="auto"/>
        <w:tabs>
          <w:tab w:leader="none" w:pos="101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180" w:hanging="6"/>
        <w:spacing w:after="0" w:line="264" w:lineRule="auto"/>
        <w:tabs>
          <w:tab w:leader="none" w:pos="10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00" w:hanging="6"/>
        <w:spacing w:after="0" w:line="277" w:lineRule="auto"/>
        <w:tabs>
          <w:tab w:leader="none" w:pos="10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60"/>
        <w:spacing w:after="0" w:line="277"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254635</wp:posOffset>
            </wp:positionV>
            <wp:extent cx="2169795" cy="248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6979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Date: July 16, 2018</w:t>
            </w:r>
          </w:p>
        </w:tc>
        <w:tc>
          <w:tcPr>
            <w:tcW w:w="220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 Patrick Lynch</w:t>
            </w:r>
          </w:p>
        </w:tc>
        <w:tc>
          <w:tcPr>
            <w:tcW w:w="56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6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20"/>
                <w:szCs w:val="20"/>
                <w:color w:val="auto"/>
              </w:rPr>
            </w:pPr>
          </w:p>
        </w:tc>
      </w:tr>
      <w:tr>
        <w:trPr>
          <w:trHeight w:val="864"/>
        </w:trPr>
        <w:tc>
          <w:tcPr>
            <w:tcW w:w="3520" w:type="dxa"/>
            <w:vAlign w:val="bottom"/>
          </w:tcPr>
          <w:p>
            <w:pPr>
              <w:spacing w:after="0"/>
              <w:rPr>
                <w:sz w:val="24"/>
                <w:szCs w:val="24"/>
                <w:color w:val="auto"/>
              </w:rPr>
            </w:pPr>
          </w:p>
        </w:tc>
        <w:tc>
          <w:tcPr>
            <w:tcW w:w="7340" w:type="dxa"/>
            <w:vAlign w:val="bottom"/>
            <w:gridSpan w:val="2"/>
          </w:tcPr>
          <w:p>
            <w:pPr>
              <w:jc w:val="right"/>
              <w:ind w:right="4970"/>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24"/>
                <w:szCs w:val="24"/>
                <w:color w:val="auto"/>
              </w:rPr>
            </w:pPr>
          </w:p>
        </w:tc>
      </w:tr>
      <w:tr>
        <w:trPr>
          <w:trHeight w:val="54"/>
        </w:trPr>
        <w:tc>
          <w:tcPr>
            <w:tcW w:w="35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514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68"/>
        </w:trPr>
        <w:tc>
          <w:tcPr>
            <w:tcW w:w="3520" w:type="dxa"/>
            <w:vAlign w:val="bottom"/>
            <w:shd w:val="clear" w:color="auto" w:fill="000000"/>
          </w:tcPr>
          <w:p>
            <w:pPr>
              <w:spacing w:after="0"/>
              <w:rPr>
                <w:sz w:val="5"/>
                <w:szCs w:val="5"/>
                <w:color w:val="auto"/>
              </w:rPr>
            </w:pPr>
          </w:p>
        </w:tc>
        <w:tc>
          <w:tcPr>
            <w:tcW w:w="2200" w:type="dxa"/>
            <w:vAlign w:val="bottom"/>
            <w:shd w:val="clear" w:color="auto" w:fill="000000"/>
          </w:tcPr>
          <w:p>
            <w:pPr>
              <w:spacing w:after="0"/>
              <w:rPr>
                <w:sz w:val="5"/>
                <w:szCs w:val="5"/>
                <w:color w:val="auto"/>
              </w:rPr>
            </w:pPr>
          </w:p>
        </w:tc>
        <w:tc>
          <w:tcPr>
            <w:tcW w:w="51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117"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171"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80" w:right="100" w:hanging="5"/>
        <w:spacing w:after="0" w:line="264" w:lineRule="auto"/>
        <w:tabs>
          <w:tab w:leader="none" w:pos="10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80" w:right="320" w:hanging="5"/>
        <w:spacing w:after="0" w:line="264" w:lineRule="auto"/>
        <w:tabs>
          <w:tab w:leader="none" w:pos="110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80" w:right="620" w:hanging="5"/>
        <w:spacing w:after="0" w:line="342" w:lineRule="auto"/>
        <w:tabs>
          <w:tab w:leader="none" w:pos="109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80" w:right="100" w:hanging="5"/>
        <w:spacing w:after="0" w:line="264" w:lineRule="auto"/>
        <w:tabs>
          <w:tab w:leader="none" w:pos="110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80" w:right="20" w:hanging="5"/>
        <w:spacing w:after="0" w:line="277" w:lineRule="auto"/>
        <w:tabs>
          <w:tab w:leader="none" w:pos="10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80" w:right="540" w:hanging="5"/>
        <w:spacing w:after="0" w:line="277" w:lineRule="auto"/>
        <w:tabs>
          <w:tab w:leader="none" w:pos="10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288925</wp:posOffset>
            </wp:positionV>
            <wp:extent cx="1818005" cy="540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180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July 16, 2018</w:t>
            </w: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6"/>
        </w:trPr>
        <w:tc>
          <w:tcPr>
            <w:tcW w:w="57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57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10480"/>
        <w:spacing w:after="0"/>
        <w:rPr>
          <w:sz w:val="20"/>
          <w:szCs w:val="20"/>
          <w:color w:val="auto"/>
        </w:rPr>
      </w:pPr>
      <w:r>
        <w:rPr>
          <w:rFonts w:ascii="Arial" w:cs="Arial" w:eastAsia="Arial" w:hAnsi="Arial"/>
          <w:sz w:val="16"/>
          <w:szCs w:val="16"/>
          <w:b w:val="1"/>
          <w:bCs w:val="1"/>
          <w:color w:val="auto"/>
        </w:rPr>
        <w:t>Exhibit 32.1</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2018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2"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3627755" cy="445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27755" cy="4457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32"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2018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509395" cy="883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0939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5"/>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6"/>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0"/>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2"/>
    </w:lvl>
  </w:abstractNum>
  <w:abstractNum w:abstractNumId="14">
    <w:nsid w:val="436C6125"/>
    <w:multiLevelType w:val="hybridMultilevel"/>
    <w:lvl w:ilvl="0">
      <w:lvlJc w:val="left"/>
      <w:lvlText w:val="%1."/>
      <w:numFmt w:val="decimal"/>
      <w:start w:val="13"/>
    </w:lvl>
  </w:abstractNum>
  <w:abstractNum w:abstractNumId="15">
    <w:nsid w:val="628C895D"/>
    <w:multiLevelType w:val="hybridMultilevel"/>
    <w:lvl w:ilvl="0">
      <w:lvlJc w:val="left"/>
      <w:lvlText w:val="%1."/>
      <w:numFmt w:val="decimal"/>
      <w:start w:val="14"/>
    </w:lvl>
  </w:abstractNum>
  <w:abstractNum w:abstractNumId="16">
    <w:nsid w:val="333AB105"/>
    <w:multiLevelType w:val="hybridMultilevel"/>
    <w:lvl w:ilvl="0">
      <w:lvlJc w:val="left"/>
      <w:lvlText w:val="%1."/>
      <w:numFmt w:val="decimal"/>
      <w:start w:val="15"/>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upperLetter"/>
      <w:start w:val="1"/>
    </w:lvl>
    <w:lvl w:ilvl="1">
      <w:lvlJc w:val="left"/>
      <w:lvlText w:val="(%2)"/>
      <w:numFmt w:val="decimal"/>
      <w:start w:val="1"/>
    </w:lvl>
  </w:abstractNum>
  <w:abstractNum w:abstractNumId="24">
    <w:nsid w:val="4353D0CD"/>
    <w:multiLevelType w:val="hybridMultilevel"/>
    <w:lvl w:ilvl="0">
      <w:lvlJc w:val="left"/>
      <w:lvlText w:val="%1."/>
      <w:numFmt w:val="upperLetter"/>
      <w:start w:val="7"/>
    </w:lvl>
    <w:lvl w:ilvl="1">
      <w:lvlJc w:val="left"/>
      <w:lvlText w:val="%2"/>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2019-12-28T21:24:56Z</dcterms:created>
  <dcterms:modified xsi:type="dcterms:W3CDTF">2019-12-28T21:24:56Z</dcterms:modified>
</cp:coreProperties>
</file>