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August 31, 2019</w:t>
      </w:r>
    </w:p>
    <w:p>
      <w:pPr>
        <w:spacing w:after="0" w:line="225" w:lineRule="exact"/>
        <w:rPr>
          <w:sz w:val="24"/>
          <w:szCs w:val="24"/>
          <w:color w:val="auto"/>
        </w:rPr>
      </w:pPr>
    </w:p>
    <w:p>
      <w:pPr>
        <w:ind w:left="2980" w:right="1960" w:hanging="2972"/>
        <w:spacing w:after="0" w:line="501" w:lineRule="auto"/>
        <w:tabs>
          <w:tab w:leader="none" w:pos="30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NORTHERN TECHNOLOGIES INTERNATIONAL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80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80" w:type="dxa"/>
            <w:vAlign w:val="bottom"/>
          </w:tcPr>
          <w:p>
            <w:pPr>
              <w:spacing w:after="0"/>
              <w:rPr>
                <w:sz w:val="19"/>
                <w:szCs w:val="19"/>
                <w:color w:val="auto"/>
              </w:rPr>
            </w:pPr>
          </w:p>
        </w:tc>
        <w:tc>
          <w:tcPr>
            <w:tcW w:w="444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41-0857886</w:t>
            </w:r>
          </w:p>
        </w:tc>
      </w:tr>
      <w:tr>
        <w:trPr>
          <w:trHeight w:val="234"/>
        </w:trPr>
        <w:tc>
          <w:tcPr>
            <w:tcW w:w="69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4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480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4201 Woodland Road</w:t>
            </w: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6"/>
        </w:trPr>
        <w:tc>
          <w:tcPr>
            <w:tcW w:w="480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P.O. Box 69</w:t>
            </w: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20"/>
        </w:trPr>
        <w:tc>
          <w:tcPr>
            <w:tcW w:w="480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Circle Pines, Minnesota</w:t>
            </w:r>
          </w:p>
        </w:tc>
        <w:tc>
          <w:tcPr>
            <w:tcW w:w="2180" w:type="dxa"/>
            <w:vAlign w:val="bottom"/>
          </w:tcPr>
          <w:p>
            <w:pPr>
              <w:spacing w:after="0"/>
              <w:rPr>
                <w:sz w:val="19"/>
                <w:szCs w:val="19"/>
                <w:color w:val="auto"/>
              </w:rPr>
            </w:pPr>
          </w:p>
        </w:tc>
        <w:tc>
          <w:tcPr>
            <w:tcW w:w="4440" w:type="dxa"/>
            <w:vAlign w:val="bottom"/>
            <w:gridSpan w:val="2"/>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55014</w:t>
            </w:r>
          </w:p>
        </w:tc>
      </w:tr>
      <w:tr>
        <w:trPr>
          <w:trHeight w:val="234"/>
        </w:trPr>
        <w:tc>
          <w:tcPr>
            <w:tcW w:w="480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4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(763) 225-6600</w:t>
            </w: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4"/>
        </w:trPr>
        <w:tc>
          <w:tcPr>
            <w:tcW w:w="114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1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7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9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NTIC</w:t>
            </w:r>
          </w:p>
        </w:tc>
        <w:tc>
          <w:tcPr>
            <w:tcW w:w="7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1" w:lineRule="exact"/>
        <w:rPr>
          <w:sz w:val="24"/>
          <w:szCs w:val="24"/>
          <w:color w:val="auto"/>
        </w:rPr>
      </w:pPr>
    </w:p>
    <w:p>
      <w:pPr>
        <w:ind w:left="320" w:right="1360" w:firstLine="4"/>
        <w:spacing w:after="0" w:line="35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0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0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1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783" w:right="239" w:bottom="0" w:gutter="0" w:footer="0" w:header="0"/>
        </w:sectPr>
      </w:pPr>
    </w:p>
    <w:p>
      <w:pPr>
        <w:spacing w:after="0" w:line="147"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4">
            <w:col w:w="2280" w:space="620"/>
            <w:col w:w="2040" w:space="720"/>
            <w:col w:w="2540" w:space="720"/>
            <w:col w:w="2500"/>
          </w:cols>
          <w:pgMar w:left="240" w:top="783" w:right="239" w:bottom="0" w:gutter="0" w:footer="0" w:header="0"/>
          <w:type w:val="continuous"/>
        </w:sectPr>
      </w:pPr>
    </w:p>
    <w:p>
      <w:pPr>
        <w:ind w:left="3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420"/>
          </w:cols>
          <w:pgMar w:left="240" w:top="783" w:right="239" w:bottom="0" w:gutter="0" w:footer="0" w:header="0"/>
          <w:type w:val="continuous"/>
        </w:sectPr>
      </w:pPr>
    </w:p>
    <w:p>
      <w:pPr>
        <w:spacing w:after="0" w:line="198" w:lineRule="exact"/>
        <w:rPr>
          <w:sz w:val="24"/>
          <w:szCs w:val="24"/>
          <w:color w:val="auto"/>
        </w:rPr>
      </w:pPr>
    </w:p>
    <w:p>
      <w:pPr>
        <w:jc w:val="both"/>
        <w:ind w:firstLine="30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08"/>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excluding shares beneficially owned by affiliates, computed by reference to the closing sales price at which the common stock was last sold as of February 28, 2019 (the last business day of the registrant’s second fiscal quarter) as reported by the Nasdaq Global Market on that date was $117.6 million.</w:t>
      </w:r>
    </w:p>
    <w:p>
      <w:pPr>
        <w:spacing w:after="0" w:line="17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November 11, 2019, 9,090,413 shares of common stock of the registrant were outstanding.</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420"/>
          </w:cols>
          <w:pgMar w:left="240" w:top="783" w:right="239" w:bottom="0" w:gutter="0" w:footer="0" w:header="0"/>
          <w:type w:val="continuous"/>
        </w:sectPr>
      </w:pPr>
    </w:p>
    <w:bookmarkStart w:id="1" w:name="page2"/>
    <w:bookmarkEnd w:id="1"/>
    <w:p>
      <w:pPr>
        <w:ind w:firstLine="312"/>
        <w:spacing w:after="0" w:line="282" w:lineRule="auto"/>
        <w:rPr>
          <w:sz w:val="20"/>
          <w:szCs w:val="20"/>
          <w:color w:val="auto"/>
        </w:rPr>
      </w:pPr>
      <w:r>
        <w:rPr>
          <w:rFonts w:ascii="Times New Roman" w:cs="Times New Roman" w:eastAsia="Times New Roman" w:hAnsi="Times New Roman"/>
          <w:sz w:val="18"/>
          <w:szCs w:val="18"/>
          <w:color w:val="auto"/>
        </w:rPr>
        <w:t>Part III of this Annual Report on Form 10-K incorporates by reference information (to the extent specific sections are referred to herein) from the registrant’s Proxy Statement for its 2020 Annual Meeting of Stockholders to be held January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740" w:type="dxa"/>
            <w:vAlign w:val="bottom"/>
            <w:gridSpan w:val="18"/>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NORTHERN TECHNOLOGIES INTERNATIONAL CORPORATION</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40" w:type="dxa"/>
            <w:vAlign w:val="bottom"/>
            <w:gridSpan w:val="11"/>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40" w:type="dxa"/>
            <w:vAlign w:val="bottom"/>
            <w:gridSpan w:val="11"/>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FISCAL YEAR ENDED AUGUST 31, 2019</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40" w:type="dxa"/>
            <w:vAlign w:val="bottom"/>
            <w:gridSpan w:val="11"/>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900" w:type="dxa"/>
            <w:vAlign w:val="bottom"/>
            <w:gridSpan w:val="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PART I</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top w:val="single" w:sz="8" w:color="auto"/>
            </w:tcBorders>
            <w:gridSpan w:val="3"/>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1</w:t>
              </w:r>
            </w:hyperlink>
          </w:p>
        </w:tc>
      </w:tr>
      <w:tr>
        <w:trPr>
          <w:trHeight w:val="20"/>
        </w:trPr>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640" w:type="dxa"/>
            <w:vAlign w:val="bottom"/>
            <w:gridSpan w:val="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9760" w:type="dxa"/>
            <w:vAlign w:val="bottom"/>
            <w:gridSpan w:val="25"/>
          </w:tcPr>
          <w:p>
            <w:pPr>
              <w:ind w:lef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1</w:t>
              </w:r>
            </w:hyperlink>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19">
              <w:r>
                <w:rPr>
                  <w:rFonts w:ascii="Times New Roman" w:cs="Times New Roman" w:eastAsia="Times New Roman" w:hAnsi="Times New Roman"/>
                  <w:sz w:val="18"/>
                  <w:szCs w:val="18"/>
                  <w:color w:val="0000EE"/>
                  <w:w w:val="96"/>
                </w:rPr>
                <w:t>Item 1A.</w:t>
              </w:r>
            </w:hyperlink>
          </w:p>
        </w:tc>
        <w:tc>
          <w:tcPr>
            <w:tcW w:w="1400" w:type="dxa"/>
            <w:vAlign w:val="bottom"/>
            <w:tcBorders>
              <w:bottom w:val="single" w:sz="8" w:color="0000EE"/>
            </w:tcBorders>
            <w:gridSpan w:val="5"/>
          </w:tcPr>
          <w:p>
            <w:pPr>
              <w:ind w:left="140"/>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RISK FACTORS</w:t>
              </w:r>
            </w:hyperlink>
          </w:p>
        </w:tc>
        <w:tc>
          <w:tcPr>
            <w:tcW w:w="8360" w:type="dxa"/>
            <w:vAlign w:val="bottom"/>
            <w:gridSpan w:val="20"/>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15</w:t>
              </w:r>
            </w:hyperlink>
          </w:p>
        </w:tc>
      </w:tr>
      <w:tr>
        <w:trPr>
          <w:trHeight w:val="304"/>
        </w:trPr>
        <w:tc>
          <w:tcPr>
            <w:tcW w:w="260" w:type="dxa"/>
            <w:vAlign w:val="bottom"/>
          </w:tcPr>
          <w:p>
            <w:pPr>
              <w:spacing w:after="0"/>
              <w:rPr>
                <w:sz w:val="24"/>
                <w:szCs w:val="24"/>
                <w:color w:val="auto"/>
              </w:rPr>
            </w:pPr>
          </w:p>
        </w:tc>
        <w:tc>
          <w:tcPr>
            <w:tcW w:w="3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1B.  UNRESOLVED STAFF COMMENTS</w:t>
              </w:r>
            </w:hyperlink>
          </w:p>
        </w:tc>
        <w:tc>
          <w:tcPr>
            <w:tcW w:w="6800" w:type="dxa"/>
            <w:vAlign w:val="bottom"/>
            <w:gridSpan w:val="12"/>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32</w:t>
              </w:r>
            </w:hyperlink>
          </w:p>
        </w:tc>
      </w:tr>
      <w:tr>
        <w:trPr>
          <w:trHeight w:val="304"/>
        </w:trPr>
        <w:tc>
          <w:tcPr>
            <w:tcW w:w="260" w:type="dxa"/>
            <w:vAlign w:val="bottom"/>
          </w:tcPr>
          <w:p>
            <w:pPr>
              <w:spacing w:after="0"/>
              <w:rPr>
                <w:sz w:val="24"/>
                <w:szCs w:val="24"/>
                <w:color w:val="auto"/>
              </w:rPr>
            </w:pPr>
          </w:p>
        </w:tc>
        <w:tc>
          <w:tcPr>
            <w:tcW w:w="640" w:type="dxa"/>
            <w:vAlign w:val="bottom"/>
            <w:gridSpan w:val="5"/>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2.</w:t>
              </w:r>
            </w:hyperlink>
          </w:p>
        </w:tc>
        <w:tc>
          <w:tcPr>
            <w:tcW w:w="9760" w:type="dxa"/>
            <w:vAlign w:val="bottom"/>
            <w:gridSpan w:val="25"/>
          </w:tcPr>
          <w:p>
            <w:pPr>
              <w:ind w:lef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PROPERTIES</w:t>
              </w:r>
            </w:hyperlink>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32</w:t>
              </w:r>
            </w:hyperlink>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640" w:type="dxa"/>
            <w:vAlign w:val="bottom"/>
            <w:gridSpan w:val="5"/>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3.</w:t>
              </w:r>
            </w:hyperlink>
          </w:p>
        </w:tc>
        <w:tc>
          <w:tcPr>
            <w:tcW w:w="9760" w:type="dxa"/>
            <w:vAlign w:val="bottom"/>
            <w:gridSpan w:val="25"/>
          </w:tcPr>
          <w:p>
            <w:pPr>
              <w:ind w:lef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LEGAL PROCEEDINGS</w:t>
              </w:r>
            </w:hyperlink>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33</w:t>
              </w:r>
            </w:hyperlink>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3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4.  MINE SAFETY DISCLOSURES</w:t>
              </w:r>
            </w:hyperlink>
          </w:p>
        </w:tc>
        <w:tc>
          <w:tcPr>
            <w:tcW w:w="7300" w:type="dxa"/>
            <w:vAlign w:val="bottom"/>
            <w:gridSpan w:val="15"/>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33</w:t>
              </w:r>
            </w:hyperlink>
          </w:p>
        </w:tc>
      </w:tr>
      <w:tr>
        <w:trPr>
          <w:trHeight w:val="304"/>
        </w:trPr>
        <w:tc>
          <w:tcPr>
            <w:tcW w:w="260" w:type="dxa"/>
            <w:vAlign w:val="bottom"/>
          </w:tcPr>
          <w:p>
            <w:pPr>
              <w:spacing w:after="0"/>
              <w:rPr>
                <w:sz w:val="24"/>
                <w:szCs w:val="24"/>
                <w:color w:val="auto"/>
              </w:rPr>
            </w:pPr>
          </w:p>
        </w:tc>
        <w:tc>
          <w:tcPr>
            <w:tcW w:w="10400" w:type="dxa"/>
            <w:vAlign w:val="bottom"/>
            <w:gridSpan w:val="30"/>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4A.  Information about our Executive Officers</w:t>
              </w:r>
            </w:hyperlink>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33</w:t>
              </w:r>
            </w:hyperlink>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900" w:type="dxa"/>
            <w:vAlign w:val="bottom"/>
            <w:gridSpan w:val="6"/>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PART II</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35</w:t>
              </w:r>
            </w:hyperlink>
          </w:p>
        </w:tc>
      </w:tr>
      <w:tr>
        <w:trPr>
          <w:trHeight w:val="20"/>
        </w:trPr>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0400" w:type="dxa"/>
            <w:vAlign w:val="bottom"/>
            <w:gridSpan w:val="30"/>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5.  MARKET FOR REGISTRANT’S COMMON EQUITY, RELATED STOCKHOLDER MATTERS AND ISSUER PURCHASES</w:t>
              </w:r>
            </w:hyperlink>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OF EQUITY SECURITIES</w:t>
              </w:r>
            </w:hyperlink>
          </w:p>
        </w:tc>
        <w:tc>
          <w:tcPr>
            <w:tcW w:w="7020" w:type="dxa"/>
            <w:vAlign w:val="bottom"/>
            <w:tcBorders>
              <w:top w:val="single" w:sz="8" w:color="0000EE"/>
            </w:tcBorders>
            <w:gridSpan w:val="16"/>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35</w:t>
              </w:r>
            </w:hyperlink>
          </w:p>
        </w:tc>
      </w:tr>
      <w:tr>
        <w:trPr>
          <w:trHeight w:val="304"/>
        </w:trPr>
        <w:tc>
          <w:tcPr>
            <w:tcW w:w="260" w:type="dxa"/>
            <w:vAlign w:val="bottom"/>
          </w:tcPr>
          <w:p>
            <w:pPr>
              <w:spacing w:after="0"/>
              <w:rPr>
                <w:sz w:val="24"/>
                <w:szCs w:val="24"/>
                <w:color w:val="auto"/>
              </w:rPr>
            </w:pPr>
          </w:p>
        </w:tc>
        <w:tc>
          <w:tcPr>
            <w:tcW w:w="3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6.  SELECTED FINANCIAL DATA</w:t>
              </w:r>
            </w:hyperlink>
          </w:p>
        </w:tc>
        <w:tc>
          <w:tcPr>
            <w:tcW w:w="7320" w:type="dxa"/>
            <w:vAlign w:val="bottom"/>
            <w:gridSpan w:val="16"/>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37</w:t>
              </w:r>
            </w:hyperlink>
          </w:p>
        </w:tc>
      </w:tr>
      <w:tr>
        <w:trPr>
          <w:trHeight w:val="304"/>
        </w:trPr>
        <w:tc>
          <w:tcPr>
            <w:tcW w:w="260" w:type="dxa"/>
            <w:vAlign w:val="bottom"/>
          </w:tcPr>
          <w:p>
            <w:pPr>
              <w:spacing w:after="0"/>
              <w:rPr>
                <w:sz w:val="24"/>
                <w:szCs w:val="24"/>
                <w:color w:val="auto"/>
              </w:rPr>
            </w:pPr>
          </w:p>
        </w:tc>
        <w:tc>
          <w:tcPr>
            <w:tcW w:w="10400" w:type="dxa"/>
            <w:vAlign w:val="bottom"/>
            <w:gridSpan w:val="30"/>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7.  MANAGEMENT’S DISCUSSION AND ANALYSIS OF FINANCIAL CONDITION AND RESULTS OF OPERATIONS</w:t>
              </w:r>
            </w:hyperlink>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38</w:t>
              </w:r>
            </w:hyperlink>
          </w:p>
        </w:tc>
      </w:tr>
      <w:tr>
        <w:trPr>
          <w:trHeight w:val="304"/>
        </w:trPr>
        <w:tc>
          <w:tcPr>
            <w:tcW w:w="260" w:type="dxa"/>
            <w:vAlign w:val="bottom"/>
          </w:tcPr>
          <w:p>
            <w:pPr>
              <w:spacing w:after="0"/>
              <w:rPr>
                <w:sz w:val="24"/>
                <w:szCs w:val="24"/>
                <w:color w:val="auto"/>
              </w:rPr>
            </w:pPr>
          </w:p>
        </w:tc>
        <w:tc>
          <w:tcPr>
            <w:tcW w:w="9560" w:type="dxa"/>
            <w:vAlign w:val="bottom"/>
            <w:tcBorders>
              <w:top w:val="single" w:sz="8" w:color="0000EE"/>
            </w:tcBorders>
            <w:gridSpan w:val="27"/>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Item 7A.  QUANTITATIVE AND QUALITATIVE DISCLOSURES ABOUT MARKET RISK</w:t>
              </w:r>
            </w:hyperlink>
          </w:p>
        </w:tc>
        <w:tc>
          <w:tcPr>
            <w:tcW w:w="840" w:type="dxa"/>
            <w:vAlign w:val="bottom"/>
            <w:gridSpan w:val="3"/>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8">
              <w:r>
                <w:rPr>
                  <w:rFonts w:ascii="Times New Roman" w:cs="Times New Roman" w:eastAsia="Times New Roman" w:hAnsi="Times New Roman"/>
                  <w:sz w:val="18"/>
                  <w:szCs w:val="18"/>
                  <w:color w:val="0000EE"/>
                  <w:w w:val="88"/>
                </w:rPr>
                <w:t>54</w:t>
              </w:r>
            </w:hyperlink>
          </w:p>
        </w:tc>
      </w:tr>
      <w:tr>
        <w:trPr>
          <w:trHeight w:val="304"/>
        </w:trPr>
        <w:tc>
          <w:tcPr>
            <w:tcW w:w="260" w:type="dxa"/>
            <w:vAlign w:val="bottom"/>
          </w:tcPr>
          <w:p>
            <w:pPr>
              <w:spacing w:after="0"/>
              <w:rPr>
                <w:sz w:val="24"/>
                <w:szCs w:val="24"/>
                <w:color w:val="auto"/>
              </w:rPr>
            </w:pPr>
          </w:p>
        </w:tc>
        <w:tc>
          <w:tcPr>
            <w:tcW w:w="692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Item 8.  FINANCIAL STATEMENTS AND SUPPLEMENTARY DATA</w:t>
              </w:r>
            </w:hyperlink>
          </w:p>
        </w:tc>
        <w:tc>
          <w:tcPr>
            <w:tcW w:w="3480" w:type="dxa"/>
            <w:vAlign w:val="bottom"/>
            <w:gridSpan w:val="6"/>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9">
              <w:r>
                <w:rPr>
                  <w:rFonts w:ascii="Times New Roman" w:cs="Times New Roman" w:eastAsia="Times New Roman" w:hAnsi="Times New Roman"/>
                  <w:sz w:val="18"/>
                  <w:szCs w:val="18"/>
                  <w:color w:val="0000EE"/>
                  <w:w w:val="88"/>
                </w:rPr>
                <w:t>55</w:t>
              </w:r>
            </w:hyperlink>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Item 9.</w:t>
              </w:r>
            </w:hyperlink>
          </w:p>
        </w:tc>
        <w:tc>
          <w:tcPr>
            <w:tcW w:w="9160" w:type="dxa"/>
            <w:vAlign w:val="bottom"/>
            <w:tcBorders>
              <w:bottom w:val="single" w:sz="8" w:color="0000EE"/>
            </w:tcBorders>
            <w:gridSpan w:val="23"/>
          </w:tcPr>
          <w:p>
            <w:pPr>
              <w:ind w:left="2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00" w:type="dxa"/>
            <w:vAlign w:val="bottom"/>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86</w:t>
              </w:r>
            </w:hyperlink>
          </w:p>
        </w:tc>
      </w:tr>
      <w:tr>
        <w:trPr>
          <w:trHeight w:val="304"/>
        </w:trPr>
        <w:tc>
          <w:tcPr>
            <w:tcW w:w="260" w:type="dxa"/>
            <w:vAlign w:val="bottom"/>
          </w:tcPr>
          <w:p>
            <w:pPr>
              <w:spacing w:after="0"/>
              <w:rPr>
                <w:sz w:val="24"/>
                <w:szCs w:val="24"/>
                <w:color w:val="auto"/>
              </w:rPr>
            </w:pPr>
          </w:p>
        </w:tc>
        <w:tc>
          <w:tcPr>
            <w:tcW w:w="33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Item 9A. CONTROLS AND PROCEDURES</w:t>
              </w:r>
            </w:hyperlink>
          </w:p>
        </w:tc>
        <w:tc>
          <w:tcPr>
            <w:tcW w:w="7060" w:type="dxa"/>
            <w:vAlign w:val="bottom"/>
            <w:gridSpan w:val="13"/>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86</w:t>
              </w:r>
            </w:hyperlink>
          </w:p>
        </w:tc>
      </w:tr>
      <w:tr>
        <w:trPr>
          <w:trHeight w:val="304"/>
        </w:trPr>
        <w:tc>
          <w:tcPr>
            <w:tcW w:w="260" w:type="dxa"/>
            <w:vAlign w:val="bottom"/>
          </w:tcPr>
          <w:p>
            <w:pPr>
              <w:spacing w:after="0"/>
              <w:rPr>
                <w:sz w:val="24"/>
                <w:szCs w:val="24"/>
                <w:color w:val="auto"/>
              </w:rPr>
            </w:pPr>
          </w:p>
        </w:tc>
        <w:tc>
          <w:tcPr>
            <w:tcW w:w="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90">
              <w:r>
                <w:rPr>
                  <w:rFonts w:ascii="Times New Roman" w:cs="Times New Roman" w:eastAsia="Times New Roman" w:hAnsi="Times New Roman"/>
                  <w:sz w:val="18"/>
                  <w:szCs w:val="18"/>
                  <w:color w:val="0000EE"/>
                  <w:w w:val="98"/>
                </w:rPr>
                <w:t>Item 9B.</w:t>
              </w:r>
            </w:hyperlink>
          </w:p>
        </w:tc>
        <w:tc>
          <w:tcPr>
            <w:tcW w:w="2020" w:type="dxa"/>
            <w:vAlign w:val="bottom"/>
            <w:tcBorders>
              <w:bottom w:val="single" w:sz="8" w:color="0000EE"/>
            </w:tcBorders>
            <w:gridSpan w:val="7"/>
          </w:tcPr>
          <w:p>
            <w:pPr>
              <w:ind w:left="140"/>
              <w:spacing w:after="0"/>
              <w:rPr>
                <w:rFonts w:ascii="Times New Roman" w:cs="Times New Roman" w:eastAsia="Times New Roman" w:hAnsi="Times New Roman"/>
                <w:sz w:val="18"/>
                <w:szCs w:val="18"/>
                <w:color w:val="0000EE"/>
                <w:w w:val="97"/>
              </w:rPr>
            </w:pPr>
            <w:hyperlink w:anchor="page90">
              <w:r>
                <w:rPr>
                  <w:rFonts w:ascii="Times New Roman" w:cs="Times New Roman" w:eastAsia="Times New Roman" w:hAnsi="Times New Roman"/>
                  <w:sz w:val="18"/>
                  <w:szCs w:val="18"/>
                  <w:color w:val="0000EE"/>
                  <w:w w:val="97"/>
                </w:rPr>
                <w:t>OTHER INFORMATION</w:t>
              </w:r>
            </w:hyperlink>
          </w:p>
        </w:tc>
        <w:tc>
          <w:tcPr>
            <w:tcW w:w="7740" w:type="dxa"/>
            <w:vAlign w:val="bottom"/>
            <w:gridSpan w:val="18"/>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86</w:t>
              </w:r>
            </w:hyperlink>
          </w:p>
        </w:tc>
      </w:tr>
      <w:tr>
        <w:trPr>
          <w:trHeight w:val="304"/>
        </w:trPr>
        <w:tc>
          <w:tcPr>
            <w:tcW w:w="900" w:type="dxa"/>
            <w:vAlign w:val="bottom"/>
            <w:gridSpan w:val="6"/>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PART III</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87</w:t>
              </w:r>
            </w:hyperlink>
          </w:p>
        </w:tc>
      </w:tr>
      <w:tr>
        <w:trPr>
          <w:trHeight w:val="20"/>
        </w:trPr>
        <w:tc>
          <w:tcPr>
            <w:tcW w:w="2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65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10.  DIRECTORS, EXECUTIVE OFFICERS AND CORPORATE GOVERNANCE</w:t>
              </w:r>
            </w:hyperlink>
          </w:p>
        </w:tc>
        <w:tc>
          <w:tcPr>
            <w:tcW w:w="3860" w:type="dxa"/>
            <w:vAlign w:val="bottom"/>
            <w:gridSpan w:val="7"/>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87</w:t>
              </w:r>
            </w:hyperlink>
          </w:p>
        </w:tc>
      </w:tr>
      <w:tr>
        <w:trPr>
          <w:trHeight w:val="304"/>
        </w:trPr>
        <w:tc>
          <w:tcPr>
            <w:tcW w:w="260" w:type="dxa"/>
            <w:vAlign w:val="bottom"/>
          </w:tcPr>
          <w:p>
            <w:pPr>
              <w:spacing w:after="0"/>
              <w:rPr>
                <w:sz w:val="24"/>
                <w:szCs w:val="24"/>
                <w:color w:val="auto"/>
              </w:rPr>
            </w:pPr>
          </w:p>
        </w:tc>
        <w:tc>
          <w:tcPr>
            <w:tcW w:w="640" w:type="dxa"/>
            <w:vAlign w:val="bottom"/>
            <w:gridSpan w:val="5"/>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11.</w:t>
              </w:r>
            </w:hyperlink>
          </w:p>
        </w:tc>
        <w:tc>
          <w:tcPr>
            <w:tcW w:w="9760" w:type="dxa"/>
            <w:vAlign w:val="bottom"/>
            <w:gridSpan w:val="25"/>
          </w:tcPr>
          <w:p>
            <w:pPr>
              <w:ind w:left="100"/>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EXECUTIVE COMPENSATION</w:t>
              </w:r>
            </w:hyperlink>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87</w:t>
              </w:r>
            </w:hyperlink>
          </w:p>
        </w:tc>
      </w:tr>
      <w:tr>
        <w:trPr>
          <w:trHeight w:val="20"/>
        </w:trPr>
        <w:tc>
          <w:tcPr>
            <w:tcW w:w="260" w:type="dxa"/>
            <w:vAlign w:val="bottom"/>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300" w:type="dxa"/>
            <w:vAlign w:val="bottom"/>
            <w:gridSpan w:val="10"/>
            <w:shd w:val="clear" w:color="auto" w:fill="0000EE"/>
          </w:tcPr>
          <w:p>
            <w:pPr>
              <w:spacing w:after="0" w:line="20" w:lineRule="exact"/>
              <w:rPr>
                <w:sz w:val="1"/>
                <w:szCs w:val="1"/>
                <w:color w:val="auto"/>
              </w:rPr>
            </w:pPr>
          </w:p>
        </w:tc>
        <w:tc>
          <w:tcPr>
            <w:tcW w:w="154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87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Item 12.  SECURITY OWNERSHIP OF CERTAIN BENEFICIAL OWNERS AND MANAGEMENT AND RELATED</w:t>
              </w:r>
            </w:hyperlink>
          </w:p>
        </w:tc>
        <w:tc>
          <w:tcPr>
            <w:tcW w:w="164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gridSpan w:val="23"/>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STOCKHOLDER MATTERS</w:t>
              </w:r>
            </w:hyperlink>
          </w:p>
        </w:tc>
        <w:tc>
          <w:tcPr>
            <w:tcW w:w="76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88</w:t>
              </w:r>
            </w:hyperlink>
          </w:p>
        </w:tc>
      </w:tr>
      <w:tr>
        <w:trPr>
          <w:trHeight w:val="20"/>
        </w:trPr>
        <w:tc>
          <w:tcPr>
            <w:tcW w:w="2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9"/>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0400" w:type="dxa"/>
            <w:vAlign w:val="bottom"/>
            <w:gridSpan w:val="30"/>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Item 13.  CERTAIN RELATIONSHIPS AND RELATED TRANSACTIONS, AND DIRECTOR INDEPENDENCE</w:t>
              </w:r>
            </w:hyperlink>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89</w:t>
              </w:r>
            </w:hyperlink>
          </w:p>
        </w:tc>
      </w:tr>
      <w:tr>
        <w:trPr>
          <w:trHeight w:val="304"/>
        </w:trPr>
        <w:tc>
          <w:tcPr>
            <w:tcW w:w="26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Item 14.  PRINCIPAL ACCOUNTING FEES AND SERVICES</w:t>
              </w:r>
            </w:hyperlink>
          </w:p>
        </w:tc>
        <w:tc>
          <w:tcPr>
            <w:tcW w:w="3760" w:type="dxa"/>
            <w:vAlign w:val="bottom"/>
            <w:tcBorders>
              <w:top w:val="single" w:sz="8" w:color="0000EE"/>
            </w:tcBorders>
            <w:gridSpan w:val="5"/>
          </w:tcPr>
          <w:p>
            <w:pPr>
              <w:spacing w:after="0"/>
              <w:rPr>
                <w:sz w:val="24"/>
                <w:szCs w:val="24"/>
                <w:color w:val="auto"/>
              </w:rPr>
            </w:pPr>
          </w:p>
        </w:tc>
        <w:tc>
          <w:tcPr>
            <w:tcW w:w="1960" w:type="dxa"/>
            <w:vAlign w:val="bottom"/>
            <w:gridSpan w:val="5"/>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3">
              <w:r>
                <w:rPr>
                  <w:rFonts w:ascii="Times New Roman" w:cs="Times New Roman" w:eastAsia="Times New Roman" w:hAnsi="Times New Roman"/>
                  <w:sz w:val="18"/>
                  <w:szCs w:val="18"/>
                  <w:color w:val="0000EE"/>
                  <w:w w:val="88"/>
                </w:rPr>
                <w:t>89</w:t>
              </w:r>
            </w:hyperlink>
          </w:p>
        </w:tc>
      </w:tr>
      <w:tr>
        <w:trPr>
          <w:trHeight w:val="304"/>
        </w:trPr>
        <w:tc>
          <w:tcPr>
            <w:tcW w:w="6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4"/>
              </w:rPr>
            </w:pPr>
            <w:hyperlink w:anchor="page94">
              <w:r>
                <w:rPr>
                  <w:rFonts w:ascii="Times New Roman" w:cs="Times New Roman" w:eastAsia="Times New Roman" w:hAnsi="Times New Roman"/>
                  <w:sz w:val="18"/>
                  <w:szCs w:val="18"/>
                  <w:color w:val="0000EE"/>
                  <w:w w:val="94"/>
                </w:rPr>
                <w:t>PART IV</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4">
              <w:r>
                <w:rPr>
                  <w:rFonts w:ascii="Times New Roman" w:cs="Times New Roman" w:eastAsia="Times New Roman" w:hAnsi="Times New Roman"/>
                  <w:sz w:val="18"/>
                  <w:szCs w:val="18"/>
                  <w:color w:val="0000EE"/>
                  <w:w w:val="88"/>
                </w:rPr>
                <w:t>90</w:t>
              </w:r>
            </w:hyperlink>
          </w:p>
        </w:tc>
      </w:tr>
      <w:tr>
        <w:trPr>
          <w:trHeight w:val="304"/>
        </w:trPr>
        <w:tc>
          <w:tcPr>
            <w:tcW w:w="260" w:type="dxa"/>
            <w:vAlign w:val="bottom"/>
          </w:tcPr>
          <w:p>
            <w:pPr>
              <w:spacing w:after="0"/>
              <w:rPr>
                <w:sz w:val="24"/>
                <w:szCs w:val="24"/>
                <w:color w:val="auto"/>
              </w:rPr>
            </w:pPr>
          </w:p>
        </w:tc>
        <w:tc>
          <w:tcPr>
            <w:tcW w:w="10400" w:type="dxa"/>
            <w:vAlign w:val="bottom"/>
            <w:gridSpan w:val="30"/>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Item 15.  EXHIBITS, FINANCIAL STATEMENT SCHEDULES</w:t>
              </w:r>
            </w:hyperlink>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90</w:t>
              </w:r>
            </w:hyperlink>
          </w:p>
        </w:tc>
      </w:tr>
      <w:tr>
        <w:trPr>
          <w:trHeight w:val="20"/>
        </w:trPr>
        <w:tc>
          <w:tcPr>
            <w:tcW w:w="26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940" w:type="dxa"/>
            <w:vAlign w:val="bottom"/>
            <w:gridSpan w:val="15"/>
            <w:shd w:val="clear" w:color="auto" w:fill="0000EE"/>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10660" w:type="dxa"/>
            <w:vAlign w:val="bottom"/>
            <w:gridSpan w:val="31"/>
          </w:tcPr>
          <w:p>
            <w:pPr>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SIGNATURES</w:t>
              </w:r>
            </w:hyperlink>
          </w:p>
        </w:tc>
        <w:tc>
          <w:tcPr>
            <w:tcW w:w="760" w:type="dxa"/>
            <w:vAlign w:val="bottom"/>
            <w:gridSpan w:val="4"/>
          </w:tcPr>
          <w:p>
            <w:pPr>
              <w:jc w:val="right"/>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95</w:t>
              </w:r>
            </w:hyperlink>
          </w:p>
        </w:tc>
      </w:tr>
      <w:tr>
        <w:trPr>
          <w:trHeight w:val="20"/>
        </w:trPr>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“Part I. Item 1. Business – Forward-Looking Statements.”</w:t>
      </w:r>
    </w:p>
    <w:p>
      <w:pPr>
        <w:spacing w:after="0" w:line="174"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3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spacing w:after="0" w:line="1" w:lineRule="exact"/>
        <w:rPr>
          <w:sz w:val="20"/>
          <w:szCs w:val="20"/>
          <w:color w:val="auto"/>
        </w:rPr>
      </w:pPr>
    </w:p>
    <w:p>
      <w:pPr>
        <w:ind w:right="20" w:firstLine="8"/>
        <w:spacing w:after="0" w:line="254" w:lineRule="auto"/>
        <w:tabs>
          <w:tab w:leader="none" w:pos="2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“Natur-Tec India” refer to NTIC’s majority-owned subsidiary in India, Natur-Tec India Private Limited; (6) “Natur Tec Lanka” refer to NTIC’s majority-owned subsidiary in Sri Lanka, Natur Tec Lanka (Pvt) Ltd and (7) “NTI Asean” refer to NTIC’s majority-owned holding company subsidiary, NTI Asean LLC, which is a holding company that holds investments in seven entities that operate in the Association of Southeast Asian Nations (ASEAN) region, including the following countries: Indonesia, South Korea, Malaysia, Philippines, Singapore, Taiwan, and Thailand.</w:t>
      </w:r>
    </w:p>
    <w:p>
      <w:pPr>
        <w:spacing w:after="0" w:line="18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“EXCOR” refer to NTIC’s joint venture in Germany, Excor Korrosionsschutz –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Northern Technologies International Corporation (NTIC) develops and markets proprietary, environmentally-beneficial products and services in over 60 countries either directly or via a network of subsidiaries, joint ventures, independent distributors, and agents. NTIC’s primary business is corrosion</w:t>
      </w:r>
    </w:p>
    <w:p>
      <w:pPr>
        <w:ind w:right="20"/>
        <w:spacing w:after="0" w:line="217" w:lineRule="auto"/>
        <w:rPr>
          <w:sz w:val="20"/>
          <w:szCs w:val="20"/>
          <w:color w:val="auto"/>
        </w:rPr>
      </w:pPr>
      <w:r>
        <w:rPr>
          <w:rFonts w:ascii="Times New Roman" w:cs="Times New Roman" w:eastAsia="Times New Roman" w:hAnsi="Times New Roman"/>
          <w:sz w:val="18"/>
          <w:szCs w:val="18"/>
          <w:color w:val="auto"/>
        </w:rPr>
        <w:t>prevention, marketed mainly under the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brand. NTIC has been selling its proprietary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w:t>
      </w:r>
    </w:p>
    <w:p>
      <w:pPr>
        <w:spacing w:after="0" w:line="3" w:lineRule="exact"/>
        <w:rPr>
          <w:sz w:val="20"/>
          <w:szCs w:val="20"/>
          <w:color w:val="auto"/>
        </w:rPr>
      </w:pPr>
    </w:p>
    <w:p>
      <w:pPr>
        <w:ind w:right="160"/>
        <w:spacing w:after="0" w:line="205" w:lineRule="auto"/>
        <w:rPr>
          <w:sz w:val="20"/>
          <w:szCs w:val="20"/>
          <w:color w:val="auto"/>
        </w:rPr>
      </w:pPr>
      <w:r>
        <w:rPr>
          <w:rFonts w:ascii="Times New Roman" w:cs="Times New Roman" w:eastAsia="Times New Roman" w:hAnsi="Times New Roman"/>
          <w:sz w:val="18"/>
          <w:szCs w:val="18"/>
          <w:color w:val="auto"/>
        </w:rPr>
        <w:t>products under the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brand. These products are intended to reduce NTIC’s customers’ carbon footprint and provide environmentally sound waste disposal options.</w:t>
      </w:r>
    </w:p>
    <w:p>
      <w:pPr>
        <w:spacing w:after="0" w:line="20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7"/>
          <w:szCs w:val="17"/>
          <w:color w:val="auto"/>
        </w:rPr>
        <w:t>NTIC’s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00"/>
        <w:spacing w:after="0" w:line="191" w:lineRule="auto"/>
        <w:rPr>
          <w:sz w:val="20"/>
          <w:szCs w:val="20"/>
          <w:color w:val="auto"/>
        </w:rPr>
      </w:pPr>
      <w:r>
        <w:rPr>
          <w:rFonts w:ascii="Times New Roman" w:cs="Times New Roman" w:eastAsia="Times New Roman" w:hAnsi="Times New Roman"/>
          <w:sz w:val="17"/>
          <w:szCs w:val="17"/>
          <w:color w:val="auto"/>
        </w:rPr>
        <w:t>prevention issues. NTIC’s technical service consultants work directly with the end users of NTIC’s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rust and corrosion inhibiting products to analyze their specific needs and develop systems to meet their performance requirements. In North America, NTIC sells its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corrosion prevention</w:t>
      </w:r>
    </w:p>
    <w:p>
      <w:pPr>
        <w:spacing w:after="0" w:line="2"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solutions through a network of independent distributors and agents supported by a direct sales force. Internationally, NTIC sells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3"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7"/>
          <w:szCs w:val="17"/>
          <w:color w:val="auto"/>
        </w:rPr>
        <w:t>One of NTIC’s strategic initiatives is to expand into and penetrate other markets for its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corrosion prevention technologies. Accordingly, for the past several years, NTIC has focused significant sales and marketing efforts on the oil and gas industry, as the infrastructure that supports the industry is</w:t>
      </w:r>
    </w:p>
    <w:p>
      <w:pPr>
        <w:spacing w:after="0" w:line="195" w:lineRule="auto"/>
        <w:rPr>
          <w:sz w:val="20"/>
          <w:szCs w:val="20"/>
          <w:color w:val="auto"/>
        </w:rPr>
      </w:pPr>
      <w:r>
        <w:rPr>
          <w:rFonts w:ascii="Times New Roman" w:cs="Times New Roman" w:eastAsia="Times New Roman" w:hAnsi="Times New Roman"/>
          <w:sz w:val="18"/>
          <w:szCs w:val="18"/>
          <w:color w:val="auto"/>
        </w:rPr>
        <w:t>typically constructed using metals that are highly susceptible to corrosion. NTIC believes that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prevention solutions will minimize maintenance downtime on critical oil and gas industry infrastructure, extend the life of such infrastructure, and reduce the risk of environmental pollution due to leaks caused by corrosion. NTIC markets and sells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prevention solutions to customers in the oil and gas industry across</w:t>
      </w:r>
    </w:p>
    <w:p>
      <w:pPr>
        <w:spacing w:after="0" w:line="2"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8"/>
          <w:szCs w:val="18"/>
          <w:color w:val="auto"/>
        </w:rPr>
        <w:t>several countries either directly, through its subsidiaries, or through its joint venture partners and other strategic partners. The sale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203"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8"/>
          <w:szCs w:val="18"/>
          <w:color w:val="auto"/>
        </w:rPr>
        <w:t>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biobased and compostable plastics are manufactured using NTIC’s patented and/or proprietary technologies and are intended to replace conventional plastics. The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ware items, such as disposable cutlery, drinking straws, food-handling gloves, and</w:t>
      </w:r>
    </w:p>
    <w:p>
      <w:pPr>
        <w:spacing w:after="0" w:line="2"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17"/>
          <w:szCs w:val="17"/>
          <w:color w:val="auto"/>
        </w:rPr>
        <w:t>coated paper products. In North America, NTIC markets its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w:t>
      </w:r>
    </w:p>
    <w:p>
      <w:pPr>
        <w:spacing w:after="0" w:line="1" w:lineRule="exact"/>
        <w:rPr>
          <w:sz w:val="20"/>
          <w:szCs w:val="20"/>
          <w:color w:val="auto"/>
        </w:rPr>
      </w:pPr>
    </w:p>
    <w:p>
      <w:pPr>
        <w:ind w:right="260"/>
        <w:spacing w:after="0" w:line="196" w:lineRule="auto"/>
        <w:rPr>
          <w:sz w:val="20"/>
          <w:szCs w:val="20"/>
          <w:color w:val="auto"/>
        </w:rPr>
      </w:pPr>
      <w:r>
        <w:rPr>
          <w:rFonts w:ascii="Times New Roman" w:cs="Times New Roman" w:eastAsia="Times New Roman" w:hAnsi="Times New Roman"/>
          <w:sz w:val="18"/>
          <w:szCs w:val="18"/>
          <w:color w:val="auto"/>
        </w:rPr>
        <w:t>to strengthen and expand its North American distribution network for finished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bioplastic products. Internationally, NTIC sells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both directly and through its wholly-owned subsidiary in China, NTIC Shanghai, its majority-owned subsidiary in India, Natur-Tec India Private Limited (Natur-Tec India), its majority-owned subsidiary in Sri Lanka, Natur Tec Lanka (Pvt) Ltd (Natur Tec Lanka), and through distributors and certain joint ventures.</w:t>
      </w: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NTIC’s Subsidiaries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NTIC has ownership interests in seven operating subsidiaries in North America, South America, Europe, and Asia. The following table sets forth a list of NTIC’s operating subsidiaries as of November 11, 2019, the country in which the subsidiary is organized, and NTIC’s ownership percentage in each subsidiary: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NTIC</w:t>
            </w:r>
          </w:p>
        </w:tc>
      </w:tr>
      <w:tr>
        <w:trPr>
          <w:trHeight w:val="216"/>
        </w:trPr>
        <w:tc>
          <w:tcPr>
            <w:tcW w:w="68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 (%)</w:t>
            </w:r>
          </w:p>
        </w:tc>
      </w:tr>
      <w:tr>
        <w:trPr>
          <w:trHeight w:val="238"/>
        </w:trPr>
        <w:tc>
          <w:tcPr>
            <w:tcW w:w="684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18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(Shanghai) Co., Ltd</w:t>
            </w:r>
          </w:p>
        </w:tc>
        <w:tc>
          <w:tcPr>
            <w:tcW w:w="318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7"/>
              </w:rPr>
              <w:t>China</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NTI Asean LLC</w:t>
            </w:r>
          </w:p>
        </w:tc>
        <w:tc>
          <w:tcPr>
            <w:tcW w:w="318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United States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Prevenção de Corrosão S.A.</w:t>
            </w:r>
          </w:p>
        </w:tc>
        <w:tc>
          <w:tcPr>
            <w:tcW w:w="3180" w:type="dxa"/>
            <w:vAlign w:val="bottom"/>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w w:val="99"/>
              </w:rPr>
              <w:t>Brazil</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ZERUST-EXCOR MEXICO, S. de R.L. de C.V</w:t>
            </w:r>
          </w:p>
        </w:tc>
        <w:tc>
          <w:tcPr>
            <w:tcW w:w="318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8"/>
              </w:rPr>
              <w:t>Mexico</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Natur-Tec India Private Limited</w:t>
            </w:r>
          </w:p>
        </w:tc>
        <w:tc>
          <w:tcPr>
            <w:tcW w:w="318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India</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Natur Tec Lanka (Pvt) Ltd</w:t>
            </w:r>
          </w:p>
        </w:tc>
        <w:tc>
          <w:tcPr>
            <w:tcW w:w="3180" w:type="dxa"/>
            <w:vAlign w:val="bottom"/>
          </w:tcPr>
          <w:p>
            <w:pPr>
              <w:jc w:val="center"/>
              <w:ind w:left="1570"/>
              <w:spacing w:after="0" w:line="256" w:lineRule="exact"/>
              <w:rPr>
                <w:sz w:val="20"/>
                <w:szCs w:val="20"/>
                <w:color w:val="auto"/>
              </w:rPr>
            </w:pPr>
            <w:r>
              <w:rPr>
                <w:rFonts w:ascii="Times New Roman" w:cs="Times New Roman" w:eastAsia="Times New Roman" w:hAnsi="Times New Roman"/>
                <w:sz w:val="18"/>
                <w:szCs w:val="18"/>
                <w:color w:val="auto"/>
                <w:w w:val="94"/>
              </w:rPr>
              <w:t>Sri Lanka</w:t>
            </w:r>
            <w:r>
              <w:rPr>
                <w:rFonts w:ascii="Times New Roman" w:cs="Times New Roman" w:eastAsia="Times New Roman" w:hAnsi="Times New Roman"/>
                <w:sz w:val="29"/>
                <w:szCs w:val="29"/>
                <w:color w:val="auto"/>
                <w:w w:val="94"/>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Europe GmbH</w:t>
            </w:r>
          </w:p>
        </w:tc>
        <w:tc>
          <w:tcPr>
            <w:tcW w:w="318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8"/>
              </w:rPr>
              <w:t>Germany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1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Natur Tec Lanka is 100% owned by Natur-Tec India and, therefore, indirectly owned by NTIC.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these subsidiaries are fully consolidated in NTIC’s consolidated financial statements.</w:t>
      </w:r>
    </w:p>
    <w:p>
      <w:pPr>
        <w:spacing w:after="0" w:line="22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September 1, 2018, the minority owner in Natur-Tec India made an additional capital contribution of US $134,034, which diluted NTIC’s ownership interest from 90% to 75%. This contribution was made with NTIC’s consent and with the intended purpose of increasing the minority owner’s ownership interest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NTIC’s Joint Venture Network</w:t>
      </w:r>
    </w:p>
    <w:p>
      <w:pPr>
        <w:spacing w:after="0" w:line="229"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7"/>
          <w:szCs w:val="17"/>
          <w:color w:val="auto"/>
        </w:rPr>
        <w:t>NTIC participates in 21 active joint venture arrangements in North America, Europe, and Asia. Each of these joint ventures generally manufactures and markets products in the geographic territory to which it is assigned. While most of NTIC’s joint ventures exclusively sell rust and corrosion inhibiting</w:t>
      </w:r>
    </w:p>
    <w:p>
      <w:pPr>
        <w:spacing w:after="0" w:line="1" w:lineRule="exact"/>
        <w:rPr>
          <w:sz w:val="20"/>
          <w:szCs w:val="20"/>
          <w:color w:val="auto"/>
        </w:rPr>
      </w:pPr>
    </w:p>
    <w:p>
      <w:pPr>
        <w:ind w:right="200"/>
        <w:spacing w:after="0" w:line="205" w:lineRule="auto"/>
        <w:rPr>
          <w:sz w:val="20"/>
          <w:szCs w:val="20"/>
          <w:color w:val="auto"/>
        </w:rPr>
      </w:pPr>
      <w:r>
        <w:rPr>
          <w:rFonts w:ascii="Times New Roman" w:cs="Times New Roman" w:eastAsia="Times New Roman" w:hAnsi="Times New Roman"/>
          <w:sz w:val="18"/>
          <w:szCs w:val="18"/>
          <w:color w:val="auto"/>
        </w:rPr>
        <w:t>products, some of the joint ventures also sell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NTIC has historically funded its investments in joint ventures with cash generated from operations.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following table sets forth a list of NTIC’s operating joint ventures as of November 11, 2019, the country in which the joint venture is organized,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NTIC’s ownership percentage in each joint venture: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NTIC</w:t>
            </w:r>
          </w:p>
        </w:tc>
      </w:tr>
      <w:tr>
        <w:trPr>
          <w:trHeight w:val="216"/>
        </w:trPr>
        <w:tc>
          <w:tcPr>
            <w:tcW w:w="68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 (%)</w:t>
            </w:r>
          </w:p>
        </w:tc>
      </w:tr>
      <w:tr>
        <w:trPr>
          <w:trHeight w:val="238"/>
        </w:trPr>
        <w:tc>
          <w:tcPr>
            <w:tcW w:w="6840" w:type="dxa"/>
            <w:vAlign w:val="bottom"/>
            <w:tcBorders>
              <w:bottom w:val="single" w:sz="8" w:color="auto"/>
            </w:tcBorders>
          </w:tcPr>
          <w:p>
            <w:pPr>
              <w:ind w:left="3460"/>
              <w:spacing w:after="0"/>
              <w:rPr>
                <w:sz w:val="20"/>
                <w:szCs w:val="20"/>
                <w:color w:val="auto"/>
              </w:rPr>
            </w:pPr>
            <w:r>
              <w:rPr>
                <w:rFonts w:ascii="Times New Roman" w:cs="Times New Roman" w:eastAsia="Times New Roman" w:hAnsi="Times New Roman"/>
                <w:sz w:val="18"/>
                <w:szCs w:val="18"/>
                <w:b w:val="1"/>
                <w:bCs w:val="1"/>
                <w:color w:val="auto"/>
              </w:rPr>
              <w:t>Joint Venture Name</w:t>
            </w:r>
          </w:p>
        </w:tc>
        <w:tc>
          <w:tcPr>
            <w:tcW w:w="3240" w:type="dxa"/>
            <w:vAlign w:val="bottom"/>
            <w:tcBorders>
              <w:bottom w:val="single" w:sz="8" w:color="auto"/>
            </w:tcBorders>
          </w:tcPr>
          <w:p>
            <w:pPr>
              <w:jc w:val="center"/>
              <w:ind w:left="1531"/>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TAIYONIC LTD.</w:t>
            </w:r>
          </w:p>
        </w:tc>
        <w:tc>
          <w:tcPr>
            <w:tcW w:w="3240" w:type="dxa"/>
            <w:vAlign w:val="bottom"/>
            <w:shd w:val="clear" w:color="auto" w:fill="CCEEFF"/>
          </w:tcPr>
          <w:p>
            <w:pPr>
              <w:jc w:val="center"/>
              <w:ind w:left="1531"/>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ACOBAL SAS</w:t>
            </w:r>
          </w:p>
        </w:tc>
        <w:tc>
          <w:tcPr>
            <w:tcW w:w="3240" w:type="dxa"/>
            <w:vAlign w:val="bottom"/>
          </w:tcPr>
          <w:p>
            <w:pPr>
              <w:jc w:val="center"/>
              <w:ind w:left="1531"/>
              <w:spacing w:after="0"/>
              <w:rPr>
                <w:sz w:val="20"/>
                <w:szCs w:val="20"/>
                <w:color w:val="auto"/>
              </w:rPr>
            </w:pPr>
            <w:r>
              <w:rPr>
                <w:rFonts w:ascii="Times New Roman" w:cs="Times New Roman" w:eastAsia="Times New Roman" w:hAnsi="Times New Roman"/>
                <w:sz w:val="18"/>
                <w:szCs w:val="18"/>
                <w:color w:val="auto"/>
              </w:rPr>
              <w:t>France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EXCOR KORROSIONSSCHUTZ – TECHNOLOGIEN</w:t>
            </w:r>
          </w:p>
        </w:tc>
        <w:tc>
          <w:tcPr>
            <w:tcW w:w="3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 PRODUKTE GMBH</w:t>
            </w:r>
          </w:p>
        </w:tc>
        <w:tc>
          <w:tcPr>
            <w:tcW w:w="3240" w:type="dxa"/>
            <w:vAlign w:val="bottom"/>
            <w:shd w:val="clear" w:color="auto" w:fill="CCEEFF"/>
          </w:tcPr>
          <w:p>
            <w:pPr>
              <w:jc w:val="center"/>
              <w:ind w:left="1531"/>
              <w:spacing w:after="0"/>
              <w:rPr>
                <w:sz w:val="20"/>
                <w:szCs w:val="20"/>
                <w:color w:val="auto"/>
              </w:rPr>
            </w:pPr>
            <w:r>
              <w:rPr>
                <w:rFonts w:ascii="Times New Roman" w:cs="Times New Roman" w:eastAsia="Times New Roman" w:hAnsi="Times New Roman"/>
                <w:sz w:val="18"/>
                <w:szCs w:val="18"/>
                <w:color w:val="auto"/>
                <w:w w:val="98"/>
              </w:rPr>
              <w:t>Germany</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ZERUST AB</w:t>
            </w:r>
          </w:p>
        </w:tc>
        <w:tc>
          <w:tcPr>
            <w:tcW w:w="3240" w:type="dxa"/>
            <w:vAlign w:val="bottom"/>
          </w:tcPr>
          <w:p>
            <w:pPr>
              <w:jc w:val="center"/>
              <w:ind w:left="1531"/>
              <w:spacing w:after="0"/>
              <w:rPr>
                <w:sz w:val="20"/>
                <w:szCs w:val="20"/>
                <w:color w:val="auto"/>
              </w:rPr>
            </w:pPr>
            <w:r>
              <w:rPr>
                <w:rFonts w:ascii="Times New Roman" w:cs="Times New Roman" w:eastAsia="Times New Roman" w:hAnsi="Times New Roman"/>
                <w:sz w:val="18"/>
                <w:szCs w:val="18"/>
                <w:color w:val="auto"/>
              </w:rPr>
              <w:t>Sweden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MOSTNIC-ZERUST</w:t>
            </w:r>
          </w:p>
        </w:tc>
        <w:tc>
          <w:tcPr>
            <w:tcW w:w="3240" w:type="dxa"/>
            <w:vAlign w:val="bottom"/>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9"/>
              </w:rPr>
              <w:t>Russia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ZERUST OY</w:t>
            </w:r>
          </w:p>
        </w:tc>
        <w:tc>
          <w:tcPr>
            <w:tcW w:w="3240" w:type="dxa"/>
            <w:vAlign w:val="bottom"/>
          </w:tcPr>
          <w:p>
            <w:pPr>
              <w:jc w:val="center"/>
              <w:ind w:left="1531"/>
              <w:spacing w:after="0"/>
              <w:rPr>
                <w:sz w:val="20"/>
                <w:szCs w:val="20"/>
                <w:color w:val="auto"/>
              </w:rPr>
            </w:pPr>
            <w:r>
              <w:rPr>
                <w:rFonts w:ascii="Times New Roman" w:cs="Times New Roman" w:eastAsia="Times New Roman" w:hAnsi="Times New Roman"/>
                <w:sz w:val="18"/>
                <w:szCs w:val="18"/>
                <w:color w:val="auto"/>
                <w:w w:val="98"/>
              </w:rPr>
              <w:t>Finland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HARITA-NTI LTD</w:t>
            </w:r>
          </w:p>
        </w:tc>
        <w:tc>
          <w:tcPr>
            <w:tcW w:w="3240" w:type="dxa"/>
            <w:vAlign w:val="bottom"/>
            <w:shd w:val="clear" w:color="auto" w:fill="CCEEFF"/>
          </w:tcPr>
          <w:p>
            <w:pPr>
              <w:jc w:val="center"/>
              <w:ind w:left="1531"/>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ZERUST (U.K.) LTD.</w:t>
            </w:r>
          </w:p>
        </w:tc>
        <w:tc>
          <w:tcPr>
            <w:tcW w:w="3240" w:type="dxa"/>
            <w:vAlign w:val="bottom"/>
          </w:tcPr>
          <w:p>
            <w:pPr>
              <w:jc w:val="center"/>
              <w:ind w:left="1531"/>
              <w:spacing w:after="0"/>
              <w:rPr>
                <w:sz w:val="20"/>
                <w:szCs w:val="20"/>
                <w:color w:val="auto"/>
              </w:rPr>
            </w:pPr>
            <w:r>
              <w:rPr>
                <w:rFonts w:ascii="Times New Roman" w:cs="Times New Roman" w:eastAsia="Times New Roman" w:hAnsi="Times New Roman"/>
                <w:sz w:val="18"/>
                <w:szCs w:val="18"/>
                <w:color w:val="auto"/>
              </w:rPr>
              <w:t>United Kingdom</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EXCOR-ZERUST S.R.O.</w:t>
            </w:r>
          </w:p>
        </w:tc>
        <w:tc>
          <w:tcPr>
            <w:tcW w:w="3240" w:type="dxa"/>
            <w:vAlign w:val="bottom"/>
            <w:shd w:val="clear" w:color="auto" w:fill="CCEEFF"/>
          </w:tcPr>
          <w:p>
            <w:pPr>
              <w:jc w:val="center"/>
              <w:ind w:left="1531"/>
              <w:spacing w:after="0"/>
              <w:rPr>
                <w:sz w:val="20"/>
                <w:szCs w:val="20"/>
                <w:color w:val="auto"/>
              </w:rPr>
            </w:pPr>
            <w:r>
              <w:rPr>
                <w:rFonts w:ascii="Times New Roman" w:cs="Times New Roman" w:eastAsia="Times New Roman" w:hAnsi="Times New Roman"/>
                <w:sz w:val="18"/>
                <w:szCs w:val="18"/>
                <w:color w:val="auto"/>
                <w:w w:val="99"/>
              </w:rPr>
              <w:t>Czech Republic</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EXCOR SP. Z.O.O.</w:t>
            </w:r>
          </w:p>
        </w:tc>
        <w:tc>
          <w:tcPr>
            <w:tcW w:w="3240" w:type="dxa"/>
            <w:vAlign w:val="bottom"/>
          </w:tcPr>
          <w:p>
            <w:pPr>
              <w:jc w:val="center"/>
              <w:ind w:left="1531"/>
              <w:spacing w:after="0"/>
              <w:rPr>
                <w:sz w:val="20"/>
                <w:szCs w:val="20"/>
                <w:color w:val="auto"/>
              </w:rPr>
            </w:pPr>
            <w:r>
              <w:rPr>
                <w:rFonts w:ascii="Times New Roman" w:cs="Times New Roman" w:eastAsia="Times New Roman" w:hAnsi="Times New Roman"/>
                <w:sz w:val="18"/>
                <w:szCs w:val="18"/>
                <w:color w:val="auto"/>
                <w:w w:val="99"/>
              </w:rPr>
              <w:t>Poland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A.Ş.</w:t>
            </w:r>
          </w:p>
        </w:tc>
        <w:tc>
          <w:tcPr>
            <w:tcW w:w="3240" w:type="dxa"/>
            <w:vAlign w:val="bottom"/>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9"/>
              </w:rPr>
              <w:t>Turkey</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ZERUST CONSUMER PRODUCTS, LLC</w:t>
            </w:r>
          </w:p>
        </w:tc>
        <w:tc>
          <w:tcPr>
            <w:tcW w:w="32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9"/>
              </w:rPr>
              <w:t>United States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 DNEPR</w:t>
            </w:r>
          </w:p>
        </w:tc>
        <w:tc>
          <w:tcPr>
            <w:tcW w:w="3240" w:type="dxa"/>
            <w:vAlign w:val="bottom"/>
            <w:shd w:val="clear" w:color="auto" w:fill="CCEEFF"/>
          </w:tcPr>
          <w:p>
            <w:pPr>
              <w:jc w:val="center"/>
              <w:ind w:left="1531"/>
              <w:spacing w:after="0"/>
              <w:rPr>
                <w:sz w:val="20"/>
                <w:szCs w:val="20"/>
                <w:color w:val="auto"/>
              </w:rPr>
            </w:pPr>
            <w:r>
              <w:rPr>
                <w:rFonts w:ascii="Times New Roman" w:cs="Times New Roman" w:eastAsia="Times New Roman" w:hAnsi="Times New Roman"/>
                <w:sz w:val="18"/>
                <w:szCs w:val="18"/>
                <w:color w:val="auto"/>
                <w:w w:val="99"/>
              </w:rPr>
              <w:t>Ukraine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KOREA ZERUST CO., LTD.</w:t>
            </w:r>
          </w:p>
        </w:tc>
        <w:tc>
          <w:tcPr>
            <w:tcW w:w="3240" w:type="dxa"/>
            <w:vAlign w:val="bottom"/>
          </w:tcPr>
          <w:p>
            <w:pPr>
              <w:jc w:val="center"/>
              <w:ind w:left="1511"/>
              <w:spacing w:after="0" w:line="256" w:lineRule="exact"/>
              <w:rPr>
                <w:sz w:val="20"/>
                <w:szCs w:val="20"/>
                <w:color w:val="auto"/>
              </w:rPr>
            </w:pPr>
            <w:r>
              <w:rPr>
                <w:rFonts w:ascii="Times New Roman" w:cs="Times New Roman" w:eastAsia="Times New Roman" w:hAnsi="Times New Roman"/>
                <w:sz w:val="18"/>
                <w:szCs w:val="18"/>
                <w:color w:val="auto"/>
                <w:w w:val="95"/>
              </w:rPr>
              <w:t xml:space="preserve">South Korea </w:t>
            </w:r>
            <w:r>
              <w:rPr>
                <w:rFonts w:ascii="Times New Roman" w:cs="Times New Roman" w:eastAsia="Times New Roman" w:hAnsi="Times New Roman"/>
                <w:sz w:val="29"/>
                <w:szCs w:val="29"/>
                <w:color w:val="auto"/>
                <w:w w:val="95"/>
                <w:vertAlign w:val="superscript"/>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5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ZERUST-NIC (TAIWAN) CORP.</w:t>
            </w:r>
          </w:p>
        </w:tc>
        <w:tc>
          <w:tcPr>
            <w:tcW w:w="3240" w:type="dxa"/>
            <w:vAlign w:val="bottom"/>
            <w:shd w:val="clear" w:color="auto" w:fill="CCEEFF"/>
          </w:tcPr>
          <w:p>
            <w:pPr>
              <w:jc w:val="center"/>
              <w:ind w:left="1531"/>
              <w:spacing w:after="0" w:line="256" w:lineRule="exact"/>
              <w:rPr>
                <w:sz w:val="20"/>
                <w:szCs w:val="20"/>
                <w:color w:val="auto"/>
              </w:rPr>
            </w:pPr>
            <w:r>
              <w:rPr>
                <w:rFonts w:ascii="Times New Roman" w:cs="Times New Roman" w:eastAsia="Times New Roman" w:hAnsi="Times New Roman"/>
                <w:sz w:val="18"/>
                <w:szCs w:val="18"/>
                <w:color w:val="auto"/>
                <w:w w:val="91"/>
              </w:rPr>
              <w:t xml:space="preserve">Taiwan </w:t>
            </w:r>
            <w:r>
              <w:rPr>
                <w:rFonts w:ascii="Times New Roman" w:cs="Times New Roman" w:eastAsia="Times New Roman" w:hAnsi="Times New Roman"/>
                <w:sz w:val="29"/>
                <w:szCs w:val="29"/>
                <w:color w:val="auto"/>
                <w:w w:val="91"/>
                <w:vertAlign w:val="superscript"/>
              </w:rPr>
              <w:t>(1)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PT. CHEMINDO – NTIA</w:t>
            </w:r>
          </w:p>
        </w:tc>
        <w:tc>
          <w:tcPr>
            <w:tcW w:w="3240" w:type="dxa"/>
            <w:vAlign w:val="bottom"/>
          </w:tcPr>
          <w:p>
            <w:pPr>
              <w:jc w:val="center"/>
              <w:ind w:left="1511"/>
              <w:spacing w:after="0" w:line="256" w:lineRule="exact"/>
              <w:rPr>
                <w:sz w:val="20"/>
                <w:szCs w:val="20"/>
                <w:color w:val="auto"/>
              </w:rPr>
            </w:pPr>
            <w:r>
              <w:rPr>
                <w:rFonts w:ascii="Times New Roman" w:cs="Times New Roman" w:eastAsia="Times New Roman" w:hAnsi="Times New Roman"/>
                <w:sz w:val="18"/>
                <w:szCs w:val="18"/>
                <w:color w:val="auto"/>
                <w:w w:val="94"/>
              </w:rPr>
              <w:t xml:space="preserve">Indonesia </w:t>
            </w:r>
            <w:r>
              <w:rPr>
                <w:rFonts w:ascii="Times New Roman" w:cs="Times New Roman" w:eastAsia="Times New Roman" w:hAnsi="Times New Roman"/>
                <w:sz w:val="29"/>
                <w:szCs w:val="29"/>
                <w:color w:val="auto"/>
                <w:w w:val="94"/>
                <w:vertAlign w:val="superscript"/>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5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SPECIALTY TECH CO. LTD.</w:t>
            </w:r>
          </w:p>
        </w:tc>
        <w:tc>
          <w:tcPr>
            <w:tcW w:w="3240" w:type="dxa"/>
            <w:vAlign w:val="bottom"/>
            <w:shd w:val="clear" w:color="auto" w:fill="CCEEFF"/>
          </w:tcPr>
          <w:p>
            <w:pPr>
              <w:jc w:val="center"/>
              <w:ind w:left="1531"/>
              <w:spacing w:after="0" w:line="256" w:lineRule="exact"/>
              <w:rPr>
                <w:sz w:val="20"/>
                <w:szCs w:val="20"/>
                <w:color w:val="auto"/>
              </w:rPr>
            </w:pPr>
            <w:r>
              <w:rPr>
                <w:rFonts w:ascii="Times New Roman" w:cs="Times New Roman" w:eastAsia="Times New Roman" w:hAnsi="Times New Roman"/>
                <w:sz w:val="18"/>
                <w:szCs w:val="18"/>
                <w:color w:val="auto"/>
                <w:w w:val="94"/>
              </w:rPr>
              <w:t xml:space="preserve">Thailand </w:t>
            </w:r>
            <w:r>
              <w:rPr>
                <w:rFonts w:ascii="Times New Roman" w:cs="Times New Roman" w:eastAsia="Times New Roman" w:hAnsi="Times New Roman"/>
                <w:sz w:val="29"/>
                <w:szCs w:val="29"/>
                <w:color w:val="auto"/>
                <w:w w:val="94"/>
                <w:vertAlign w:val="superscript"/>
              </w:rPr>
              <w:t>(1)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CHONG WAH-NTIA SDN. BHD.</w:t>
            </w:r>
          </w:p>
        </w:tc>
        <w:tc>
          <w:tcPr>
            <w:tcW w:w="3240" w:type="dxa"/>
            <w:vAlign w:val="bottom"/>
          </w:tcPr>
          <w:p>
            <w:pPr>
              <w:jc w:val="center"/>
              <w:ind w:left="1511"/>
              <w:spacing w:after="0" w:line="256" w:lineRule="exact"/>
              <w:rPr>
                <w:sz w:val="20"/>
                <w:szCs w:val="20"/>
                <w:color w:val="auto"/>
              </w:rPr>
            </w:pPr>
            <w:r>
              <w:rPr>
                <w:rFonts w:ascii="Times New Roman" w:cs="Times New Roman" w:eastAsia="Times New Roman" w:hAnsi="Times New Roman"/>
                <w:sz w:val="18"/>
                <w:szCs w:val="18"/>
                <w:color w:val="auto"/>
                <w:w w:val="94"/>
              </w:rPr>
              <w:t xml:space="preserve">Malaysia </w:t>
            </w:r>
            <w:r>
              <w:rPr>
                <w:rFonts w:ascii="Times New Roman" w:cs="Times New Roman" w:eastAsia="Times New Roman" w:hAnsi="Times New Roman"/>
                <w:sz w:val="29"/>
                <w:szCs w:val="29"/>
                <w:color w:val="auto"/>
                <w:w w:val="94"/>
                <w:vertAlign w:val="superscript"/>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5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NTIA ZERUST PHILIPPINES, INC.</w:t>
            </w:r>
          </w:p>
        </w:tc>
        <w:tc>
          <w:tcPr>
            <w:tcW w:w="3240" w:type="dxa"/>
            <w:vAlign w:val="bottom"/>
            <w:shd w:val="clear" w:color="auto" w:fill="CCEEFF"/>
          </w:tcPr>
          <w:p>
            <w:pPr>
              <w:jc w:val="center"/>
              <w:ind w:left="1531"/>
              <w:spacing w:after="0" w:line="256" w:lineRule="exact"/>
              <w:rPr>
                <w:sz w:val="20"/>
                <w:szCs w:val="20"/>
                <w:color w:val="auto"/>
              </w:rPr>
            </w:pPr>
            <w:r>
              <w:rPr>
                <w:rFonts w:ascii="Times New Roman" w:cs="Times New Roman" w:eastAsia="Times New Roman" w:hAnsi="Times New Roman"/>
                <w:sz w:val="18"/>
                <w:szCs w:val="18"/>
                <w:color w:val="auto"/>
                <w:w w:val="94"/>
              </w:rPr>
              <w:t xml:space="preserve">Philippines </w:t>
            </w:r>
            <w:r>
              <w:rPr>
                <w:rFonts w:ascii="Times New Roman" w:cs="Times New Roman" w:eastAsia="Times New Roman" w:hAnsi="Times New Roman"/>
                <w:sz w:val="29"/>
                <w:szCs w:val="29"/>
                <w:color w:val="auto"/>
                <w:w w:val="94"/>
                <w:vertAlign w:val="superscript"/>
              </w:rPr>
              <w:t>(1)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ZERUST SINGAPORE PTE. LTD</w:t>
            </w:r>
          </w:p>
        </w:tc>
        <w:tc>
          <w:tcPr>
            <w:tcW w:w="3240" w:type="dxa"/>
            <w:vAlign w:val="bottom"/>
          </w:tcPr>
          <w:p>
            <w:pPr>
              <w:jc w:val="center"/>
              <w:ind w:left="1511"/>
              <w:spacing w:after="0" w:line="256" w:lineRule="exact"/>
              <w:rPr>
                <w:sz w:val="20"/>
                <w:szCs w:val="20"/>
                <w:color w:val="auto"/>
              </w:rPr>
            </w:pPr>
            <w:r>
              <w:rPr>
                <w:rFonts w:ascii="Times New Roman" w:cs="Times New Roman" w:eastAsia="Times New Roman" w:hAnsi="Times New Roman"/>
                <w:sz w:val="18"/>
                <w:szCs w:val="18"/>
                <w:color w:val="auto"/>
                <w:w w:val="91"/>
              </w:rPr>
              <w:t xml:space="preserve">Singapore </w:t>
            </w:r>
            <w:r>
              <w:rPr>
                <w:rFonts w:ascii="Times New Roman" w:cs="Times New Roman" w:eastAsia="Times New Roman" w:hAnsi="Times New Roman"/>
                <w:sz w:val="29"/>
                <w:szCs w:val="29"/>
                <w:color w:val="auto"/>
                <w:w w:val="91"/>
                <w:vertAlign w:val="superscript"/>
              </w:rPr>
              <w:t>(1)(2)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5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VIETNAM CO. LTD</w:t>
            </w:r>
          </w:p>
        </w:tc>
        <w:tc>
          <w:tcPr>
            <w:tcW w:w="3240" w:type="dxa"/>
            <w:vAlign w:val="bottom"/>
            <w:shd w:val="clear" w:color="auto" w:fill="CCEEFF"/>
          </w:tcPr>
          <w:p>
            <w:pPr>
              <w:jc w:val="center"/>
              <w:ind w:left="1511"/>
              <w:spacing w:after="0" w:line="256" w:lineRule="exact"/>
              <w:rPr>
                <w:sz w:val="20"/>
                <w:szCs w:val="20"/>
                <w:color w:val="auto"/>
              </w:rPr>
            </w:pPr>
            <w:r>
              <w:rPr>
                <w:rFonts w:ascii="Times New Roman" w:cs="Times New Roman" w:eastAsia="Times New Roman" w:hAnsi="Times New Roman"/>
                <w:sz w:val="18"/>
                <w:szCs w:val="18"/>
                <w:color w:val="auto"/>
                <w:w w:val="89"/>
              </w:rPr>
              <w:t xml:space="preserve">Vietnam </w:t>
            </w:r>
            <w:r>
              <w:rPr>
                <w:rFonts w:ascii="Times New Roman" w:cs="Times New Roman" w:eastAsia="Times New Roman" w:hAnsi="Times New Roman"/>
                <w:sz w:val="29"/>
                <w:szCs w:val="29"/>
                <w:color w:val="auto"/>
                <w:w w:val="89"/>
                <w:vertAlign w:val="superscript"/>
              </w:rPr>
              <w:t>(1)(2)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2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Indirect ownership interest through NTI Asean.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NTI Asean owns 100% of this joint venture.</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NTIC receives funds from its joint ventures for fees received for services that NTIC provides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NTIC considers EXCOR to be individually significant to NTIC’s consolidated assets and income. Therefore, NTIC provides certain additional information regarding EXCOR in the notes to NTIC’s consolidated financial statements and in this section of this report.</w:t>
      </w:r>
    </w:p>
    <w:p>
      <w:pPr>
        <w:spacing w:after="0" w:line="16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For more information regarding NTIC’s joint ventures and their effect on NTIC’s operating results, see NTIC’s consolidated financial statements in “</w:t>
      </w:r>
      <w:r>
        <w:rPr>
          <w:rFonts w:ascii="Times New Roman" w:cs="Times New Roman" w:eastAsia="Times New Roman" w:hAnsi="Times New Roman"/>
          <w:sz w:val="18"/>
          <w:szCs w:val="18"/>
          <w:i w:val="1"/>
          <w:iCs w:val="1"/>
          <w:color w:val="auto"/>
        </w:rPr>
        <w:t>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Part II. Item 7. Management’s Discussion and Analysis of Financial Condition and Results of Operations</w:t>
      </w:r>
      <w:r>
        <w:rPr>
          <w:rFonts w:ascii="Times New Roman" w:cs="Times New Roman" w:eastAsia="Times New Roman" w:hAnsi="Times New Roman"/>
          <w:sz w:val="18"/>
          <w:szCs w:val="18"/>
          <w:color w:val="auto"/>
        </w:rPr>
        <w:t>”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color w:val="auto"/>
        </w:rPr>
        <w:t>NTIC derives revenues directly and/or indirectly through its subsidiaries and joint ventures from two reportable business segments based on products sold, customer base, and distribution center: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prevention solutions and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w:t>
      </w:r>
    </w:p>
    <w:p>
      <w:pPr>
        <w:spacing w:after="0" w:line="38" w:lineRule="exact"/>
        <w:rPr>
          <w:sz w:val="20"/>
          <w:szCs w:val="20"/>
          <w:color w:val="auto"/>
        </w:rPr>
      </w:pPr>
    </w:p>
    <w:p>
      <w:pPr>
        <w:ind w:right="460"/>
        <w:spacing w:after="0" w:line="185" w:lineRule="auto"/>
        <w:rPr>
          <w:sz w:val="20"/>
          <w:szCs w:val="20"/>
          <w:color w:val="auto"/>
        </w:rPr>
      </w:pPr>
      <w:r>
        <w:rPr>
          <w:rFonts w:ascii="Times New Roman" w:cs="Times New Roman" w:eastAsia="Times New Roman" w:hAnsi="Times New Roman"/>
          <w:sz w:val="18"/>
          <w:szCs w:val="18"/>
          <w:b w:val="1"/>
          <w:bCs w:val="1"/>
          <w:i w:val="1"/>
          <w:iCs w:val="1"/>
          <w:color w:val="auto"/>
        </w:rPr>
        <w:t>ZERUST</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Corrosion Prevention Solutions</w:t>
      </w:r>
      <w:r>
        <w:rPr>
          <w:rFonts w:ascii="Times New Roman" w:cs="Times New Roman" w:eastAsia="Times New Roman" w:hAnsi="Times New Roman"/>
          <w:sz w:val="18"/>
          <w:szCs w:val="18"/>
          <w:color w:val="auto"/>
        </w:rPr>
        <w:t>. In fiscal 2019, 68.5% of NTIC’s consolidated net sales were derived from developing, manufacturing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NTIC’s consolidated net sales in fiscal 2019 included $38,174,712 in sales of</w:t>
      </w:r>
    </w:p>
    <w:p>
      <w:pPr>
        <w:spacing w:after="0" w:line="1"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rust and corrosion inhibiting products and services, a decrease of 7.7% from such sales in fiscal 2018. Corrosion not only damages the appearance of metal products and components but also negatively impacts their mechanical performance. This applies to the rusting of ferrous metals (iron and steel) and</w:t>
      </w:r>
    </w:p>
    <w:p>
      <w:pPr>
        <w:spacing w:after="0" w:line="1" w:lineRule="exact"/>
        <w:rPr>
          <w:sz w:val="20"/>
          <w:szCs w:val="20"/>
          <w:color w:val="auto"/>
        </w:rPr>
      </w:pPr>
    </w:p>
    <w:p>
      <w:pPr>
        <w:ind w:right="320"/>
        <w:spacing w:after="0" w:line="217" w:lineRule="auto"/>
        <w:rPr>
          <w:sz w:val="20"/>
          <w:szCs w:val="20"/>
          <w:color w:val="auto"/>
        </w:rPr>
      </w:pPr>
      <w:r>
        <w:rPr>
          <w:rFonts w:ascii="Times New Roman" w:cs="Times New Roman" w:eastAsia="Times New Roman" w:hAnsi="Times New Roman"/>
          <w:sz w:val="18"/>
          <w:szCs w:val="18"/>
          <w:color w:val="auto"/>
        </w:rPr>
        <w:t>the deterioration by oxidation of nonferrous metals (aluminum, copper, brass, etc.).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20"/>
        <w:spacing w:after="0" w:line="199" w:lineRule="auto"/>
        <w:rPr>
          <w:sz w:val="20"/>
          <w:szCs w:val="20"/>
          <w:color w:val="auto"/>
        </w:rPr>
      </w:pPr>
      <w:r>
        <w:rPr>
          <w:rFonts w:ascii="Times New Roman" w:cs="Times New Roman" w:eastAsia="Times New Roman" w:hAnsi="Times New Roman"/>
          <w:sz w:val="18"/>
          <w:szCs w:val="18"/>
          <w:i w:val="1"/>
          <w:iCs w:val="1"/>
          <w:color w:val="auto"/>
        </w:rPr>
        <w:t>Plastic and Paper Packaging</w:t>
      </w:r>
      <w:r>
        <w:rPr>
          <w:rFonts w:ascii="Times New Roman" w:cs="Times New Roman" w:eastAsia="Times New Roman" w:hAnsi="Times New Roman"/>
          <w:sz w:val="18"/>
          <w:szCs w:val="18"/>
          <w:color w:val="auto"/>
        </w:rPr>
        <w:t>.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products contain proprietary chemical formulations that continuously release an invisible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odorless corrosion inhibiting vapor that passivates metal surfaces and thereby inhibits rust and corrosion. The corrosion inhibiting protection is maintained as long as the metal products to be protected remain enclosed within the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packaging. Electron scanning shows that once the contents are removed</w:t>
      </w:r>
    </w:p>
    <w:p>
      <w:pPr>
        <w:spacing w:after="0" w:line="2"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8"/>
          <w:szCs w:val="18"/>
          <w:color w:val="auto"/>
        </w:rPr>
        <w:t>from the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packaging, the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protection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 inhibit corrosion,</w:t>
      </w:r>
    </w:p>
    <w:p>
      <w:pPr>
        <w:spacing w:after="0" w:line="1" w:lineRule="exact"/>
        <w:rPr>
          <w:sz w:val="20"/>
          <w:szCs w:val="20"/>
          <w:color w:val="auto"/>
        </w:rPr>
      </w:pPr>
    </w:p>
    <w:p>
      <w:pPr>
        <w:ind w:right="200"/>
        <w:spacing w:after="0" w:line="219" w:lineRule="auto"/>
        <w:rPr>
          <w:sz w:val="20"/>
          <w:szCs w:val="20"/>
          <w:color w:val="auto"/>
        </w:rPr>
      </w:pPr>
      <w:r>
        <w:rPr>
          <w:rFonts w:ascii="Times New Roman" w:cs="Times New Roman" w:eastAsia="Times New Roman" w:hAnsi="Times New Roman"/>
          <w:sz w:val="17"/>
          <w:szCs w:val="17"/>
          <w:color w:val="auto"/>
        </w:rPr>
        <w:t>NTIC’s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corrosion prevention solutions provide customers significant savings in labor, material, and capital expenditures for equipment to apply, remove, and dispose of oils and greases, as well as the attendant environmental problems, as compared to traditional methods of corrosion prevention.</w:t>
      </w:r>
    </w:p>
    <w:p>
      <w:pPr>
        <w:spacing w:after="0" w:line="198"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8"/>
          <w:szCs w:val="18"/>
          <w:color w:val="auto"/>
        </w:rPr>
        <w:t>NTIC was first to develop the means of infusing volatile corrosion inhibiting chemical systems (VCIs) into polyethylene and polypropylene resins. Combining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chemical systems with polyethylene and polypropylene resins permitted NTIC to introduce a line of plastic packaging products in the form of low and high-density polyethylene bags and shroud film, including stretch, shrink, skin, and bubble cushioning film, thereby giving packaging engineers an opportunity to ship and store ferrous, nonferrous, and mixed-metal products in a clean, dry, and corrosion-free condition, with an attendant overall savings in total process costs. In addition to plastic packaging, NTIC has developed additives to imbue kraft paper, corrugated cardboard, solid fiber, and chipboard packaging materials with corrosion protection properties.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plastic and paper packaging products come in various</w:t>
      </w:r>
    </w:p>
    <w:p>
      <w:pPr>
        <w:spacing w:after="0" w:line="6" w:lineRule="exact"/>
        <w:rPr>
          <w:sz w:val="20"/>
          <w:szCs w:val="20"/>
          <w:color w:val="auto"/>
        </w:rPr>
      </w:pPr>
    </w:p>
    <w:p>
      <w:pPr>
        <w:ind w:right="220"/>
        <w:spacing w:after="0" w:line="204" w:lineRule="auto"/>
        <w:rPr>
          <w:sz w:val="20"/>
          <w:szCs w:val="20"/>
          <w:color w:val="auto"/>
        </w:rPr>
      </w:pPr>
      <w:r>
        <w:rPr>
          <w:rFonts w:ascii="Times New Roman" w:cs="Times New Roman" w:eastAsia="Times New Roman" w:hAnsi="Times New Roman"/>
          <w:sz w:val="18"/>
          <w:szCs w:val="18"/>
          <w:color w:val="auto"/>
        </w:rPr>
        <w:t>thicknesses, strength enhancements, protection types, shapes, and sizes. This product line also includes items such as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gun cases, car covers, and tool-drawer liners, which are targeted at retail consumers.</w:t>
      </w:r>
    </w:p>
    <w:p>
      <w:pPr>
        <w:spacing w:after="0" w:line="19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7"/>
          <w:szCs w:val="17"/>
          <w:i w:val="1"/>
          <w:iCs w:val="1"/>
          <w:color w:val="auto"/>
        </w:rPr>
        <w:t>Liquids and Coatings</w:t>
      </w:r>
      <w:r>
        <w:rPr>
          <w:rFonts w:ascii="Times New Roman" w:cs="Times New Roman" w:eastAsia="Times New Roman" w:hAnsi="Times New Roman"/>
          <w:sz w:val="17"/>
          <w:szCs w:val="17"/>
          <w:color w:val="auto"/>
        </w:rPr>
        <w:t>. NTIC’s corrosion prevention solutions include a line of metal surface treatment liquids and coatings, which are oil, water, or bio-solvent based, and are marketed under brand names including Axxatec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Axxanol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Z-Maxx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These liquids and coatings provide powerful corrosion protection in aggressive environments, such as salt air, high humidity, and/or high temperatures. Products are formulated for most metal types and protection</w:t>
      </w:r>
    </w:p>
    <w:p>
      <w:pPr>
        <w:spacing w:after="0" w:line="2" w:lineRule="exact"/>
        <w:rPr>
          <w:sz w:val="20"/>
          <w:szCs w:val="20"/>
          <w:color w:val="auto"/>
        </w:rPr>
      </w:pPr>
    </w:p>
    <w:p>
      <w:pPr>
        <w:ind w:right="420"/>
        <w:spacing w:after="0" w:line="205" w:lineRule="auto"/>
        <w:rPr>
          <w:sz w:val="20"/>
          <w:szCs w:val="20"/>
          <w:color w:val="auto"/>
        </w:rPr>
      </w:pPr>
      <w:r>
        <w:rPr>
          <w:rFonts w:ascii="Times New Roman" w:cs="Times New Roman" w:eastAsia="Times New Roman" w:hAnsi="Times New Roman"/>
          <w:sz w:val="18"/>
          <w:szCs w:val="18"/>
          <w:color w:val="auto"/>
        </w:rPr>
        <w:t>levels. For exceptionally harsh environments, customers may choose to use a combination of NTIC’s liquids and coatings with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plastic and/or paper products to achieve robust corrosion protection during manufacturing, shipping, and warehousing stages.</w:t>
      </w:r>
    </w:p>
    <w:p>
      <w:pPr>
        <w:spacing w:after="0" w:line="19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Rust Removers and Cleaners</w:t>
      </w:r>
      <w:r>
        <w:rPr>
          <w:rFonts w:ascii="Times New Roman" w:cs="Times New Roman" w:eastAsia="Times New Roman" w:hAnsi="Times New Roman"/>
          <w:sz w:val="18"/>
          <w:szCs w:val="18"/>
          <w:color w:val="auto"/>
        </w:rPr>
        <w:t>. NTIC also sells rust removal and cleaning products designed to restore rusty parts to a usable condition without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labor-intensive, abrasive cleaners that damage surfaces and commonly fail to remove rust from complex metal surfaces, like the teeth of small gears, under the Axxaclean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brand name.</w:t>
      </w:r>
    </w:p>
    <w:p>
      <w:pPr>
        <w:spacing w:after="0" w:line="54" w:lineRule="exact"/>
        <w:rPr>
          <w:sz w:val="20"/>
          <w:szCs w:val="20"/>
          <w:color w:val="auto"/>
        </w:rPr>
      </w:pPr>
    </w:p>
    <w:p>
      <w:pPr>
        <w:spacing w:after="0" w:line="197" w:lineRule="auto"/>
        <w:rPr>
          <w:sz w:val="20"/>
          <w:szCs w:val="20"/>
          <w:color w:val="auto"/>
        </w:rPr>
      </w:pPr>
      <w:r>
        <w:rPr>
          <w:rFonts w:ascii="Times New Roman" w:cs="Times New Roman" w:eastAsia="Times New Roman" w:hAnsi="Times New Roman"/>
          <w:sz w:val="17"/>
          <w:szCs w:val="17"/>
          <w:i w:val="1"/>
          <w:iCs w:val="1"/>
          <w:color w:val="auto"/>
        </w:rPr>
        <w:t>Diffusers</w:t>
      </w:r>
      <w:r>
        <w:rPr>
          <w:rFonts w:ascii="Times New Roman" w:cs="Times New Roman" w:eastAsia="Times New Roman" w:hAnsi="Times New Roman"/>
          <w:sz w:val="17"/>
          <w:szCs w:val="17"/>
          <w:color w:val="auto"/>
        </w:rPr>
        <w:t>. NTIC’s corrosion prevention solutions include a line of corrosion inhibiting vapor diffusers, such as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ActivPak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ICT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Vapor Capsules,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ICT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Plastabs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ICT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Cor-Tabs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ICT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Pipe Strip, and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ICT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Tube Strip. These diffusers are</w:t>
      </w:r>
    </w:p>
    <w:p>
      <w:pPr>
        <w:spacing w:after="0" w:line="1"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8"/>
          <w:szCs w:val="18"/>
          <w:color w:val="auto"/>
        </w:rPr>
        <w:t>designed to protect metals within enclosures, like switch gearboxes and electronic cabinets, or can be used as added protection to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packaging products. Diffusers work by permeating the interior air of an enclosure with an invisible and odorless corrosion inhibiting vapor that protects nearby metal surfaces that are within a specific “radius of protection” for a period of one or two years depending on the model. This invisible and dry protective layer revaporizes upon removal of the capsule from the enclosure, leaving all surfaces clean, dry, residue-free, and corrosion-free.</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120"/>
        <w:spacing w:after="0" w:line="217" w:lineRule="auto"/>
        <w:rPr>
          <w:sz w:val="20"/>
          <w:szCs w:val="20"/>
          <w:color w:val="auto"/>
        </w:rPr>
      </w:pPr>
      <w:r>
        <w:rPr>
          <w:rFonts w:ascii="Times New Roman" w:cs="Times New Roman" w:eastAsia="Times New Roman" w:hAnsi="Times New Roman"/>
          <w:sz w:val="18"/>
          <w:szCs w:val="18"/>
          <w:i w:val="1"/>
          <w:iCs w:val="1"/>
          <w:color w:val="auto"/>
        </w:rPr>
        <w:t>Z-CIS</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i w:val="1"/>
          <w:iCs w:val="1"/>
          <w:color w:val="auto"/>
        </w:rPr>
        <w:t xml:space="preserve"> Technical Services</w:t>
      </w:r>
      <w:r>
        <w:rPr>
          <w:rFonts w:ascii="Times New Roman" w:cs="Times New Roman" w:eastAsia="Times New Roman" w:hAnsi="Times New Roman"/>
          <w:sz w:val="18"/>
          <w:szCs w:val="18"/>
          <w:color w:val="auto"/>
        </w:rPr>
        <w:t>. As an on-going effort to help NTIC’s customers improve and control their corrosion management processes, NTIC markets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offers unique corrosion management and consulting services to target customers. This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inhibition system (known as Z-CIS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leverages NTIC’s global network to dispatch highly-trained technical service engineers to customer sites to solve complex corrosion problems. Several major automotive companies and their automotive parts suppliers have used NTIC’s Z-CIS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system.</w:t>
      </w:r>
    </w:p>
    <w:p>
      <w:pPr>
        <w:spacing w:after="0" w:line="79" w:lineRule="exact"/>
        <w:rPr>
          <w:sz w:val="20"/>
          <w:szCs w:val="20"/>
          <w:color w:val="auto"/>
        </w:rPr>
      </w:pPr>
    </w:p>
    <w:p>
      <w:pPr>
        <w:ind w:right="300"/>
        <w:spacing w:after="0" w:line="212" w:lineRule="auto"/>
        <w:rPr>
          <w:sz w:val="20"/>
          <w:szCs w:val="20"/>
          <w:color w:val="auto"/>
        </w:rPr>
      </w:pPr>
      <w:r>
        <w:rPr>
          <w:rFonts w:ascii="Times New Roman" w:cs="Times New Roman" w:eastAsia="Times New Roman" w:hAnsi="Times New Roman"/>
          <w:sz w:val="18"/>
          <w:szCs w:val="18"/>
          <w:i w:val="1"/>
          <w:iCs w:val="1"/>
          <w:color w:val="auto"/>
        </w:rPr>
        <w:t>ZERUST</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i w:val="1"/>
          <w:iCs w:val="1"/>
          <w:color w:val="auto"/>
        </w:rPr>
        <w:t xml:space="preserve"> Corrosion Prevention Solutions Designed Specifically for the Oil and Gas Industry</w:t>
      </w:r>
      <w:r>
        <w:rPr>
          <w:rFonts w:ascii="Times New Roman" w:cs="Times New Roman" w:eastAsia="Times New Roman" w:hAnsi="Times New Roman"/>
          <w:sz w:val="18"/>
          <w:szCs w:val="18"/>
          <w:color w:val="auto"/>
        </w:rPr>
        <w:t>. NTIC has developed proprietary engineered corrosion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inhibiting solutions specifically for the mitigation of corrosion of the types of capital assets used in the petroleum and chemical process industries and has</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7"/>
          <w:szCs w:val="17"/>
          <w:color w:val="auto"/>
        </w:rPr>
        <w:t>targeted the sale of these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corrosion solutions to potential customers in the oil and gas industry. NTIC’s consolidated net sales in fiscal 2019 included $2,727,283 in sales made to customers in the oil and gas industry, a decrease of 11.1% from such sales in fiscal 2018. NTIC anticipates that its sales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into the oil and gas industry will continue to remain subject to significant volatility as sales are recognized, specifically</w:t>
      </w:r>
    </w:p>
    <w:p>
      <w:pPr>
        <w:spacing w:after="0" w:line="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due to the volatility of oil prices brought about by various political and economic factors. Demand for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sales compared to prior fiscal year period sales. Projects in Europe and the Middle East are a small but strategically important part of the sales growth picture. The infrastructure that supports the oil and gas industry is predominantly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processing, and other critical equipment. In addition to the costs associated with the replacement of parts and structures, maintenance and repairs, and product loss, there are significant economic losses associated with critical infrastructure being down for repair and maintenance. Furthermore, there are also considerable health, safety, and environmental risks caused by corrosion that can greatly increase economic losses. NTIC believes</w:t>
      </w:r>
    </w:p>
    <w:p>
      <w:pPr>
        <w:spacing w:after="0" w:line="8"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that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oil and gas corrosion prevention solutions minimize maintenance downtime on critical oil and gas industry infrastructure, extend the life of such infrastructure, and reduce the risk of environmental pollution due to leaks caused by corrosion.</w:t>
      </w:r>
    </w:p>
    <w:p>
      <w:pPr>
        <w:spacing w:after="0" w:line="203" w:lineRule="exact"/>
        <w:rPr>
          <w:sz w:val="20"/>
          <w:szCs w:val="20"/>
          <w:color w:val="auto"/>
        </w:rPr>
      </w:pPr>
    </w:p>
    <w:p>
      <w:pPr>
        <w:ind w:right="320"/>
        <w:spacing w:after="0" w:line="199" w:lineRule="auto"/>
        <w:rPr>
          <w:sz w:val="20"/>
          <w:szCs w:val="20"/>
          <w:color w:val="auto"/>
        </w:rPr>
      </w:pPr>
      <w:r>
        <w:rPr>
          <w:rFonts w:ascii="Times New Roman" w:cs="Times New Roman" w:eastAsia="Times New Roman" w:hAnsi="Times New Roman"/>
          <w:sz w:val="18"/>
          <w:szCs w:val="18"/>
          <w:color w:val="auto"/>
        </w:rPr>
        <w:t>NTIC’s rust and corrosion inhibiting products for the oil and gas industry include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Flange Savers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ReCAST-SSB solutions, and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chemicals, including Zerion powders and gels, in addition to many of the standard industrial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previously described.</w:t>
      </w:r>
    </w:p>
    <w:p>
      <w:pPr>
        <w:spacing w:after="0" w:line="20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Flange Savers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are specially designed covers that have been impregnated with a proprietary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w:t>
      </w:r>
    </w:p>
    <w:p>
      <w:pPr>
        <w:spacing w:after="0" w:line="2" w:lineRule="exact"/>
        <w:rPr>
          <w:sz w:val="20"/>
          <w:szCs w:val="20"/>
          <w:color w:val="auto"/>
        </w:rPr>
      </w:pPr>
    </w:p>
    <w:p>
      <w:pPr>
        <w:ind w:right="140"/>
        <w:spacing w:after="0" w:line="205" w:lineRule="auto"/>
        <w:rPr>
          <w:sz w:val="20"/>
          <w:szCs w:val="20"/>
          <w:color w:val="auto"/>
        </w:rPr>
      </w:pPr>
      <w:r>
        <w:rPr>
          <w:rFonts w:ascii="Times New Roman" w:cs="Times New Roman" w:eastAsia="Times New Roman" w:hAnsi="Times New Roman"/>
          <w:sz w:val="18"/>
          <w:szCs w:val="18"/>
          <w:color w:val="auto"/>
        </w:rPr>
        <w:t>maintenance, operational, and safety problems.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Flange Savers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are available in various sizes to accommodate different pipe diameters, pressure ratings, and international standards for pipeline valves and flanges.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9" w:name="page10"/>
    <w:bookmarkEnd w:id="9"/>
    <w:p>
      <w:pPr>
        <w:ind w:right="40"/>
        <w:spacing w:after="0" w:line="228" w:lineRule="auto"/>
        <w:rPr>
          <w:sz w:val="20"/>
          <w:szCs w:val="20"/>
          <w:color w:val="auto"/>
        </w:rPr>
      </w:pPr>
      <w:r>
        <w:rPr>
          <w:rFonts w:ascii="Times New Roman" w:cs="Times New Roman" w:eastAsia="Times New Roman" w:hAnsi="Times New Roman"/>
          <w:sz w:val="18"/>
          <w:szCs w:val="18"/>
          <w:color w:val="auto"/>
        </w:rPr>
        <w:t>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ReCAST-SSB solutions protect the Soil Side Bottoms (SSB) of aboveground storage tanks through a variety of unique and highly effective delivery systems designed by the Zerust Oil &amp; Gas team to deliver proprietary Zerion FVS corrosion inhibitor to spaces under tank bottoms that are susceptible to significant corrosion. Tank bottoms are typically made of steel plates, which are in direct contact with a foundation surface that may be concrete, sand/soil, or asphalt/bitumen. It is typically not possible to protect this underside surface with traditional coatings. Cathodic protection (CP) systems</w:t>
      </w:r>
    </w:p>
    <w:p>
      <w:pPr>
        <w:spacing w:after="0" w:line="2"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18"/>
          <w:szCs w:val="18"/>
          <w:color w:val="auto"/>
        </w:rPr>
        <w:t>can only provide partial protection, but also have significant limitations that cause failures well ahead of the expected service life of a tank. The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solutions provide effective protection even to areas that cannot be addressed with CP. This is an engineered solution where each system is tailored to a customer’s requirements depending on factors including the tank foundation design, specific environmental conditions, and tank diameter.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Zerion powder-based inhibitor solutions include the following:</w:t>
      </w:r>
    </w:p>
    <w:p>
      <w:pPr>
        <w:spacing w:after="0" w:line="124" w:lineRule="exact"/>
        <w:rPr>
          <w:sz w:val="20"/>
          <w:szCs w:val="20"/>
          <w:color w:val="auto"/>
        </w:rPr>
      </w:pPr>
    </w:p>
    <w:p>
      <w:pPr>
        <w:ind w:left="660" w:right="340" w:hanging="328"/>
        <w:spacing w:after="0" w:line="313"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Zerion FVS is a unique inhibitor blend that is used in both the SSB Solutions and in internal pipeline protection. This “best-in-class” product has been successfully deployed at multiple client sites in North and South America, Europe, the Middle East, India as well as other parts of Asia.</w:t>
      </w:r>
    </w:p>
    <w:p>
      <w:pPr>
        <w:spacing w:after="0" w:line="138" w:lineRule="exact"/>
        <w:rPr>
          <w:rFonts w:ascii="Times New Roman" w:cs="Times New Roman" w:eastAsia="Times New Roman" w:hAnsi="Times New Roman"/>
          <w:sz w:val="17"/>
          <w:szCs w:val="17"/>
          <w:color w:val="auto"/>
        </w:rPr>
      </w:pPr>
    </w:p>
    <w:p>
      <w:pPr>
        <w:ind w:left="660" w:right="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Zerion FAN-5 is a lower cost inhibitor that is very effective at protecting metals upon contact. It can be used to treat large volumes of water that may be used for hydrotesting. In combination with Zerion FVS, it offers a more complete solution for the protection of pipeline internals.</w:t>
      </w:r>
    </w:p>
    <w:p>
      <w:pPr>
        <w:spacing w:after="0" w:line="161" w:lineRule="exact"/>
        <w:rPr>
          <w:rFonts w:ascii="Times New Roman" w:cs="Times New Roman" w:eastAsia="Times New Roman" w:hAnsi="Times New Roman"/>
          <w:sz w:val="18"/>
          <w:szCs w:val="18"/>
          <w:color w:val="auto"/>
        </w:rPr>
      </w:pPr>
    </w:p>
    <w:p>
      <w:pPr>
        <w:jc w:val="both"/>
        <w:ind w:left="660" w:right="5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AutoFog is a revolutionary product that allows for the quick VCI saturation of large volume spaces without the need for mechanical “fogging” equipment. This rapid self-diffusing capability is designed for sealed void spaces, protection of large/complex assets like heat exchangers, and heater-treaters.</w:t>
      </w:r>
    </w:p>
    <w:p>
      <w:pPr>
        <w:spacing w:after="0" w:line="176" w:lineRule="exact"/>
        <w:rPr>
          <w:rFonts w:ascii="Times New Roman" w:cs="Times New Roman" w:eastAsia="Times New Roman" w:hAnsi="Times New Roman"/>
          <w:sz w:val="18"/>
          <w:szCs w:val="18"/>
          <w:color w:val="auto"/>
        </w:rPr>
      </w:pPr>
    </w:p>
    <w:p>
      <w:pPr>
        <w:ind w:left="660" w:hanging="328"/>
        <w:spacing w:after="0" w:line="21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 C-Series is designed to provide corrosion prevention in voids and enclosures especially when there is either stagnant water or the potential for water seepages and/or accumulation of water over time.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Sol-V™ C-Series packaging allows VCIs to release while conserving a Sol-V proprietary blend of soluble corrosion inhibitors (SCIs) until water enters the system. Typical applications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Sol-V™ C-Series packaging include offshore platform leg voids, vessels and tanks mothballed in tropical environments, ship blocks being fabricated in areas of high humidity, piping systems, and heat exchangers.</w:t>
      </w:r>
    </w:p>
    <w:p>
      <w:pPr>
        <w:spacing w:after="0" w:line="203" w:lineRule="exact"/>
        <w:rPr>
          <w:sz w:val="20"/>
          <w:szCs w:val="20"/>
          <w:color w:val="auto"/>
        </w:rPr>
      </w:pPr>
    </w:p>
    <w:p>
      <w:pPr>
        <w:ind w:right="120"/>
        <w:spacing w:after="0" w:line="198" w:lineRule="auto"/>
        <w:rPr>
          <w:sz w:val="20"/>
          <w:szCs w:val="20"/>
          <w:color w:val="auto"/>
        </w:rPr>
      </w:pPr>
      <w:r>
        <w:rPr>
          <w:rFonts w:ascii="Times New Roman" w:cs="Times New Roman" w:eastAsia="Times New Roman" w:hAnsi="Times New Roman"/>
          <w:sz w:val="17"/>
          <w:szCs w:val="17"/>
          <w:b w:val="1"/>
          <w:bCs w:val="1"/>
          <w:i w:val="1"/>
          <w:iCs w:val="1"/>
          <w:color w:val="auto"/>
        </w:rPr>
        <w:t>Natur-Tec</w:t>
      </w:r>
      <w:r>
        <w:rPr>
          <w:rFonts w:ascii="Times New Roman" w:cs="Times New Roman" w:eastAsia="Times New Roman" w:hAnsi="Times New Roman"/>
          <w:sz w:val="28"/>
          <w:szCs w:val="28"/>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Resin Compounds and Finished Products. </w:t>
      </w:r>
      <w:r>
        <w:rPr>
          <w:rFonts w:ascii="Times New Roman" w:cs="Times New Roman" w:eastAsia="Times New Roman" w:hAnsi="Times New Roman"/>
          <w:sz w:val="17"/>
          <w:szCs w:val="17"/>
          <w:color w:val="auto"/>
        </w:rPr>
        <w:t>NTIC manufactures and sells a broad range of bioplastic packaging solutions, including bio-based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certified compostable (fully biodegradable) polymer resin compounds, and finished products under the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brand. NTIC’s consolidated net sales</w:t>
      </w:r>
    </w:p>
    <w:p>
      <w:pPr>
        <w:spacing w:after="0" w:line="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in fiscal 2019 included $17,575,425 in sales of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resins and finished products, an increase of 74.9% over such sales in fiscal 2018. Market drivers such as volatile petroleum prices, reduced dependence on foreign oil, reduced carbon footprints, requirements by multinational brands for sustainable packaging solutions that meet Circular Economy and environmentally responsible end-of-life disposal mandates, and concerns about plastic residue in the environment have led to heightened interest in using sustainable, bio-based and renewable plant-biomass resources for the manufacture of plastics and industrial products. Plastics that are fully biodegradable in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compostable, or both.</w:t>
      </w:r>
    </w:p>
    <w:p>
      <w:pPr>
        <w:spacing w:after="0" w:line="203"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Resin Compounds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resin compounds are produced by blending commercially available base resins, such as Ecoflex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BASF and Ingeo</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 from NatureWorks LLC, with organic and inorganic fillers and proprietary polymer modifiers and compatibilizers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w:t>
      </w:r>
    </w:p>
    <w:p>
      <w:pPr>
        <w:spacing w:after="0" w:line="2"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17"/>
          <w:szCs w:val="17"/>
          <w:color w:val="auto"/>
        </w:rPr>
        <w:t>formulations that exhibit unique and stable morphology.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resin compounds are engineered for high performance, ease of processing, and reduced cost compared to most other bio-plastic materials and can be processed by converters using conventional plastic manufacturing processes and equipment.</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940"/>
        <w:spacing w:after="0" w:line="211" w:lineRule="auto"/>
        <w:rPr>
          <w:sz w:val="20"/>
          <w:szCs w:val="20"/>
          <w:color w:val="auto"/>
        </w:rPr>
      </w:pPr>
      <w:r>
        <w:rPr>
          <w:rFonts w:ascii="Times New Roman" w:cs="Times New Roman" w:eastAsia="Times New Roman" w:hAnsi="Times New Roman"/>
          <w:sz w:val="18"/>
          <w:szCs w:val="18"/>
          <w:color w:val="auto"/>
        </w:rPr>
        <w:t>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are available in several grades tailored for a variety of applications, such as blown-film extrusion, profile extrusion, thermoforming, extrusion coating, and injection molding.</w:t>
      </w:r>
    </w:p>
    <w:p>
      <w:pPr>
        <w:spacing w:after="0" w:line="204"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flexible film resin compounds are fully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w:t>
      </w:r>
    </w:p>
    <w:p>
      <w:pPr>
        <w:spacing w:after="0" w:line="1" w:lineRule="exact"/>
        <w:rPr>
          <w:sz w:val="20"/>
          <w:szCs w:val="20"/>
          <w:color w:val="auto"/>
        </w:rPr>
      </w:pPr>
    </w:p>
    <w:p>
      <w:pPr>
        <w:ind w:right="340"/>
        <w:spacing w:after="0" w:line="219" w:lineRule="auto"/>
        <w:rPr>
          <w:sz w:val="20"/>
          <w:szCs w:val="20"/>
          <w:color w:val="auto"/>
        </w:rPr>
      </w:pPr>
      <w:r>
        <w:rPr>
          <w:rFonts w:ascii="Times New Roman" w:cs="Times New Roman" w:eastAsia="Times New Roman" w:hAnsi="Times New Roman"/>
          <w:sz w:val="17"/>
          <w:szCs w:val="17"/>
          <w:color w:val="auto"/>
        </w:rPr>
        <w:t>(Biodegradable Products Institute) in the United States and TÜV Austria in Europe.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film resin compounds can be used to produce film for applications, such as bags, including compost bags, lawn and leaf bags, pet waste collection bags, and carry-out bags, agricultural film, and consumer and</w:t>
      </w:r>
    </w:p>
    <w:p>
      <w:pPr>
        <w:spacing w:after="0" w:line="1" w:lineRule="exact"/>
        <w:rPr>
          <w:sz w:val="20"/>
          <w:szCs w:val="20"/>
          <w:color w:val="auto"/>
        </w:rPr>
      </w:pPr>
    </w:p>
    <w:p>
      <w:pPr>
        <w:ind w:right="60"/>
        <w:spacing w:after="0" w:line="205" w:lineRule="auto"/>
        <w:rPr>
          <w:sz w:val="20"/>
          <w:szCs w:val="20"/>
          <w:color w:val="auto"/>
        </w:rPr>
      </w:pPr>
      <w:r>
        <w:rPr>
          <w:rFonts w:ascii="Times New Roman" w:cs="Times New Roman" w:eastAsia="Times New Roman" w:hAnsi="Times New Roman"/>
          <w:sz w:val="18"/>
          <w:szCs w:val="18"/>
          <w:color w:val="auto"/>
        </w:rPr>
        <w:t>industrial packaging.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film resin compounds are also used to produce bags and covers for branded apparel packaging and to manufacture specialty food service ware items, such as compostable drinking straws, thermoformed lids and disposable food-handling gloves.</w:t>
      </w:r>
    </w:p>
    <w:p>
      <w:pPr>
        <w:spacing w:after="0" w:line="203" w:lineRule="exact"/>
        <w:rPr>
          <w:sz w:val="20"/>
          <w:szCs w:val="20"/>
          <w:color w:val="auto"/>
        </w:rPr>
      </w:pPr>
    </w:p>
    <w:p>
      <w:pPr>
        <w:ind w:right="160"/>
        <w:spacing w:after="0" w:line="212" w:lineRule="auto"/>
        <w:rPr>
          <w:sz w:val="20"/>
          <w:szCs w:val="20"/>
          <w:color w:val="auto"/>
        </w:rPr>
      </w:pPr>
      <w:r>
        <w:rPr>
          <w:rFonts w:ascii="Times New Roman" w:cs="Times New Roman" w:eastAsia="Times New Roman" w:hAnsi="Times New Roman"/>
          <w:sz w:val="17"/>
          <w:szCs w:val="17"/>
          <w:color w:val="auto"/>
        </w:rPr>
        <w:t>The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compostable extrusion coating resin compounds are bio-based and biodegradable and are designed to replace conventional plastic materials for extrusion coating applications.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extrusion coating resin compounds are manufactured using sustainable and renewable resources, per the ASTM D6866 standard, which allows companies and consumers the opportunity to reduce or neutralize their carbon footprint, and are designed to meet the</w:t>
      </w:r>
    </w:p>
    <w:p>
      <w:pPr>
        <w:spacing w:after="0" w:line="2" w:lineRule="exact"/>
        <w:rPr>
          <w:sz w:val="20"/>
          <w:szCs w:val="20"/>
          <w:color w:val="auto"/>
        </w:rPr>
      </w:pPr>
    </w:p>
    <w:p>
      <w:pPr>
        <w:ind w:right="120"/>
        <w:spacing w:after="0" w:line="205" w:lineRule="auto"/>
        <w:rPr>
          <w:sz w:val="20"/>
          <w:szCs w:val="20"/>
          <w:color w:val="auto"/>
        </w:rPr>
      </w:pPr>
      <w:r>
        <w:rPr>
          <w:rFonts w:ascii="Times New Roman" w:cs="Times New Roman" w:eastAsia="Times New Roman" w:hAnsi="Times New Roman"/>
          <w:sz w:val="18"/>
          <w:szCs w:val="18"/>
          <w:color w:val="auto"/>
        </w:rPr>
        <w:t>requirements of international standards for compostable plastics, such as ASTM D6400.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extrusion coating resin compounds provide good adhesion to paper, an excellent print surface, and good heat seal strength and the coating material is suitable for food contact applications, including both hot</w:t>
      </w:r>
    </w:p>
    <w:p>
      <w:pPr>
        <w:spacing w:after="0" w:line="1" w:lineRule="exact"/>
        <w:rPr>
          <w:sz w:val="20"/>
          <w:szCs w:val="20"/>
          <w:color w:val="auto"/>
        </w:rPr>
      </w:pPr>
    </w:p>
    <w:p>
      <w:pPr>
        <w:ind w:right="80"/>
        <w:spacing w:after="0" w:line="205" w:lineRule="auto"/>
        <w:rPr>
          <w:sz w:val="20"/>
          <w:szCs w:val="20"/>
          <w:color w:val="auto"/>
        </w:rPr>
      </w:pPr>
      <w:r>
        <w:rPr>
          <w:rFonts w:ascii="Times New Roman" w:cs="Times New Roman" w:eastAsia="Times New Roman" w:hAnsi="Times New Roman"/>
          <w:sz w:val="18"/>
          <w:szCs w:val="18"/>
          <w:color w:val="auto"/>
        </w:rPr>
        <w:t>and cold applications.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extrusion coating resin compounds can be used for coating paper and paperboards for the manufacture of disposable cups, plates, and other food service ware items.</w:t>
      </w:r>
    </w:p>
    <w:p>
      <w:pPr>
        <w:spacing w:after="0" w:line="203" w:lineRule="exact"/>
        <w:rPr>
          <w:sz w:val="20"/>
          <w:szCs w:val="20"/>
          <w:color w:val="auto"/>
        </w:rPr>
      </w:pPr>
    </w:p>
    <w:p>
      <w:pPr>
        <w:ind w:right="240"/>
        <w:spacing w:after="0" w:line="212" w:lineRule="auto"/>
        <w:rPr>
          <w:sz w:val="20"/>
          <w:szCs w:val="20"/>
          <w:color w:val="auto"/>
        </w:rPr>
      </w:pPr>
      <w:r>
        <w:rPr>
          <w:rFonts w:ascii="Times New Roman" w:cs="Times New Roman" w:eastAsia="Times New Roman" w:hAnsi="Times New Roman"/>
          <w:sz w:val="17"/>
          <w:szCs w:val="17"/>
          <w:color w:val="auto"/>
        </w:rPr>
        <w:t>The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compostable injection molding resin compounds are bio-based and compostable and are designed to replace conventional plastic materials for injection molded plastic applications.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compostable injection molding resin compounds are manufactured using sustainable and renewable resources, per the ASTM D6866 standard, and are designed to meet the requirements of international standards for compostable plastics, such as ASTM</w:t>
      </w:r>
    </w:p>
    <w:p>
      <w:pPr>
        <w:spacing w:after="0" w:line="2" w:lineRule="exact"/>
        <w:rPr>
          <w:sz w:val="20"/>
          <w:szCs w:val="20"/>
          <w:color w:val="auto"/>
        </w:rPr>
      </w:pPr>
    </w:p>
    <w:p>
      <w:pPr>
        <w:jc w:val="both"/>
        <w:ind w:right="300"/>
        <w:spacing w:after="0" w:line="191" w:lineRule="auto"/>
        <w:rPr>
          <w:sz w:val="20"/>
          <w:szCs w:val="20"/>
          <w:color w:val="auto"/>
        </w:rPr>
      </w:pPr>
      <w:r>
        <w:rPr>
          <w:rFonts w:ascii="Times New Roman" w:cs="Times New Roman" w:eastAsia="Times New Roman" w:hAnsi="Times New Roman"/>
          <w:sz w:val="17"/>
          <w:szCs w:val="17"/>
          <w:color w:val="auto"/>
        </w:rPr>
        <w:t>D6400 and EN 13432.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compostable injection molding resin compounds can be used for injection molded plastic applications, such as cutlery, pens, hangers, containers, and packaging.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bio-based injection molding resin compounds are made with at least 90% bio-based/renewable</w:t>
      </w:r>
    </w:p>
    <w:p>
      <w:pPr>
        <w:spacing w:after="0" w:line="2" w:lineRule="exact"/>
        <w:rPr>
          <w:sz w:val="20"/>
          <w:szCs w:val="20"/>
          <w:color w:val="auto"/>
        </w:rPr>
      </w:pPr>
    </w:p>
    <w:p>
      <w:pPr>
        <w:jc w:val="both"/>
        <w:ind w:right="300"/>
        <w:spacing w:after="0" w:line="217" w:lineRule="auto"/>
        <w:rPr>
          <w:sz w:val="20"/>
          <w:szCs w:val="20"/>
          <w:color w:val="auto"/>
        </w:rPr>
      </w:pPr>
      <w:r>
        <w:rPr>
          <w:rFonts w:ascii="Times New Roman" w:cs="Times New Roman" w:eastAsia="Times New Roman" w:hAnsi="Times New Roman"/>
          <w:sz w:val="18"/>
          <w:szCs w:val="18"/>
          <w:color w:val="auto"/>
        </w:rPr>
        <w:t>resource-based materials, per the ASTM D6866 standard, and are meant to enhance sustainability by replacing petroleum-based plastics.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bio-based injection molding resin compounds exhibit the same properties as conventional plastic materials and can be used in applications such as automotive components, consumer goods, electronics, medical products, furniture, and packaging.</w:t>
      </w:r>
    </w:p>
    <w:p>
      <w:pPr>
        <w:spacing w:after="0" w:line="20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Finished Products</w:t>
      </w:r>
      <w:r>
        <w:rPr>
          <w:rFonts w:ascii="Times New Roman" w:cs="Times New Roman" w:eastAsia="Times New Roman" w:hAnsi="Times New Roman"/>
          <w:sz w:val="18"/>
          <w:szCs w:val="18"/>
          <w:color w:val="auto"/>
        </w:rPr>
        <w:t>.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finished products include totally biodegradable and compostable trash bags, agricultural film, and other single-use disposable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such as compostable cutlery and food and consumer goods packaging currently marketed under the Natur-Bag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Natur-Ware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brands.</w:t>
      </w:r>
    </w:p>
    <w:p>
      <w:pPr>
        <w:spacing w:after="0" w:line="79"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18"/>
          <w:szCs w:val="18"/>
          <w:color w:val="auto"/>
        </w:rPr>
        <w:t>The Natur-Bag</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 line offers 15 different compostable trash bag sizes, from 3-gallon to 96-gallon, as well as shopper bags. The bags are available in various SKU configurations, including retail packs that are sold to the consumer either through retail outlets or through online stores and industrial case packs</w:t>
      </w:r>
    </w:p>
    <w:p>
      <w:pPr>
        <w:spacing w:after="0" w:line="2"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18"/>
          <w:szCs w:val="18"/>
          <w:color w:val="auto"/>
        </w:rPr>
        <w:t>that are sold to commercial and industrial customers primarily through wholesalers and distributors. The Natur-Bag</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are manufactured from the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flexible film resin compounds and thus are fully biodegradable and compostable.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Natur-Ware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 line consists of bio-based and compostable cutlery made from the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compostable injection molding resin compounds.</w:t>
      </w:r>
    </w:p>
    <w:p>
      <w:pPr>
        <w:spacing w:after="0" w:line="192" w:lineRule="auto"/>
        <w:rPr>
          <w:sz w:val="20"/>
          <w:szCs w:val="20"/>
          <w:color w:val="auto"/>
        </w:rPr>
      </w:pPr>
      <w:r>
        <w:rPr>
          <w:rFonts w:ascii="Times New Roman" w:cs="Times New Roman" w:eastAsia="Times New Roman" w:hAnsi="Times New Roman"/>
          <w:sz w:val="18"/>
          <w:szCs w:val="18"/>
          <w:color w:val="auto"/>
        </w:rPr>
        <w:t>Natur-Ware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cutlery can be composted along with food scraps in zero-waste programs.</w:t>
      </w:r>
    </w:p>
    <w:p>
      <w:pPr>
        <w:spacing w:after="0" w:line="140"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Both Natur-Bag</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and Natur-Ware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are fully certified compostable and carry the BPI Compostable logo in the United States and the TÜV Austria OK Compost logo in Europe. Furthermore, these products were also independently tested and approved for use in organic waste diversion systems by Cedar Grove, one of the largest compost operators in the United States.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2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ZERUST</w:t>
      </w:r>
      <w:r>
        <w:rPr>
          <w:rFonts w:ascii="Times New Roman" w:cs="Times New Roman" w:eastAsia="Times New Roman" w:hAnsi="Times New Roman"/>
          <w:sz w:val="28"/>
          <w:szCs w:val="28"/>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Corrosion Prevention Solutions</w:t>
      </w:r>
      <w:r>
        <w:rPr>
          <w:rFonts w:ascii="Times New Roman" w:cs="Times New Roman" w:eastAsia="Times New Roman" w:hAnsi="Times New Roman"/>
          <w:sz w:val="17"/>
          <w:szCs w:val="17"/>
          <w:color w:val="auto"/>
        </w:rPr>
        <w:t>. In the United States, NTIC markets its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rust and corrosion inhibiting products and services, including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w:t>
      </w:r>
    </w:p>
    <w:p>
      <w:pPr>
        <w:ind w:right="540"/>
        <w:spacing w:after="0" w:line="205" w:lineRule="auto"/>
        <w:rPr>
          <w:sz w:val="20"/>
          <w:szCs w:val="20"/>
          <w:color w:val="auto"/>
        </w:rPr>
      </w:pPr>
      <w:r>
        <w:rPr>
          <w:rFonts w:ascii="Times New Roman" w:cs="Times New Roman" w:eastAsia="Times New Roman" w:hAnsi="Times New Roman"/>
          <w:sz w:val="18"/>
          <w:szCs w:val="18"/>
          <w:color w:val="auto"/>
        </w:rPr>
        <w:t>Prior to placing an order, NTIC’s technical service consultants work directly with the end users of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to analyze their specific corrosion prevention needs and develop systems to meet their performance requirements.</w:t>
      </w:r>
    </w:p>
    <w:p>
      <w:pPr>
        <w:spacing w:after="0" w:line="19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 In China, NTIC sells its products and services through NTIC China. NTIC has a wholly-owned subsidiary to conduct its business in Mexico.</w:t>
      </w:r>
    </w:p>
    <w:p>
      <w:pPr>
        <w:spacing w:after="0" w:line="18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With respect to the sales and marketing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w:t>
      </w:r>
    </w:p>
    <w:p>
      <w:pPr>
        <w:spacing w:after="0" w:line="3"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18"/>
          <w:szCs w:val="18"/>
          <w:color w:val="auto"/>
        </w:rPr>
        <w:t>direct mail campaigns and presence and participation at selected key trade shows and technical forums. NTIC continues to believe the sale of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prevention solutions to customers in the oil and gas industry will involve long sales cycles, likely including multi-year trial periods with each customer and a slow integration process thereafter.</w:t>
      </w:r>
    </w:p>
    <w:p>
      <w:pPr>
        <w:spacing w:after="0" w:line="200"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Natur-Tec</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Resin Compounds and Finished Products</w:t>
      </w:r>
      <w:r>
        <w:rPr>
          <w:rFonts w:ascii="Times New Roman" w:cs="Times New Roman" w:eastAsia="Times New Roman" w:hAnsi="Times New Roman"/>
          <w:sz w:val="18"/>
          <w:szCs w:val="18"/>
          <w:color w:val="auto"/>
        </w:rPr>
        <w:t>. In the United States, NTIC markets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resin compounds and finished products through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of national and regional distributors and independent manufacturer’s sales representatives and two NTIC direct sales employees as of August 31,</w:t>
      </w:r>
    </w:p>
    <w:p>
      <w:pPr>
        <w:spacing w:after="0" w:line="1" w:lineRule="exact"/>
        <w:rPr>
          <w:sz w:val="20"/>
          <w:szCs w:val="20"/>
          <w:color w:val="auto"/>
        </w:rPr>
      </w:pPr>
    </w:p>
    <w:p>
      <w:pPr>
        <w:ind w:right="360"/>
        <w:spacing w:after="0" w:line="208" w:lineRule="auto"/>
        <w:rPr>
          <w:sz w:val="20"/>
          <w:szCs w:val="20"/>
          <w:color w:val="auto"/>
        </w:rPr>
      </w:pPr>
      <w:r>
        <w:rPr>
          <w:rFonts w:ascii="Times New Roman" w:cs="Times New Roman" w:eastAsia="Times New Roman" w:hAnsi="Times New Roman"/>
          <w:sz w:val="17"/>
          <w:szCs w:val="17"/>
          <w:color w:val="auto"/>
        </w:rPr>
        <w:t>2019. Target customers for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finished products include individual consumers as well as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resin compounds include film extruders and injection molders who</w:t>
      </w:r>
    </w:p>
    <w:p>
      <w:pPr>
        <w:spacing w:after="0" w:line="3" w:lineRule="exact"/>
        <w:rPr>
          <w:sz w:val="20"/>
          <w:szCs w:val="20"/>
          <w:color w:val="auto"/>
        </w:rPr>
      </w:pPr>
    </w:p>
    <w:p>
      <w:pPr>
        <w:ind w:right="340"/>
        <w:spacing w:after="0" w:line="204" w:lineRule="auto"/>
        <w:rPr>
          <w:sz w:val="20"/>
          <w:szCs w:val="20"/>
          <w:color w:val="auto"/>
        </w:rPr>
      </w:pPr>
      <w:r>
        <w:rPr>
          <w:rFonts w:ascii="Times New Roman" w:cs="Times New Roman" w:eastAsia="Times New Roman" w:hAnsi="Times New Roman"/>
          <w:sz w:val="18"/>
          <w:szCs w:val="18"/>
          <w:color w:val="auto"/>
        </w:rPr>
        <w:t>would purchase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to manufacture and sell their own finished bio-based and compostable end products, such as film, bags, and cutlery.</w:t>
      </w:r>
    </w:p>
    <w:p>
      <w:pPr>
        <w:spacing w:after="0" w:line="20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Internationally, NTIC uses Natur-Tec India and its joint ventures and a network of international distributors to market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With Indian government mandates banning the use of non-biodegradable plastics in certain types of food and consumer packaging, NTIC expects the market in India for bio-plastic packaging solutions to continue to grow substantially. Similarly, in the last fiscal year, NTIC saw a rise in the sales of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in China and anticipates that sales will continue to grow.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09"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ZERUST</w:t>
      </w:r>
      <w:r>
        <w:rPr>
          <w:rFonts w:ascii="Times New Roman" w:cs="Times New Roman" w:eastAsia="Times New Roman" w:hAnsi="Times New Roman"/>
          <w:sz w:val="28"/>
          <w:szCs w:val="28"/>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Corrosion Prevention Solutions</w:t>
      </w:r>
      <w:r>
        <w:rPr>
          <w:rFonts w:ascii="Times New Roman" w:cs="Times New Roman" w:eastAsia="Times New Roman" w:hAnsi="Times New Roman"/>
          <w:sz w:val="17"/>
          <w:szCs w:val="17"/>
          <w:color w:val="auto"/>
        </w:rPr>
        <w:t>. While NTIC is unaware of any third parties with which NTIC competes on a worldwide basis with respect to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corrosion prevention solutions, NTIC does compete with several third parties on a regional basis. NTIC evaluates competing rust and corrosion inhibiting products on an ongoing basis. Some of NTIC’s competitors are established companies that may have financial resources, marketing capabilities, distribution networks and other resources substantially greater than those of NTIC. As a result, they may be able to adapt more quickly to new or emerging technologies and changes in customer requirements or to devote greater resources to the promotion and sale of their products than NTIC. With respect to its rust and corrosion inhibiting products, NTIC competes on the basis of product innovation, quality, reliability, product support, customer service, reputation, and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 applications engineering in addition to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rust and corrosion inhibiting products. Nonetheless, the</w:t>
      </w:r>
    </w:p>
    <w:p>
      <w:pPr>
        <w:spacing w:after="0" w:line="8"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8"/>
          <w:szCs w:val="18"/>
          <w:color w:val="auto"/>
        </w:rPr>
        <w:t>commoditization of certain of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has led, and may continue to lead, to lower prices and lower margins on such products. In addition, because certain barriers to entry are low, additional competitors may emerge, which likely would lead to the further commoditization of NTIC’s rust and corrosion inhibiting products.</w:t>
      </w:r>
    </w:p>
    <w:p>
      <w:pPr>
        <w:spacing w:after="0" w:line="19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With respect to NTIC’s corrosion prevention solutions for use in the oil and gas industry, NTIC’s primary barrier to entry is a combination of conservatism, complacency, and confidence in old approaches, as well as the complexity of the buying organizations. Some of NTIC’s competitors with respect to its</w:t>
      </w:r>
    </w:p>
    <w:p>
      <w:pPr>
        <w:spacing w:after="0" w:line="1"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traditional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w:t>
      </w:r>
    </w:p>
    <w:p>
      <w:pPr>
        <w:spacing w:after="0" w:line="7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Natur-Tec</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Resin Compounds and Finished Products. </w:t>
      </w:r>
      <w:r>
        <w:rPr>
          <w:rFonts w:ascii="Times New Roman" w:cs="Times New Roman" w:eastAsia="Times New Roman" w:hAnsi="Times New Roman"/>
          <w:sz w:val="18"/>
          <w:szCs w:val="18"/>
          <w:color w:val="auto"/>
        </w:rPr>
        <w:t>With respect to NTIC’s Natur-Tec® resin compounds and finished products, NTIC competes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improved shelf life, place of manufacture, and price. Because of price competition, NTIC’s margins on its Natur-Tec® resin compounds and finished products are lower than its margins on its ZERUST® corrosion prevention solutions. NTIC also has encountered in the past and could continue to encounter additional supply constraints for the base resins used to manufacture NTIC’s Natur-Tec® resin compounds and finished products since there are a limited number of suppliers of such base resins and limited capacity for their production.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with NTIC with respect to the subject of their respective research efforts. EXCOR has established a wholly-owned subsidiary, Excor Korrosionsforschung GmbH, to conduct research into new fields of corrosion inhibiting packaging and the applications engineering of such products in</w:t>
      </w:r>
    </w:p>
    <w:p>
      <w:pPr>
        <w:spacing w:after="0" w:line="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conjunction with NTIC’s domestic research and development operations. With respect to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NTIC anticipates that it will spend between $3,600,000 and $3,900,000 in fiscal 2020 on research and development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 in the United States covering various corrosion inhibiting technologies, systems, and applications and now owns several patents in these areas. These patents and patent applications have been extended to the countries of strategic relevance to NTIC, including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the above-noted countries.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w:t>
      </w:r>
    </w:p>
    <w:p>
      <w:pPr>
        <w:spacing w:after="0" w:line="199" w:lineRule="auto"/>
        <w:rPr>
          <w:sz w:val="20"/>
          <w:szCs w:val="20"/>
          <w:color w:val="auto"/>
        </w:rPr>
      </w:pPr>
      <w:r>
        <w:rPr>
          <w:rFonts w:ascii="Times New Roman" w:cs="Times New Roman" w:eastAsia="Times New Roman" w:hAnsi="Times New Roman"/>
          <w:sz w:val="18"/>
          <w:szCs w:val="18"/>
          <w:color w:val="auto"/>
        </w:rPr>
        <w:t>registered trademarks: NTI</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NTI &amp; Globe Design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EXCOR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ICT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Z-CIS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COR TAB</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PLASTABS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NATUR-TEC &amp; Design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NATUR-BAG</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and NATUR-WARE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ZERION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AUTOFOG</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FLANGE SAVER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and ACTIVPAK</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NTIC also has a registered trademark on the use of the Color Yellow with respect to corrosion inhibiting packaging. Furthermore, NTI</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EXCOR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the Color Yellow</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and NTI ASEAN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as well as other marks, have been registered in the European Union, and several new applications are pending.</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NTIC requires its employees, consultants, and advisors with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or service arrangement with NTIC will fall under NTIC’s proprietary intellectual property rights.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33" w:lineRule="exact"/>
        <w:rPr>
          <w:sz w:val="20"/>
          <w:szCs w:val="20"/>
          <w:color w:val="auto"/>
        </w:rPr>
      </w:pPr>
    </w:p>
    <w:p>
      <w:pPr>
        <w:jc w:val="both"/>
        <w:ind w:right="540"/>
        <w:spacing w:after="0" w:line="199" w:lineRule="auto"/>
        <w:rPr>
          <w:sz w:val="20"/>
          <w:szCs w:val="20"/>
          <w:color w:val="auto"/>
        </w:rPr>
      </w:pPr>
      <w:r>
        <w:rPr>
          <w:rFonts w:ascii="Times New Roman" w:cs="Times New Roman" w:eastAsia="Times New Roman" w:hAnsi="Times New Roman"/>
          <w:sz w:val="18"/>
          <w:szCs w:val="18"/>
          <w:color w:val="auto"/>
        </w:rPr>
        <w:t>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are manufactured according to NTIC’s specifications primarily by selected independent sub-contractors under trade secrecy agreements and/or license agreements. In addition, NTIC manufactures select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consisting primarily of liquids and powders, in-house at its corporate headquarters location in Circle Pines, Minnesota.</w:t>
      </w:r>
    </w:p>
    <w:p>
      <w:pPr>
        <w:spacing w:after="0" w:line="202" w:lineRule="exact"/>
        <w:rPr>
          <w:sz w:val="20"/>
          <w:szCs w:val="20"/>
          <w:color w:val="auto"/>
        </w:rPr>
      </w:pPr>
    </w:p>
    <w:p>
      <w:pPr>
        <w:jc w:val="both"/>
        <w:ind w:right="280"/>
        <w:spacing w:after="0" w:line="201" w:lineRule="auto"/>
        <w:rPr>
          <w:sz w:val="20"/>
          <w:szCs w:val="20"/>
          <w:color w:val="auto"/>
        </w:rPr>
      </w:pPr>
      <w:r>
        <w:rPr>
          <w:rFonts w:ascii="Times New Roman" w:cs="Times New Roman" w:eastAsia="Times New Roman" w:hAnsi="Times New Roman"/>
          <w:sz w:val="18"/>
          <w:szCs w:val="18"/>
          <w:color w:val="auto"/>
        </w:rPr>
        <w:t>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are produced at facilities in India, China, Malaysia, and California, USA.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can be shipped to any manufacturing facility around the world, where they then can be converted into finished products, such as a bag or piece of cutlery.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finished products are manufactured using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by selected sub-contractors.</w:t>
      </w:r>
    </w:p>
    <w:p>
      <w:pPr>
        <w:spacing w:after="0" w:line="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Raw Materials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does not typically carry excess quantities of raw materials because of widespread availability for such materials from various suppliers. However, with</w:t>
      </w:r>
    </w:p>
    <w:p>
      <w:pPr>
        <w:spacing w:after="0" w:line="27" w:lineRule="exact"/>
        <w:rPr>
          <w:sz w:val="20"/>
          <w:szCs w:val="20"/>
          <w:color w:val="auto"/>
        </w:rPr>
      </w:pPr>
    </w:p>
    <w:p>
      <w:pPr>
        <w:ind w:right="340"/>
        <w:spacing w:after="0" w:line="217" w:lineRule="auto"/>
        <w:rPr>
          <w:sz w:val="20"/>
          <w:szCs w:val="20"/>
          <w:color w:val="auto"/>
        </w:rPr>
      </w:pPr>
      <w:r>
        <w:rPr>
          <w:rFonts w:ascii="Times New Roman" w:cs="Times New Roman" w:eastAsia="Times New Roman" w:hAnsi="Times New Roman"/>
          <w:sz w:val="18"/>
          <w:szCs w:val="18"/>
          <w:color w:val="auto"/>
        </w:rPr>
        <w:t>respect to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there are a limited number of suppliers of the base resins used to manufacture the resin compounds and finished products. Additionally, there is growing demand for these base resins. In the past and during fiscal year 2019, NTIC has experienced some delays in obtaining such base resins. In addition, a few raw materials and purchased parts used in NTIC’s rust and corrosion inhibiting</w:t>
      </w:r>
    </w:p>
    <w:p>
      <w:pPr>
        <w:spacing w:after="0" w:line="3" w:lineRule="exact"/>
        <w:rPr>
          <w:sz w:val="20"/>
          <w:szCs w:val="20"/>
          <w:color w:val="auto"/>
        </w:rPr>
      </w:pPr>
    </w:p>
    <w:p>
      <w:pPr>
        <w:jc w:val="both"/>
        <w:ind w:right="320"/>
        <w:spacing w:after="0" w:line="217" w:lineRule="auto"/>
        <w:rPr>
          <w:sz w:val="20"/>
          <w:szCs w:val="20"/>
          <w:color w:val="auto"/>
        </w:rPr>
      </w:pPr>
      <w:r>
        <w:rPr>
          <w:rFonts w:ascii="Times New Roman" w:cs="Times New Roman" w:eastAsia="Times New Roman" w:hAnsi="Times New Roman"/>
          <w:sz w:val="18"/>
          <w:szCs w:val="18"/>
          <w:color w:val="auto"/>
        </w:rPr>
        <w:t>products and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finished products are sourced from suppliers who currently serve as NTIC’s sole source of supply for these materials and parts. Although NTIC believes it can obtain these raw materials and parts from other sources of supply, an unexpected loss of supply over a short period of time may not allow NTIC time to replace these sources in the ordinary course of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NTIC had an estimated order backlog of $3,224,000 as of August 31, 2019, compared to $2,068,000 as of August 31, 2018, which was generally across all business units. Sales relating to this backlog are expected to be realized during first quarter of fiscal 2020. These are orders that are held by NTIC pending release instructions from the customers to be used in just-in-time production. Customers generally place orders on an “as needed” basis and expect delivery within a relatively short period of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3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The U.S. Food and Drug Administration (FDA) has indicated to NTIC that it has no objection to the use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ICT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packaging products in protecting metal food containers and processing equipment. In addition, the manufacture, sale and use of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that NTIC does not require further FDA approval prior to the sale of its products.</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August 31, 2019, NTIC had 73 full-time employees located in North America, consisting of 22 in sales and marketing, 19 in research and development and lab, 23 in administration, and 9 in production. As of August 31, 2019, NTIC’s wholly-owned subsidiary in China had 35 full-time employees, its majority-owned subsidiary in Brazil had 20 full-time employees, its majority-owned subsidiary in India had 9 full-time employees, its wholly owned subsidiary in Mexico had no full-time employees, and its holding company, NTI Asean, had no full-time employees. There are no unions representing NTIC’s employees, and NTIC believes that its relations with its employees are good.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is not considered a part of, this report.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report on Form 10-K contains not only historical information, but also forward-looking statements that are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w:t>
      </w:r>
      <w:r>
        <w:rPr>
          <w:rFonts w:ascii="Times New Roman" w:cs="Times New Roman" w:eastAsia="Times New Roman" w:hAnsi="Times New Roman"/>
          <w:sz w:val="18"/>
          <w:szCs w:val="18"/>
          <w:i w:val="1"/>
          <w:iCs w:val="1"/>
          <w:color w:val="auto"/>
        </w:rPr>
        <w:t>Part II. 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6" w:name="page17"/>
    <w:bookmarkEnd w:id="16"/>
    <w:p>
      <w:pPr>
        <w:ind w:right="6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00" w:right="500" w:hanging="244"/>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and any turmoil and disruption in the global credit and financial markets on NTIC’s business;</w:t>
      </w:r>
    </w:p>
    <w:p>
      <w:pPr>
        <w:spacing w:after="0" w:line="165" w:lineRule="exact"/>
        <w:rPr>
          <w:rFonts w:ascii="Times New Roman" w:cs="Times New Roman" w:eastAsia="Times New Roman" w:hAnsi="Times New Roman"/>
          <w:sz w:val="18"/>
          <w:szCs w:val="18"/>
          <w:color w:val="auto"/>
        </w:rPr>
      </w:pPr>
    </w:p>
    <w:p>
      <w:pPr>
        <w:ind w:left="900" w:right="260" w:hanging="244"/>
        <w:spacing w:after="0" w:line="203" w:lineRule="auto"/>
        <w:tabs>
          <w:tab w:leader="none" w:pos="90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variability in NTIC’s sales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into the oil and gas industry and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NTIC’s equity income of joint ventures, which variability in sales and equity in income from joint venture, in turn, subject NTIC’s earnings to quarterly fluctuations;</w:t>
      </w:r>
    </w:p>
    <w:p>
      <w:pPr>
        <w:spacing w:after="0" w:line="200" w:lineRule="exact"/>
        <w:rPr>
          <w:rFonts w:ascii="Times New Roman" w:cs="Times New Roman" w:eastAsia="Times New Roman" w:hAnsi="Times New Roman"/>
          <w:sz w:val="36"/>
          <w:szCs w:val="36"/>
          <w:color w:val="auto"/>
          <w:vertAlign w:val="superscript"/>
        </w:rPr>
      </w:pPr>
    </w:p>
    <w:p>
      <w:pPr>
        <w:ind w:left="900" w:right="40" w:hanging="244"/>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900" w:right="100" w:hanging="244"/>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United Kingdom’s process to exit the European Union on NTIC’s operating results, including, in particular, future net sales of NTIC’s European and other joint ventures;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the U.S. automotive industry on NTIC’s business;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900" w:right="120" w:hanging="244"/>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w:t>
      </w:r>
    </w:p>
    <w:p>
      <w:pPr>
        <w:spacing w:after="0" w:line="225" w:lineRule="exact"/>
        <w:rPr>
          <w:rFonts w:ascii="Times New Roman" w:cs="Times New Roman" w:eastAsia="Times New Roman" w:hAnsi="Times New Roman"/>
          <w:sz w:val="18"/>
          <w:szCs w:val="18"/>
          <w:color w:val="auto"/>
        </w:rPr>
      </w:pPr>
    </w:p>
    <w:p>
      <w:pPr>
        <w:jc w:val="both"/>
        <w:ind w:left="900" w:right="60" w:hanging="244"/>
        <w:spacing w:after="0" w:line="223"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into the oil and gas industry and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the often lengthy and extensive sales process involved in selling such products and services;</w:t>
      </w:r>
    </w:p>
    <w:p>
      <w:pPr>
        <w:spacing w:after="0" w:line="19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8" w:lineRule="exact"/>
        <w:rPr>
          <w:rFonts w:ascii="Times New Roman" w:cs="Times New Roman" w:eastAsia="Times New Roman" w:hAnsi="Times New Roman"/>
          <w:sz w:val="18"/>
          <w:szCs w:val="18"/>
          <w:color w:val="auto"/>
        </w:rPr>
      </w:pPr>
    </w:p>
    <w:p>
      <w:pPr>
        <w:ind w:left="900" w:right="300" w:hanging="244"/>
        <w:spacing w:after="0" w:line="188" w:lineRule="auto"/>
        <w:tabs>
          <w:tab w:leader="none" w:pos="90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Maturation of certain existing markets for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and NTIC’s ability to grow market share and succeed in penetrating other existing and new markets;</w:t>
      </w:r>
    </w:p>
    <w:p>
      <w:pPr>
        <w:spacing w:after="0" w:line="202" w:lineRule="exact"/>
        <w:rPr>
          <w:rFonts w:ascii="Times New Roman" w:cs="Times New Roman" w:eastAsia="Times New Roman" w:hAnsi="Times New Roman"/>
          <w:sz w:val="36"/>
          <w:szCs w:val="36"/>
          <w:color w:val="auto"/>
          <w:vertAlign w:val="superscript"/>
        </w:rPr>
      </w:pPr>
    </w:p>
    <w:p>
      <w:pPr>
        <w:ind w:left="900" w:hanging="244"/>
        <w:spacing w:after="0" w:line="188" w:lineRule="auto"/>
        <w:tabs>
          <w:tab w:leader="none" w:pos="90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Increased competition, especially with respect to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and the effect of such competition on NTIC’s and its joint ventures’ pricing, net sales, and margins;</w:t>
      </w:r>
    </w:p>
    <w:p>
      <w:pPr>
        <w:spacing w:after="0" w:line="198" w:lineRule="exact"/>
        <w:rPr>
          <w:rFonts w:ascii="Times New Roman" w:cs="Times New Roman" w:eastAsia="Times New Roman" w:hAnsi="Times New Roman"/>
          <w:sz w:val="36"/>
          <w:szCs w:val="36"/>
          <w:color w:val="auto"/>
          <w:vertAlign w:val="superscript"/>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17" w:name="page18"/>
    <w:bookmarkEnd w:id="17"/>
    <w:p>
      <w:pPr>
        <w:ind w:left="900" w:hanging="244"/>
        <w:spacing w:after="0"/>
        <w:tabs>
          <w:tab w:leader="none" w:pos="900" w:val="left"/>
        </w:tabs>
        <w:numPr>
          <w:ilvl w:val="1"/>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Oil prices, which may affect sales of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into the oil and gas industry;</w:t>
      </w:r>
    </w:p>
    <w:p>
      <w:pPr>
        <w:spacing w:after="0" w:line="77" w:lineRule="exact"/>
        <w:rPr>
          <w:rFonts w:ascii="Times New Roman" w:cs="Times New Roman" w:eastAsia="Times New Roman" w:hAnsi="Times New Roman"/>
          <w:sz w:val="36"/>
          <w:szCs w:val="36"/>
          <w:color w:val="auto"/>
          <w:vertAlign w:val="superscript"/>
        </w:rPr>
      </w:pPr>
    </w:p>
    <w:p>
      <w:pPr>
        <w:ind w:left="900" w:right="780" w:hanging="244"/>
        <w:spacing w:after="0" w:line="279"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risks associated therewith, the termination of the joint venture agreements with Tianjin Zerust, and the anticipated liquidation of Tianjin Zerust and the effect of all these events on NTIC’s business and future operating results;</w:t>
      </w:r>
    </w:p>
    <w:p>
      <w:pPr>
        <w:spacing w:after="0" w:line="164" w:lineRule="exact"/>
        <w:rPr>
          <w:rFonts w:ascii="Times New Roman" w:cs="Times New Roman" w:eastAsia="Times New Roman" w:hAnsi="Times New Roman"/>
          <w:sz w:val="18"/>
          <w:szCs w:val="18"/>
          <w:color w:val="auto"/>
        </w:rPr>
      </w:pPr>
    </w:p>
    <w:p>
      <w:pPr>
        <w:ind w:left="900" w:right="340" w:hanging="244"/>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880" w:hanging="237"/>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880" w:hanging="237"/>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joint venture arrangements;</w:t>
      </w:r>
    </w:p>
    <w:p>
      <w:pPr>
        <w:spacing w:after="0" w:line="225" w:lineRule="exact"/>
        <w:rPr>
          <w:rFonts w:ascii="Times New Roman" w:cs="Times New Roman" w:eastAsia="Times New Roman" w:hAnsi="Times New Roman"/>
          <w:sz w:val="18"/>
          <w:szCs w:val="18"/>
          <w:color w:val="auto"/>
        </w:rPr>
      </w:pPr>
    </w:p>
    <w:p>
      <w:pPr>
        <w:ind w:left="880" w:hanging="237"/>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880" w:hanging="237"/>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880" w:hanging="237"/>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 including from the Tax Cuts and Jobs Act;</w:t>
      </w:r>
    </w:p>
    <w:p>
      <w:pPr>
        <w:spacing w:after="0" w:line="225" w:lineRule="exact"/>
        <w:rPr>
          <w:rFonts w:ascii="Times New Roman" w:cs="Times New Roman" w:eastAsia="Times New Roman" w:hAnsi="Times New Roman"/>
          <w:sz w:val="18"/>
          <w:szCs w:val="18"/>
          <w:color w:val="auto"/>
        </w:rPr>
      </w:pPr>
    </w:p>
    <w:p>
      <w:pPr>
        <w:ind w:left="880" w:hanging="237"/>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21" w:right="279" w:bottom="1440" w:gutter="0" w:footer="0" w:header="0"/>
        </w:sectPr>
      </w:pPr>
    </w:p>
    <w:bookmarkStart w:id="18" w:name="page19"/>
    <w:bookmarkEnd w:id="1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most significant factors known to NTIC that could materially adversely affect its business, operating results, or financial condition.</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weakness in the global economy, and in particular in the United States, Europe, India and China, and in the automotive industry, may negatively impact NTIC’s business, operating results, and financial condition.</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U.S. and world economies may suffer from uncertainty, volatility, disruption, and other adverse conditions, and those conditions may adversely impact the business community and the financial markets. Adverse economic and financial market conditions may negatively affect NTIC’s customers and its markets, thereby negatively impacting its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weaken or deteriorate, then NTIC’s business, financial condition, and operating results, including its ability to grow and expand its business and operations, could be materially and adversely affected.</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NTIC’s operating results are especially dependent upon the economic health of the economies in the United States, Europe, and China. Since a significant portion of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are sold to customers in the automotive industry, adverse economic conditions affecting the automotive industry, in particular, may result in an adverse effect on NTIC’s net sales and its other operating results. Accordingly, any weakness in the global economy, particularly the United States, Europe, India and China, and in the automotive industry, may negatively impact NTIC’s business, operating results, and financial condition.</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9" w:name="page20"/>
    <w:bookmarkEnd w:id="19"/>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regulation, quotas, duties, or tariffs, caused by the changing U.S. and geopolitical environments or otherwise, may negatively impact NTIC’s business, operating results, and financial condition.</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 government has created significant uncertainty about the future relationship between the United States and other countries with respect to trade policies, taxes, government regulations, and tariffs. The current U.S. administration has signaled support for implementing and, in some instances, has already proposed or taken action with respect to major changes to certain trade policies in an effort to encourage U.S. production. Such changes include the imposition of additional tariffs on imported products in an effort to address trade imbalances, specifically with China, the withdrawal of the U.S. from the Trans-Pacific Partnership, and the renegotiation of the North American Free Trade Agreement. In response to such actions, certain countries have imposed retaliatory actions against the U.S. NTIC and its subsidiaries and joint ventures engage in sales outside of the United States and is, therefore, negatively impacted by such actions. Any changes or potential changes in trade policies in the United States and the potential corresponding actions by other countries in which NTIC does business could adversely and materially affect NTIC’s business, results of operations, and financial condition.</w:t>
      </w:r>
    </w:p>
    <w:p>
      <w:pPr>
        <w:spacing w:after="0" w:line="181"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London Interbank Offered Rate (LIBOR) or the replacement of LIBOR with an alternative reference rate may require NTIC to renegotiate its revolving line of credit.</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option of NTIC, outstanding advances under NTIC’s $3,000,000 revolving line of credit with PNC Bank, National Association (PNC Bank) bear interest at either (a) an annual rate based on LIBOR plus 2.15% for the applicable LIBOR interest period selected by NTIC or (b) at the rate publicly announced by PNC Bank from time to time as its prime rate. On July 27, 2017, the Financial Conduct Authority in the United Kingdom announced that it would phase out LIBOR as a benchmark by the end of 2021. If LIBOR ceases to exist, NTIC may need to renegotiate its credit facility, and it may not be able to do so on terms that are favorable to NTIC. Further, the overall financial market may be disrupted as a result of the phase-out or replacement of LIBOR. The U.S. Federal Reserve, in conjunction with the Alternative Reference Rates Committee, a steering committee comprised of large U.S. financial institutions, is considering replacing LIBOR with the Secured Overnight Financing Rate (SOFR), a new index calculated by short-term repurchase agreements, backed by Treasury securities. However, whether or not SOFR attains market traction as a LIBOR replacement tool remains in question, and the future of LIBOR remains uncertain at this time. The uncertainty related to the phase-out or replacement of LIBOR could disrupt the overall financial market and adversely affect NTIC’s ability to renegotiate its revolving line of credit.</w:t>
      </w:r>
    </w:p>
    <w:p>
      <w:pPr>
        <w:spacing w:after="0" w:line="18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and recent protectionist measures by the U.S. government, including the imposition of higher tariffs and withdrawal from the Trans-Pacific Partnership,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 w:name="page21"/>
    <w:bookmarkEnd w:id="20"/>
    <w:p>
      <w:pPr>
        <w:jc w:val="both"/>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rely on NTIC’s receipt of fees for services that NTIC provides to its joint ventures and dividend distributions from its joint ventures. During fiscal 2019, NTIC recognized $5,727,579 in fees and $5,039,041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18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a significant portion of NTIC’s earnings results from NTIC’s equity income from joint ventures, and since NTIC’s equity income from joint ventures varies from quarter to quarter, NTIC’s earnings are subject to quarterly fluctuations.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1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Out of NTIC’s joint ventures, NTIC’s joint venture in Germany is the most significant in terms of assets and income to NTIC. If sales of NTIC’s products and services by this joint venture were to decline significantly or if NTIC’s relationships with this joint venture were to deteriorate significantly, NTIC’s operating results likely would be adversely affected.</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Of the total equity in income from joint ventures of $7,225,518 during fiscal 2019, NTIC had equity in income from joint ventures of $5,415,362 attributable to EXCOR. Of the total fee income for services provided to joint ventures of $5,727,579 during fiscal 2019, fees of $852,526 were attributable to EXCOR. Accordingly, if sales of NTIC’s products and services by this joint venture were to decline significantly or if NTIC’s relationships with this joint venture were to deteriorate significantly such that the joint venture terminated or was not motivated to sell NTIC’s products and services, NTIC’s operating results likely would be adversely affected.</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1" w:name="page22"/>
    <w:bookmarkEnd w:id="21"/>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sells products and services directly, through its wholly-owned and majority-owned subsidiaries, and indirectly, via a network of joint ventures, independent distributors, manufacturer’s sales representatives, and agents in over 60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sale and shipping of products and services across international borders subjects NTIC to extensive and complicated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Several factors, including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In many of the countries in which NTIC sells its products directly or indirectly through NTIC China, Zerust Brazil, Natur-Tec India, Natur-Tec Lanka, Zerust Mexico, and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89" w:lineRule="exact"/>
        <w:rPr>
          <w:sz w:val="20"/>
          <w:szCs w:val="20"/>
          <w:color w:val="auto"/>
        </w:rPr>
      </w:pPr>
    </w:p>
    <w:p>
      <w:pPr>
        <w:ind w:left="660" w:right="14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the required infrastructure costs, including legal, tax, accounting, and information technology;</w:t>
      </w:r>
    </w:p>
    <w:p>
      <w:pPr>
        <w:jc w:val="both"/>
        <w:ind w:left="660" w:right="4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NTIC or its joint ventures, distributors, representatives, and agents may experience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rate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enforcing agreements and collecting receivables through certain foreign legal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including foreign policy changes or terrorist 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or defending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changing, and often inconsistent enforcement of laws and regulations;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of U.S. income taxes on certain earnings of joint ventures upon repatriation.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2" w:name="page23"/>
    <w:bookmarkEnd w:id="22"/>
    <w:p>
      <w:pPr>
        <w:spacing w:after="0" w:line="255" w:lineRule="auto"/>
        <w:rPr>
          <w:sz w:val="20"/>
          <w:szCs w:val="20"/>
          <w:color w:val="auto"/>
        </w:rPr>
      </w:pPr>
      <w:r>
        <w:rPr>
          <w:rFonts w:ascii="Times New Roman" w:cs="Times New Roman" w:eastAsia="Times New Roman" w:hAnsi="Times New Roman"/>
          <w:sz w:val="18"/>
          <w:szCs w:val="18"/>
          <w:color w:val="auto"/>
        </w:rPr>
        <w:t>Furthermore, in June 2016, the United Kingdom held a referendum in which voters approved an exit from the European Union, commonly referred to as “Brexit.” As a result of the referendum, the British government is negotiating the terms of the United Kingdom’s future relationship with the European Union. Although it is unknown what those terms will be, or whether an agreement will be reached, it is possible that there will be increased regulatory complexities, which could affect NTIC’s ability to sell its products in certain European Union countries. Brexit could lead to legal uncertainty and potentially divergent national laws and regulations as the United Kingdom determines which European Union laws to replace or replicate. In addition, Brexit could cause disruptions to trade and free movement of goods, services, and people to and from the United Kingdom, increased foreign exchange volatility with respect to the British pound, and additional political and economic uncertainty. NTIC does not know to what extent these changes will impact its business. Any of these effects of Brexit, and other similar referenda that NTIC cannot anticipate, could adversely affect its business, operations, and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operations of NTIC China may be adversely affected by China’s evolving economic, political, and social conditions.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results of operations and future prospects of NTIC China may be adversely affected by, among other things, changes in China’s political, economic, and social conditions,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and changes in the rates or methods of taxation. In addition, changes in demand could result from increased competition with local Chinese manufacturers who have cost advantages or who may be preferred suppliers for Chinese end users. Also, Chinese commercial laws, regulations, and interpretations applicable to non-Chinese owned market participants, such as NTIC China, are continually changing. These laws, regulations, and interpretations could impose restrictions on NTIC’s and NTIC China’s ownership or operations or NTIC’s interests in China and could adversely affect NTIC’s business, results of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are difficult to enforce in China, which could harm NTIC’s business, results of operations, or financial condition.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Chinese commercial law is relatively undeveloped compared to commercial law in many of NTIC’s other major markets, and limited protection of intellectual property is available in China as a practical matter. Although NTIC takes precautions in the operation of NTIC China to protect NTIC’s intellectual property, any local manufacturer of products that NTIC undertakes in China could subject NTIC to an increased risk that unauthorized parties will be able to copy or otherwise obtain or use NTIC’s intellectual property, which could harm NTIC’s business. NTIC may also have limited legal recourse in the event it encounters patent or trademark infringers, which could adversely affect NTIC’s business,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Chinese legal system may adversely affect the operations of NTIC China.</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NTIC China is subject to laws and regulations applicable to foreign investment in China. There are uncertainties regarding the interpretation and enforcement of laws, rules, and policies in China. The Chinese legal system is based on written statutes, and prior court decisions have limited precedential value. Because many laws and regulations are relatively new, and the Chinese legal system is still evolving, the interpretations of many laws, regulations, and rules are not always uniform. Moreover, the relative inexperience of China’s judiciary in many cases creates additional uncertainty as to the outcome of any litigation, and the interpretation of statutes and regulations may be subject to government policies reflecting domestic political agendas. Finally, enforcement of existing laws or contracts based on existing law may be uncertain and sporadic. For the preceding reasons, it may be difficult for NTIC or NTIC China to obtain timely or equitable enforcement of laws ostensibly designed to protect companies like NTIC or NTIC China, which could adversely affect NTIC’s business, results of operations, and financial condition.</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could subject NTIC to, among other things, penalties and legal expenses that could harm its reputation and have a material adverse effect on its business, results of operations, and financial condition.</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9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and potential personnel changes and disciplinary actions.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putting NTIC at a disadvantage.</w:t>
      </w:r>
    </w:p>
    <w:p>
      <w:pPr>
        <w:spacing w:after="0" w:line="1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result in declines in NTIC’s earnings and changes in NTIC’s foreign currency translation adjustments.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its joint ventures and dividend distributions from these foreign entities are paid in foreign currencies;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uncertainty in developing markets could adversely affect NTIC’s revenue and earnings.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the financial instability among customers in these regions, political instability, fraud or corruption, and other non-economic factors, such as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faces intense competition in almost all of its product lines, including from competitors that have substantially greater resources than NTIC does.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can be provided that NTIC will be able to compete effectively, which would harm its business and operating results.</w:t>
      </w:r>
    </w:p>
    <w:p>
      <w:pPr>
        <w:spacing w:after="0" w:line="207" w:lineRule="exact"/>
        <w:rPr>
          <w:sz w:val="20"/>
          <w:szCs w:val="20"/>
          <w:color w:val="auto"/>
        </w:rPr>
      </w:pPr>
    </w:p>
    <w:p>
      <w:pPr>
        <w:jc w:val="both"/>
        <w:ind w:right="480"/>
        <w:spacing w:after="0" w:line="276" w:lineRule="auto"/>
        <w:rPr>
          <w:sz w:val="20"/>
          <w:szCs w:val="20"/>
          <w:color w:val="auto"/>
        </w:rPr>
      </w:pPr>
      <w:r>
        <w:rPr>
          <w:rFonts w:ascii="Times New Roman" w:cs="Times New Roman" w:eastAsia="Times New Roman" w:hAnsi="Times New Roman"/>
          <w:sz w:val="17"/>
          <w:szCs w:val="17"/>
          <w:color w:val="auto"/>
        </w:rPr>
        <w:t>NTIC’s products are sold in intensely competitive markets throughout the world. This intense competition could result in pricing pressures, lower sales, reduced margins, and lower market share. With respect to its rust and corrosion inhibiting products, NTIC competes on the basis of product innovation,</w:t>
      </w:r>
    </w:p>
    <w:p>
      <w:pPr>
        <w:spacing w:after="0" w:line="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quality, reliability, product support, customer service, reputation, and price. With respect to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NTIC competes on the basis of performance, brand awareness, distribution network, product availability, product offering, shelf life, place of manufacture, and price.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w:t>
      </w:r>
    </w:p>
    <w:p>
      <w:pPr>
        <w:spacing w:after="0" w:line="1" w:lineRule="exact"/>
        <w:rPr>
          <w:sz w:val="20"/>
          <w:szCs w:val="20"/>
          <w:color w:val="auto"/>
        </w:rPr>
      </w:pPr>
    </w:p>
    <w:p>
      <w:pPr>
        <w:ind w:right="140"/>
        <w:spacing w:after="0" w:line="224" w:lineRule="auto"/>
        <w:rPr>
          <w:sz w:val="20"/>
          <w:szCs w:val="20"/>
          <w:color w:val="auto"/>
        </w:rPr>
      </w:pPr>
      <w:r>
        <w:rPr>
          <w:rFonts w:ascii="Times New Roman" w:cs="Times New Roman" w:eastAsia="Times New Roman" w:hAnsi="Times New Roman"/>
          <w:sz w:val="18"/>
          <w:szCs w:val="18"/>
          <w:color w:val="auto"/>
        </w:rPr>
        <w:t>intense competition with respect to many of its traditional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which has led to decreased pricing and smaller margins for NTIC. Recently, NTIC has experienced lower margins on its contracts with Chinese automotive customers. NTIC anticipates that such intense competition likely will continue and that new competitors may emerge, including plastic extrusion companies, which would continue to adversely affect NTIC’s operating results.</w:t>
      </w:r>
    </w:p>
    <w:p>
      <w:pPr>
        <w:spacing w:after="0" w:line="201"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NTIC’s ZERUST</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203" w:lineRule="exact"/>
        <w:rPr>
          <w:sz w:val="20"/>
          <w:szCs w:val="20"/>
          <w:color w:val="auto"/>
        </w:rPr>
      </w:pPr>
    </w:p>
    <w:p>
      <w:pPr>
        <w:ind w:right="300"/>
        <w:spacing w:after="0" w:line="220" w:lineRule="auto"/>
        <w:rPr>
          <w:sz w:val="20"/>
          <w:szCs w:val="20"/>
          <w:color w:val="auto"/>
        </w:rPr>
      </w:pPr>
      <w:r>
        <w:rPr>
          <w:rFonts w:ascii="Times New Roman" w:cs="Times New Roman" w:eastAsia="Times New Roman" w:hAnsi="Times New Roman"/>
          <w:sz w:val="18"/>
          <w:szCs w:val="18"/>
          <w:color w:val="auto"/>
        </w:rPr>
        <w:t>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generate a significant portion of NTIC’s net sales and the net sales of NTIC’s joint ventures. During fiscal 2019, 68.5% of NTIC’s consolidated net sales were derived from sales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are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5" w:name="page26"/>
    <w:bookmarkEnd w:id="2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may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82"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2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In an effort to increase net sales, NTIC has expanded the marketing of its corrosion prevention solutions into the oil and gas industry and its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resin compounds and finished products.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w:t>
      </w:r>
    </w:p>
    <w:p>
      <w:pPr>
        <w:spacing w:after="0" w:line="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NTIC is dedicating a sufficient amount of resources to ensure the success of these strategic initiatives. The sale of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in the oil and gas industry.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26" w:name="page27"/>
    <w:bookmarkEnd w:id="26"/>
    <w:p>
      <w:pPr>
        <w:ind w:right="140"/>
        <w:spacing w:after="0" w:line="223" w:lineRule="auto"/>
        <w:rPr>
          <w:sz w:val="20"/>
          <w:szCs w:val="20"/>
          <w:color w:val="auto"/>
        </w:rPr>
      </w:pPr>
      <w:r>
        <w:rPr>
          <w:rFonts w:ascii="Times New Roman" w:cs="Times New Roman" w:eastAsia="Times New Roman" w:hAnsi="Times New Roman"/>
          <w:sz w:val="18"/>
          <w:szCs w:val="18"/>
          <w:b w:val="1"/>
          <w:bCs w:val="1"/>
          <w:i w:val="1"/>
          <w:iCs w:val="1"/>
          <w:color w:val="auto"/>
        </w:rPr>
        <w:t>The expansion of NTIC’s corrosion prevention solutions into the oil and gas industry and the continued launch of NTIC’s Natur-Tec</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204"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18"/>
          <w:szCs w:val="18"/>
          <w:color w:val="auto"/>
        </w:rPr>
        <w:t>The expansion of NTIC’s corrosion prevention solutions into the oil and gas industry and the continued expansion of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will continue to require resources during fiscal 2020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199" w:lineRule="exact"/>
        <w:rPr>
          <w:sz w:val="20"/>
          <w:szCs w:val="20"/>
          <w:color w:val="auto"/>
        </w:rPr>
      </w:pPr>
    </w:p>
    <w:p>
      <w:pPr>
        <w:jc w:val="both"/>
        <w:ind w:right="140"/>
        <w:spacing w:after="0" w:line="227" w:lineRule="auto"/>
        <w:rPr>
          <w:sz w:val="20"/>
          <w:szCs w:val="20"/>
          <w:color w:val="auto"/>
        </w:rPr>
      </w:pPr>
      <w:r>
        <w:rPr>
          <w:rFonts w:ascii="Times New Roman" w:cs="Times New Roman" w:eastAsia="Times New Roman" w:hAnsi="Times New Roman"/>
          <w:sz w:val="17"/>
          <w:szCs w:val="17"/>
          <w:b w:val="1"/>
          <w:bCs w:val="1"/>
          <w:i w:val="1"/>
          <w:iCs w:val="1"/>
          <w:color w:val="auto"/>
        </w:rPr>
        <w:t>NTIC’s strategy of expanding its corrosion prevention solutions into the oil and gas industry and continuing the expansion of its Natur-Tec</w:t>
      </w:r>
      <w:r>
        <w:rPr>
          <w:rFonts w:ascii="Times New Roman" w:cs="Times New Roman" w:eastAsia="Times New Roman" w:hAnsi="Times New Roman"/>
          <w:sz w:val="28"/>
          <w:szCs w:val="28"/>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bioplastics resin compounds and finished products is risky and may not prove to be successful, which could harm NTIC’s operating results and financial condition.</w:t>
      </w:r>
    </w:p>
    <w:p>
      <w:pPr>
        <w:spacing w:after="0" w:line="203" w:lineRule="exact"/>
        <w:rPr>
          <w:sz w:val="20"/>
          <w:szCs w:val="20"/>
          <w:color w:val="auto"/>
        </w:rPr>
      </w:pPr>
    </w:p>
    <w:p>
      <w:pPr>
        <w:jc w:val="both"/>
        <w:ind w:right="80"/>
        <w:spacing w:after="0" w:line="222" w:lineRule="auto"/>
        <w:rPr>
          <w:sz w:val="20"/>
          <w:szCs w:val="20"/>
          <w:color w:val="auto"/>
        </w:rPr>
      </w:pPr>
      <w:r>
        <w:rPr>
          <w:rFonts w:ascii="Times New Roman" w:cs="Times New Roman" w:eastAsia="Times New Roman" w:hAnsi="Times New Roman"/>
          <w:sz w:val="18"/>
          <w:szCs w:val="18"/>
          <w:color w:val="auto"/>
        </w:rPr>
        <w:t>NTIC’s strategy of expanding its corrosion prevention solutions into the oil and gas industry and continuing the expansion of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19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significant operating history;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commercialized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 acceptance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substantial and continual losses for such businesses for the foreseeable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manufacturing experience and limited marketing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expected reliance on third parties for the manufacture and commercialization of some of the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competitive environment characterized by numerous, well-established and well-capitalized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capital and other resources;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personnel.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relies on others for its production and any interruptions of these arrangements could disrupt NTIC’s ability to fill its customers’ orders.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thus adversely affecting NTIC’s net sales and other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NTIC’s dependence on manufacturing and logistical services provided by contractors could give rise to product defect or warranty liability.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uses third party manufacturers to produce the majority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 or warranty liability. In addition, product defects could harm NTIC’s reputation amongst its customers.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 relies on suppliers for certain raw materials and components used in its products. For reasons of quality assurance, cost effectiveness, or availability, NTIC procures certain raw materials and components from sole or limited source suppliers. Among the limited source suppliers NTIC does business with are</w:t>
      </w:r>
    </w:p>
    <w:p>
      <w:pPr>
        <w:ind w:right="40"/>
        <w:spacing w:after="0" w:line="232" w:lineRule="auto"/>
        <w:rPr>
          <w:sz w:val="20"/>
          <w:szCs w:val="20"/>
          <w:color w:val="auto"/>
        </w:rPr>
      </w:pPr>
      <w:r>
        <w:rPr>
          <w:rFonts w:ascii="Times New Roman" w:cs="Times New Roman" w:eastAsia="Times New Roman" w:hAnsi="Times New Roman"/>
          <w:sz w:val="18"/>
          <w:szCs w:val="18"/>
          <w:color w:val="auto"/>
        </w:rPr>
        <w:t>the manufacturers of plastic resins used in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NTIC generally acquires these and other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spacing w:after="0" w:line="20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Shortages of raw materials, quality control problems, production capacity constraints, or delays by suppliers could negatively affect NTIC’s ability to meet its production obligations and result in increased prices for affected parts. For example, the rapid growth in demand for bioplastics products globally has increased the demand and the price for plastic resins, and limited suppliers of such plastic resins may experience shortages caused by demand outpacing their</w:t>
      </w:r>
    </w:p>
    <w:p>
      <w:pPr>
        <w:spacing w:after="0" w:line="2" w:lineRule="exact"/>
        <w:rPr>
          <w:sz w:val="20"/>
          <w:szCs w:val="20"/>
          <w:color w:val="auto"/>
        </w:rPr>
      </w:pPr>
    </w:p>
    <w:p>
      <w:pPr>
        <w:ind w:right="240"/>
        <w:spacing w:after="0" w:line="224" w:lineRule="auto"/>
        <w:rPr>
          <w:sz w:val="20"/>
          <w:szCs w:val="20"/>
          <w:color w:val="auto"/>
        </w:rPr>
      </w:pPr>
      <w:r>
        <w:rPr>
          <w:rFonts w:ascii="Times New Roman" w:cs="Times New Roman" w:eastAsia="Times New Roman" w:hAnsi="Times New Roman"/>
          <w:sz w:val="18"/>
          <w:szCs w:val="18"/>
          <w:color w:val="auto"/>
        </w:rPr>
        <w:t>production capabilities, which could result in NTIC’s inability to produce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promptly or in the volumes demanded. These and other shortages, constraints, or delays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prices for raw materials and components used in NTIC’s products could adversely affect NTIC’s operating results.</w:t>
      </w:r>
    </w:p>
    <w:p>
      <w:pPr>
        <w:spacing w:after="0" w:line="22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NTIC uses certain raw materials and components in its products, including in particular plastic resins, which are subject to price increases. In light of increased global demand for bioplastics, the prices of certain plastic resins have increased, which could adversely affect gross margins on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Additionally, changes to international trade agreements could result in additional tariffs, duties, or other charges on raw materials or components we import into the U.S. Increases in prices for raw materials and components used in NTIC’s products could adversely affect NTIC’s gross margins and other operating results.</w:t>
      </w:r>
    </w:p>
    <w:p>
      <w:pPr>
        <w:spacing w:after="0" w:line="198" w:lineRule="exact"/>
        <w:rPr>
          <w:sz w:val="20"/>
          <w:szCs w:val="20"/>
          <w:color w:val="auto"/>
        </w:rPr>
      </w:pPr>
    </w:p>
    <w:p>
      <w:pPr>
        <w:ind w:right="600"/>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NTIC’s Natur-Tec</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19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w:t>
      </w:r>
    </w:p>
    <w:p>
      <w:pPr>
        <w:ind w:right="120"/>
        <w:spacing w:after="0" w:line="219" w:lineRule="auto"/>
        <w:rPr>
          <w:sz w:val="20"/>
          <w:szCs w:val="20"/>
          <w:color w:val="auto"/>
        </w:rPr>
      </w:pPr>
      <w:r>
        <w:rPr>
          <w:rFonts w:ascii="Times New Roman" w:cs="Times New Roman" w:eastAsia="Times New Roman" w:hAnsi="Times New Roman"/>
          <w:sz w:val="17"/>
          <w:szCs w:val="17"/>
          <w:color w:val="auto"/>
        </w:rPr>
        <w:t>is still developing. The commercial success of NTIC’s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resin compounds and finished products depends on the widespread market acceptance of products manufactured with bio-based and biodegradable resins. It is currently difficult to assess or predict with any assurance the potential size, timing, and</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viability of market opportunities for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The traditional plastics market sector is well-established with entrenched competitors with whom NTIC competes. Pricing for traditional plastics has been highly volatile in recent years, which drives, to some extent,</w:t>
      </w:r>
    </w:p>
    <w:p>
      <w:pPr>
        <w:spacing w:after="0" w:line="1" w:lineRule="exact"/>
        <w:rPr>
          <w:sz w:val="20"/>
          <w:szCs w:val="20"/>
          <w:color w:val="auto"/>
        </w:rPr>
      </w:pPr>
    </w:p>
    <w:p>
      <w:pPr>
        <w:ind w:right="360"/>
        <w:spacing w:after="0" w:line="219" w:lineRule="auto"/>
        <w:rPr>
          <w:sz w:val="20"/>
          <w:szCs w:val="20"/>
          <w:color w:val="auto"/>
        </w:rPr>
      </w:pPr>
      <w:r>
        <w:rPr>
          <w:rFonts w:ascii="Times New Roman" w:cs="Times New Roman" w:eastAsia="Times New Roman" w:hAnsi="Times New Roman"/>
          <w:sz w:val="17"/>
          <w:szCs w:val="17"/>
          <w:color w:val="auto"/>
        </w:rPr>
        <w:t>the commercial and other support for bioplastics. While NTIC expects to be able to command a premium price for its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resin compounds and finished products, a widening gap in the pricing for bioplastics versus petroleum-based plastics may reduce the size of the addressable market for NTIC’s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In addition, the growth of the market will create some pressure on price for applications today considered commodities, including in particular NTIC’s current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finished products.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8" w:name="page29"/>
    <w:bookmarkEnd w:id="28"/>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and revised tax law interpretations, also may adversely affect NTIC’s operating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reforms could adversely affect NTIC’s business, results of operations, or financial conditions.</w:t>
      </w:r>
    </w:p>
    <w:p>
      <w:pPr>
        <w:spacing w:after="0" w:line="22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On December 22, 2017, the U.S. government enacted comprehensive tax legislation referred to as the Tax Cuts and Jobs Act (Tax Reform Act). The Tax Reform Act makes broad and complex changes to the U.S. corporate income tax system and includes a Transition Toll Tax (Toll Tax), which is a one-time mandatory deemed repatriation tax on accumulated foreign subsidiaries’ previously untaxed foreign earnings. The Toll Tax will be paid over an eight-year period, starting in 2018, and will not accrue interest. The Tax Reform Act also imposed a global intangible low-taxed income tax (GILTI), which is a new tax on certain off-shore earnings at an effective rate of 10.5% for tax years beginning after December 31, 2017 (increasing to 13.125% for tax years beginning after December 31, 2025) with a partial offset for foreign tax credits. NTIC continues to analyze the impact the Tax Reform Act may have on NTIC’s business, results of operations, or financial condition. U.S Treasury regulations, administrative interpretations, or court decisions interpreting the Tax Reform Act may require changes in NTIC’s estimates, which could have a material adverse effect on NTIC’s business, results of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NTIC’s effective tax rate could have a significant impact on NTIC’s financial position, results of operations, or cash flows.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mix of pre-tax income or loss among the tax jurisdictions in which NTIC operates, which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could result in a valuation allowance for these assets. Final determination of tax audits or tax disputes may be different from what is currently reflected by NTIC’s income tax provisions and accruals.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NTIC may grow its business through additional joint ventures, subsidiaries, alliances, and acquisitions, which could be risky and harm its business.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w:t>
      </w:r>
    </w:p>
    <w:p>
      <w:pPr>
        <w:spacing w:after="0" w:line="27"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the operations and products of a new joint venture or acquired business or in realizing projected efficiencies, cost savings, and revenue synergies;</w:t>
      </w:r>
    </w:p>
    <w:p>
      <w:pPr>
        <w:ind w:left="660" w:right="10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or customers of the new joint venture or acquired business or adverse effects on existing business relationships with suppliers and customers;</w:t>
      </w:r>
    </w:p>
    <w:p>
      <w:pPr>
        <w:ind w:left="660" w:right="58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the new joint venture or acquired business does not achieve the financial results projected in NTIC’s valuation models;</w:t>
      </w:r>
    </w:p>
    <w:p>
      <w:pPr>
        <w:ind w:left="660" w:right="3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undisclosed, contingent, or other liabilities or problems and unanticipated costs associated with the new joint venture or acquisition; and</w:t>
      </w:r>
    </w:p>
    <w:p>
      <w:pPr>
        <w:ind w:left="660" w:right="2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relies on its joint ventures, distributors, manufacturer’s sales representatives, and other agents to market and sell its products.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 w:name="page31"/>
    <w:bookmarkEnd w:id="30"/>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of ZERUST</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rust and corrosion inhibiting products into the oil and gas industry is especially risky in light of the hazards typically associated</w:t>
      </w:r>
    </w:p>
    <w:p>
      <w:pPr>
        <w:ind w:right="520"/>
        <w:spacing w:after="0" w:line="204" w:lineRule="auto"/>
        <w:rPr>
          <w:sz w:val="20"/>
          <w:szCs w:val="20"/>
          <w:color w:val="auto"/>
        </w:rPr>
      </w:pPr>
      <w:r>
        <w:rPr>
          <w:rFonts w:ascii="Times New Roman" w:cs="Times New Roman" w:eastAsia="Times New Roman" w:hAnsi="Times New Roman"/>
          <w:sz w:val="18"/>
          <w:szCs w:val="18"/>
          <w:b w:val="1"/>
          <w:bCs w:val="1"/>
          <w:i w:val="1"/>
          <w:iCs w:val="1"/>
          <w:color w:val="auto"/>
        </w:rPr>
        <w:t>with such operations and the significant amount of potential liability involved, which could adversely affect NTIC’s business if ZERUST</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rust and corrosion inhibiting products are involved, even if the cause of such events was not related to NTIC’s products.</w:t>
      </w:r>
    </w:p>
    <w:p>
      <w:pPr>
        <w:spacing w:after="0" w:line="204"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8"/>
          <w:szCs w:val="18"/>
          <w:color w:val="auto"/>
        </w:rPr>
        <w:t>Because NTIC sells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of ZERUST</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rust and corrosion inhibiting products into the oil and gas industry is somewhat seasonal and dependent upon oil prices.</w:t>
      </w:r>
    </w:p>
    <w:p>
      <w:pPr>
        <w:spacing w:after="0" w:line="13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7"/>
          <w:szCs w:val="17"/>
          <w:color w:val="auto"/>
        </w:rPr>
        <w:t>In the past, NTIC has experienced some seasonality with respect to the sale of its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rust and corrosion inhibiting products into the oil and gas industry, with sales during parts of the second and third fiscal quarters being adversely affected by winter in the United States. In addition, the sale of NTIC’s</w:t>
      </w:r>
    </w:p>
    <w:p>
      <w:pPr>
        <w:spacing w:after="0" w:line="217" w:lineRule="auto"/>
        <w:rPr>
          <w:sz w:val="20"/>
          <w:szCs w:val="20"/>
          <w:color w:val="auto"/>
        </w:rPr>
      </w:pPr>
      <w:r>
        <w:rPr>
          <w:rFonts w:ascii="Times New Roman" w:cs="Times New Roman" w:eastAsia="Times New Roman" w:hAnsi="Times New Roman"/>
          <w:sz w:val="18"/>
          <w:szCs w:val="18"/>
          <w:color w:val="auto"/>
        </w:rPr>
        <w:t>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into the oil and gas industry, particularly in the United States, has been and may continue to be hampered by low global crude oil prices, which NTIC believes constrains capital improvement budgets of its existing and prospective customers and may result in personnel turnover at its oil and gas customers or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weather could have a material adverse effect on our business.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NTIC’s business could be materially and adversely affected by severe weather. NTIC’s customers, including in particular NTIC’s oil and gas customers, may have operations located in parts of the southern United States or other places and may be adversely affected by hurricanes and tropical storms, resulting in reduced demand for NTIC’s products and services or increased operating costs. Furthermore, NTIC’s customers and raw material suppliers’ operations may be adversely affected by such hurricanes and other extreme or seasonal weather conditions. Adverse weather can also directly impede NTIC’s operations. Repercussions of severe weather conditions may include:</w:t>
      </w:r>
    </w:p>
    <w:p>
      <w:pPr>
        <w:spacing w:after="0" w:line="184" w:lineRule="exact"/>
        <w:rPr>
          <w:sz w:val="20"/>
          <w:szCs w:val="20"/>
          <w:color w:val="auto"/>
        </w:rPr>
      </w:pPr>
    </w:p>
    <w:p>
      <w:pPr>
        <w:ind w:left="700" w:hanging="327"/>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services or reduced demand for products;</w:t>
      </w:r>
    </w:p>
    <w:p>
      <w:pPr>
        <w:spacing w:after="0" w:line="27"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damage to facilities and equipment, resulting in suspension of operations;</w:t>
      </w:r>
    </w:p>
    <w:p>
      <w:pPr>
        <w:spacing w:after="0" w:line="9" w:lineRule="exact"/>
        <w:rPr>
          <w:rFonts w:ascii="Times New Roman" w:cs="Times New Roman" w:eastAsia="Times New Roman" w:hAnsi="Times New Roman"/>
          <w:sz w:val="18"/>
          <w:szCs w:val="18"/>
          <w:color w:val="auto"/>
        </w:rPr>
      </w:pPr>
    </w:p>
    <w:p>
      <w:pPr>
        <w:ind w:left="700" w:right="640" w:hanging="327"/>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deliver equipment, personnel and products to job sites in accordance with contract schedules or increased transportation or other operating costs; and</w:t>
      </w:r>
    </w:p>
    <w:p>
      <w:pPr>
        <w:ind w:left="700" w:hanging="327"/>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constraints could delay NTIC’s operations and materially increase NTIC’s operating and capital costs.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NTIC has limited staffing and will continue to be dependent upon key employees.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NTIC’s current management, other than its President and Chief Executive Officer, does not have any material stock ownership in NTIC.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Given NTIC’s limited resources, it may not effectively manage its growth.</w:t>
      </w:r>
    </w:p>
    <w:p>
      <w:pPr>
        <w:spacing w:after="0" w:line="23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NTIC’s strategy to grow its business, including in particular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for the oil and gas industry and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operating results, and financial condition.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NTIC’s operations are subject to regulation by the U.S. Food and Drug Administration.</w:t>
      </w:r>
    </w:p>
    <w:p>
      <w:pPr>
        <w:spacing w:after="0" w:line="233"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7"/>
          <w:szCs w:val="17"/>
          <w:color w:val="auto"/>
        </w:rPr>
        <w:t>The manufacture, sale, and use of NTIC’s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resin compounds comply with all FDA requirements.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failure to comply with FDA regulations could subject NTIC to administrative, civil, or criminal penalties.</w:t>
      </w:r>
    </w:p>
    <w:p>
      <w:pPr>
        <w:spacing w:after="0" w:line="20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75"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including terrorist attacks, attacks by computer viruses or hackers, power loss to computer systems, Internet outages, and telecommunications or data network failure. Any such interruption could adversely affect NTIC’s business and operating results.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NTIC’s business could be negatively impacted by cyber security threats.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 may not achieve its annual financial guidance or projected goals and objectives in the time periods that NTIC anticipates or announces publicly, which could have an adverse effect on NTIC’s business and could cause its stock price to decline.</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 quarterly basis, NTIC typically provides projected annual financial information, including its anticipated annual net sales and net earnings. These financial projections are based on management’s then-current expectations and typically do not contain any margin of error or cushion for any specific uncertainties or for the uncertainties inherent in all financial forecasting. The failure to achieve such financial projections has had in the past and may have in the future an adverse effect on NTIC’s business, disappoint investors and analysts, and cause its stock price to decline.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33" w:name="page34"/>
    <w:bookmarkEnd w:id="33"/>
    <w:p>
      <w:pPr>
        <w:ind w:right="80"/>
        <w:spacing w:after="0" w:line="214" w:lineRule="auto"/>
        <w:rPr>
          <w:sz w:val="20"/>
          <w:szCs w:val="20"/>
          <w:color w:val="auto"/>
        </w:rPr>
      </w:pPr>
      <w:r>
        <w:rPr>
          <w:rFonts w:ascii="Times New Roman" w:cs="Times New Roman" w:eastAsia="Times New Roman" w:hAnsi="Times New Roman"/>
          <w:sz w:val="18"/>
          <w:szCs w:val="18"/>
          <w:color w:val="auto"/>
        </w:rPr>
        <w:t>NTIC also sets goals and objectives for, and makes public statements regarding, the timing of certain accomplishments and milestones regarding its business, such as its progress in selling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to customers in the oil and gas industry, the progress and</w:t>
      </w:r>
    </w:p>
    <w:p>
      <w:pPr>
        <w:ind w:right="40"/>
        <w:spacing w:after="0" w:line="234" w:lineRule="auto"/>
        <w:rPr>
          <w:sz w:val="20"/>
          <w:szCs w:val="20"/>
          <w:color w:val="auto"/>
        </w:rPr>
      </w:pPr>
      <w:r>
        <w:rPr>
          <w:rFonts w:ascii="Times New Roman" w:cs="Times New Roman" w:eastAsia="Times New Roman" w:hAnsi="Times New Roman"/>
          <w:sz w:val="18"/>
          <w:szCs w:val="18"/>
          <w:color w:val="auto"/>
        </w:rPr>
        <w:t>timing of its various field trials with prospective customers in the oil and gas industry, its ability to increase sales of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and other developments and milestones. The actual timing of these events can vary dramatically due to a number of factors, including, without limitation, the timing of the receipt of purchase orders, delays or failures in current field trials, the amount of time, effort, and resources committed to the sales and marketing of NTIC’s products and services by NTIC and its current and potential future distributors and agents, and the uncertainties inherent in introducing new products and services. As a result, there can be no assurance that NTIC will succeed in achieving its projected goals and objectives in the time periods that NTIC anticipates or announces publicly. The failure to achieve such projected goals and objectives in the time periods that NTIC anticipates or announces publicly could have an adverse effect on NTIC’s business, disappoint investors and analysts, and cause its stock price to decline.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NTIC’s quarterly results are typically unpredictable and subject to variation.</w:t>
      </w:r>
    </w:p>
    <w:p>
      <w:pPr>
        <w:spacing w:after="0" w:line="2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the overall size of NTIC’s net sales to joint ventures, the timing of one or more orders can materially affect NTIC’s quarterly sales to joint ventures and the comparisons to prior year quarters. In</w:t>
      </w:r>
    </w:p>
    <w:p>
      <w:pPr>
        <w:spacing w:after="0" w:line="2" w:lineRule="exact"/>
        <w:rPr>
          <w:sz w:val="20"/>
          <w:szCs w:val="20"/>
          <w:color w:val="auto"/>
        </w:rPr>
      </w:pPr>
    </w:p>
    <w:p>
      <w:pPr>
        <w:ind w:right="40"/>
        <w:spacing w:after="0" w:line="191" w:lineRule="auto"/>
        <w:rPr>
          <w:sz w:val="20"/>
          <w:szCs w:val="20"/>
          <w:color w:val="auto"/>
        </w:rPr>
      </w:pPr>
      <w:r>
        <w:rPr>
          <w:rFonts w:ascii="Times New Roman" w:cs="Times New Roman" w:eastAsia="Times New Roman" w:hAnsi="Times New Roman"/>
          <w:sz w:val="17"/>
          <w:szCs w:val="17"/>
          <w:color w:val="auto"/>
        </w:rPr>
        <w:t>addition, because of the typical size of individual orders and the overall size of NTIC’s net sales derived from sales of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the timing of one or more orders can materially affect NTIC’s quarterly sales of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the comparisons to prior year quarters. Furthermore, since ZERUST</w:t>
      </w:r>
      <w:r>
        <w:rPr>
          <w:rFonts w:ascii="Times New Roman" w:cs="Times New Roman" w:eastAsia="Times New Roman" w:hAnsi="Times New Roman"/>
          <w:sz w:val="28"/>
          <w:szCs w:val="28"/>
          <w:color w:val="auto"/>
          <w:vertAlign w:val="superscript"/>
        </w:rPr>
        <w:t>®</w:t>
      </w:r>
    </w:p>
    <w:p>
      <w:pPr>
        <w:spacing w:after="0" w:line="2" w:lineRule="exact"/>
        <w:rPr>
          <w:sz w:val="20"/>
          <w:szCs w:val="20"/>
          <w:color w:val="auto"/>
        </w:rPr>
      </w:pPr>
    </w:p>
    <w:p>
      <w:pPr>
        <w:jc w:val="both"/>
        <w:ind w:right="100"/>
        <w:spacing w:after="0" w:line="224" w:lineRule="auto"/>
        <w:rPr>
          <w:sz w:val="20"/>
          <w:szCs w:val="20"/>
          <w:color w:val="auto"/>
        </w:rPr>
      </w:pPr>
      <w:r>
        <w:rPr>
          <w:rFonts w:ascii="Times New Roman" w:cs="Times New Roman" w:eastAsia="Times New Roman" w:hAnsi="Times New Roman"/>
          <w:sz w:val="18"/>
          <w:szCs w:val="18"/>
          <w:color w:val="auto"/>
        </w:rPr>
        <w:t>products for the oil and gas industry typically carry higher margins than other traditional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the amount of sales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is exposed to risks relating to its evaluation of its internal control over financial reporting, as required by Section 404 of the Sarbanes-Oxley Act.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including the Dodd-Frank Wall Street Reform and Consumer Protection Act and the Sarbanes-Oxley Act of 2002 and related and other regulations implemented by the SEC and the Nasdaq Stock Market, are challenging for small publicly-held companies, including NTIC. NTIC’s efforts to comply with evolving laws, regulations, and standards have resulted in, and are likely to continue to result in, significant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and the attestation report by NTIC’s independent registered public accounting firm have required and will continue to require the expenditure of significant financial and managerial resources. Although NTIC’s management has concluded that NTIC’s internal control over financial reporting was effective as of August 31, 2019, no assurance can be provided that NTIC’s management will reach a similar conclusion as of any later date. NTIC’s failure to maintain effective internal control over financial reporting may have an adverse effect on its stock price.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NTIC’s compliance with accounting principles generally accepted in the United States of America and any changes in such principles might adversely affect NTIC’s operating results and financial condition. Any requirement to consolidate NTIC’s joint ventures could adversely affect NTIC’s operating results and financial condition.</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If there were a change in accounting rules and NTIC were required to fully consolidate its joint ventures or if NTIC’s joint ventures otherwise would be required to be consolidated with NTIC,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NTIC’s business is subject to a number of other miscellaneous risks that may adversely affect NTIC’s operating results, financial condition, or business.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NTIC’s business is subject to a number of other miscellaneous risks that may adversely affect NTIC’s operating results, and financial condition, such as natural or man-made disasters, an unexpected business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NTIC’s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volume of NTIC’s common stock is typically very low, leaving NTIC’s common stock open to risk of high volatility.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number of shares of NTIC’s common stock being traded daily is often very low, and on some trading days, there is no trading volume at all. During fiscal 2019, the daily trading volume ranged from zero shares to 122,018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trading volume of NTIC’s common stock has been, and may continue to be, volatile.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NTIC’s common stock price historically has fluctuated over a wide range. During fiscal 2019, as adjusted to reflect NTIC’s two-for-one stock split effective June 28, 2019, the sale price of NTIC’s common stock ranged from a low of $10.02 per share to a high of $18.27 per share, and the daily trading volume ranged from zero shares to 122,018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lowers its annual projected financial guidance. Securities litigation, whether with or without merit, could result in substantial costs and divert management’s attention and resources, which could harm NTIC’s business, operating results, and financial condition as well as the market price of its common stock.</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35" w:name="page36"/>
    <w:bookmarkEnd w:id="35"/>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5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November 11, 2019, NTIC had 9,090,413 shares of common stock outstanding, 16.7% of which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November 11, 2019, Inter Alia Holding Company, or Inter Alia, beneficially owned approximately 13.2% of NTIC’s outstanding common stock. Inter Alia is an entity partially owned by G. Patrick Lynch, NTIC’s President and Chief Executive Officer and director, as well as two other members of the Lynch family. Mr. Lynch shares voting and dispositive power of shares of NTIC’s common stock held by Inter Alia with the other owners. As a result of his share ownership through Inter Alia and his position as President and Chief Executive Officer and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NTIC’s principal executive offices, production facilities, and domestic research and development operations are located at 4201 Woodland Road, Circle Pines, Minnesota 55014. NTIC owns this real estate and building. NTIC also owns real estate and a building in Beachwood, Ohio, which it uses for office, manufacturing, laboratory, and warehouse space. Additionally, NTIC has contract warehousing agreements in California and Indiana to hold and release stock products to customers. NTIC’s subsidiaries in Brazil, India, Mexico, and China all lease office, warehouse, and laboratory space. NTIC’s management considers its current properties suitable and adequate for its current and foreseeable needs.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 w:name="page37"/>
    <w:bookmarkEnd w:id="3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23, 2015, NTIC and NTI Asean LLC (NTI Asean)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Tao Meng and Xu Hui have engaged in self-dealing, usurped business opportunities, and received economic benefits that were required to go to Tianjin Zerust. As of August 31, 2019, NTIC is not able to reasonably estimate the amount of any recovery to NTI Asean, if any.</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NTIC is subject to various ongoing or threatened legal actions and proceedings, including those that arise in the ordinary course of business, which may include employment matters and breach of contract disputes. Such matters are subject to many uncertainties and to outcomes that are not predictable with assurance and that may not be known for extended periods of time. In the opinion of management, the outcome of such routine ongoing litigation is not expected to have a material adverse effect on NTIC’s results of operations or financial condition.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individuals named below have been designated by NTIC’s Board of Directors as “executive officers” of NTIC. Their ages and the offices held,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11, 2019,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0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rPr>
              <w:t>Position with NTIC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3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52</w:t>
            </w: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13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45</w:t>
            </w: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Other corporate officers of NTIC, their ages, and offices held, as of November 11,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0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rPr>
              <w:t>Position with NTIC</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Vineet R. Dalal</w:t>
            </w:r>
          </w:p>
        </w:tc>
        <w:tc>
          <w:tcPr>
            <w:tcW w:w="13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50</w:t>
            </w:r>
          </w:p>
        </w:tc>
        <w:tc>
          <w:tcPr>
            <w:tcW w:w="7300" w:type="dxa"/>
            <w:vAlign w:val="bottom"/>
            <w:shd w:val="clear" w:color="auto" w:fill="CCEEFF"/>
          </w:tcPr>
          <w:p>
            <w:pPr>
              <w:ind w:left="120"/>
              <w:spacing w:after="0" w:line="251" w:lineRule="exact"/>
              <w:rPr>
                <w:sz w:val="20"/>
                <w:szCs w:val="20"/>
                <w:color w:val="auto"/>
              </w:rPr>
            </w:pPr>
            <w:r>
              <w:rPr>
                <w:rFonts w:ascii="Times New Roman" w:cs="Times New Roman" w:eastAsia="Times New Roman" w:hAnsi="Times New Roman"/>
                <w:sz w:val="18"/>
                <w:szCs w:val="18"/>
                <w:color w:val="auto"/>
              </w:rPr>
              <w:t>Vice President and Director – Global Market Development – Natur-Tec</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Gautam Ramdas</w:t>
            </w:r>
          </w:p>
        </w:tc>
        <w:tc>
          <w:tcPr>
            <w:tcW w:w="13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46</w:t>
            </w: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President and Director – Global Market Development – Oil &amp; Gas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Vineet R. Dalal, an employee of NTIC since 2004, has served as Vice President and Director – Global Market Development –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since November 2005. Prior to joining NTIC, Mr. Dalal was a Principal in the Worldwide Product Development Practice of PRTM, a management consultancy to technology-based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300" w:right="24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NTIC’s common stock is listed for trading on the Nasdaq Global Market under the symbol “NTIC.”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60"/>
        <w:spacing w:after="0" w:line="313" w:lineRule="auto"/>
        <w:rPr>
          <w:sz w:val="20"/>
          <w:szCs w:val="20"/>
          <w:color w:val="auto"/>
        </w:rPr>
      </w:pPr>
      <w:r>
        <w:rPr>
          <w:rFonts w:ascii="Times New Roman" w:cs="Times New Roman" w:eastAsia="Times New Roman" w:hAnsi="Times New Roman"/>
          <w:sz w:val="17"/>
          <w:szCs w:val="17"/>
          <w:color w:val="auto"/>
        </w:rPr>
        <w:t>During fiscal 2019, the Company’s Board of Directors declared cash dividends on the following dates in the following amounts to the following holders of the Company’s common stock. All per share data have been adjusted for all periods presented to reflect the two-for-one stock split effective June 28,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30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October 24, 2018</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November 7, 2018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21, 2018</w:t>
            </w:r>
          </w:p>
        </w:tc>
      </w:tr>
      <w:tr>
        <w:trPr>
          <w:trHeight w:val="216"/>
        </w:trPr>
        <w:tc>
          <w:tcPr>
            <w:tcW w:w="3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January 23, 2019</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February 6,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2019</w:t>
            </w:r>
          </w:p>
        </w:tc>
      </w:tr>
      <w:tr>
        <w:trPr>
          <w:trHeight w:val="216"/>
        </w:trPr>
        <w:tc>
          <w:tcPr>
            <w:tcW w:w="30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April 25, 2019</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May 9, 2019</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23, 2019</w:t>
            </w:r>
          </w:p>
        </w:tc>
      </w:tr>
      <w:tr>
        <w:trPr>
          <w:trHeight w:val="234"/>
        </w:trPr>
        <w:tc>
          <w:tcPr>
            <w:tcW w:w="3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July 24, 2019</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August 7,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2019</w:t>
            </w:r>
          </w:p>
        </w:tc>
      </w:tr>
    </w:tbl>
    <w:p>
      <w:pPr>
        <w:spacing w:after="0" w:line="1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October 22, 2019, NTIC’s Board of Directors declared a cash dividend of $0.065 per share of NTIC’s common stock, payable on November 20, 2019 to stockholders of record on November 6, 2019.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2019, there were 166 record holders of NTIC’s common stock. This does not include shares held in “street name” or beneficially owned.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NTIC did not sell any shares of its common stock or any other equity securities of NTIC that were not registered under the Securities Act of 1933, as amended, during the fourth quarter of fiscal 2019.</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stock repurchase activity during the fourth quarter of fiscal 2019.</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10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 Per Share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(or Unit)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r>
      <w:tr>
        <w:trPr>
          <w:trHeight w:val="223"/>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2019 through June 30, 2019</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1, 2019 through July 31, 2019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2019 through August 31, 2019</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198" w:lineRule="exact"/>
        <w:rPr>
          <w:sz w:val="20"/>
          <w:szCs w:val="20"/>
          <w:color w:val="auto"/>
        </w:rPr>
      </w:pPr>
    </w:p>
    <w:p>
      <w:pPr>
        <w:ind w:left="660" w:right="44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6" w:lineRule="exact"/>
        <w:rPr>
          <w:rFonts w:ascii="Times New Roman" w:cs="Times New Roman" w:eastAsia="Times New Roman" w:hAnsi="Times New Roman"/>
          <w:sz w:val="18"/>
          <w:szCs w:val="18"/>
          <w:color w:val="auto"/>
        </w:rPr>
      </w:pPr>
    </w:p>
    <w:p>
      <w:pPr>
        <w:ind w:left="660" w:right="60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31, 2019, up to $2,640,548 in shares of NTIC common stock remained available for repurchase under NTIC’s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0" w:name="page41"/>
    <w:bookmarkEnd w:id="4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tables set forth certain of NTIC’s selected consolidated financial data as of the dates and for the fiscal years indicated. The selected consolidated financial data was derived from NTIC’s consolidated financial statements. The audited consolidated financial statements as of August 31, 2019 and 2018 and for the fiscal years ended August 31, 2019 and 2018 are included elsewhere in this report. The audited consolidated financial statements as of August 31, 2017, 2016, and 2015 and for the fiscal years ended August 31, 2017, 2016, and 2015 are not included in this report. Historical results are not necessarily indicative of the results to be expected for any future period. All share and per share data have been adjusted for all periods presented to reflect the two-for-one stock split effective June 28,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53,142,583</w:t>
            </w:r>
          </w:p>
        </w:tc>
        <w:tc>
          <w:tcPr>
            <w:tcW w:w="1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48,516,749</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36,346,645</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30,211,660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27,491,392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2,607,554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2,908,072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3,222,478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2,721,905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2,831,301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55,750,137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51,424,821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39,569,123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32,933,565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30,322,693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37,970,244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34,165,440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26,316,511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22,320,156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20,555,932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17,779,893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17,259,381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13,252,612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10,613,409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9,766,761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7,225,518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7,527,383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5,898,908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4,743,831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5,936,565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5,727,579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6,142,139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5,452,687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5,137,710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5,715,491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12,953,097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13,669,522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11,351,595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9,881,541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10,968,592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10,886,011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9,283,310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6,255,353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9,349,559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8,500,490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7,807,563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8,232,369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8,399,146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3,822,070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3,524,953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2,912,393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4,724,596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4,047,279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24,140,221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22,911,454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20,003,266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19,212,318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18,267,173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6,592,769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8,017,449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4,600,941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99,463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investment at carrying value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(1,883,668)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6,657,459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8,098,950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4,624,098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3,166,034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Income tax expense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841,837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876,103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699,519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626,120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648,674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5,815,622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7,222,847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3,924,579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2,517,360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606,000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521,481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502,453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(330,788)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727,789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NTIC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5,209,622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6,701,366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3,422,126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NTIC per common</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common shares assumed</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9,085,584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9,077,676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9,057,222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9,075,008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9,415,974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9,370,404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9,154,718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9,075,008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9,298,120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5,856,758</w:t>
            </w:r>
          </w:p>
        </w:tc>
        <w:tc>
          <w:tcPr>
            <w:tcW w:w="1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4,163,023</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6,360,201</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3,395,274</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3,565,258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3,300,110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3,766,984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2,243,864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33,302,362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30,567,773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26,067,618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20,942,171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19,275,612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67,511,087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63,549,236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56,612,693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51,070,050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51,565,648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7,841,532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7,730,182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4,894,617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3,994,102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3,074,679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2,742,309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2,857,448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2,540,973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56,594,615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53,076,745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48,860,628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44,543,975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59,669,294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55,819,054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51,718,076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47,075,948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47,893,807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5,477,022</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608,687</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5,735,691</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2,055,607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(755,545)</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(2,607,915)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1,901,224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(2,393,664)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(2,372,124)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(874,652)</w:t>
            </w: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63,839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(124,064)</w:t>
            </w:r>
          </w:p>
        </w:tc>
      </w:tr>
      <w:tr>
        <w:trPr>
          <w:trHeight w:val="540"/>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8"/>
        </w:trPr>
        <w:tc>
          <w:tcPr>
            <w:tcW w:w="41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33" w:right="239" w:bottom="1440" w:gutter="0" w:footer="0" w:header="0"/>
        </w:sectPr>
      </w:pPr>
    </w:p>
    <w:bookmarkStart w:id="41" w:name="page42"/>
    <w:bookmarkEnd w:id="4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1. Business—Forward-Looking Statements” and under the heading “Part I. Item 1A. Risk Factors</w:t>
      </w:r>
      <w:r>
        <w:rPr>
          <w:rFonts w:ascii="Times New Roman" w:cs="Times New Roman" w:eastAsia="Times New Roman" w:hAnsi="Times New Roman"/>
          <w:sz w:val="18"/>
          <w:szCs w:val="18"/>
          <w:color w:val="auto"/>
        </w:rPr>
        <w:t>.” The following discussion of the results of the operations and financial condition of NTIC should be read in conjunction with NTIC’s consolidated financial statements and the related notes thereto included under “</w:t>
      </w:r>
      <w:r>
        <w:rPr>
          <w:rFonts w:ascii="Times New Roman" w:cs="Times New Roman" w:eastAsia="Times New Roman" w:hAnsi="Times New Roman"/>
          <w:sz w:val="18"/>
          <w:szCs w:val="18"/>
          <w:i w:val="1"/>
          <w:iCs w:val="1"/>
          <w:color w:val="auto"/>
        </w:rPr>
        <w:t>Part II. Item 8. Financial Statements and Supplementary Data</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Management’s Discussion and Analysis is organized in the following major sections:</w:t>
      </w:r>
    </w:p>
    <w:p>
      <w:pPr>
        <w:spacing w:after="0" w:line="221" w:lineRule="exact"/>
        <w:rPr>
          <w:sz w:val="20"/>
          <w:szCs w:val="20"/>
          <w:color w:val="auto"/>
        </w:rPr>
      </w:pPr>
    </w:p>
    <w:p>
      <w:pPr>
        <w:ind w:left="660" w:right="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Overview</w:t>
      </w:r>
      <w:r>
        <w:rPr>
          <w:rFonts w:ascii="Times New Roman" w:cs="Times New Roman" w:eastAsia="Times New Roman" w:hAnsi="Times New Roman"/>
          <w:sz w:val="18"/>
          <w:szCs w:val="18"/>
          <w:color w:val="auto"/>
        </w:rPr>
        <w:t>. This section provides a brief overview description of NTIC’s business, focusing in particular on developments during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recent fiscal year.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NTIC’s Subsidiaries and Joint Venture Network</w:t>
      </w:r>
      <w:r>
        <w:rPr>
          <w:rFonts w:ascii="Times New Roman" w:cs="Times New Roman" w:eastAsia="Times New Roman" w:hAnsi="Times New Roman"/>
          <w:sz w:val="18"/>
          <w:szCs w:val="18"/>
          <w:color w:val="auto"/>
        </w:rPr>
        <w:t>. This section provides a brief overview of NTIC’s subsidiaries and its joint venture network,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ventures which are considered individually significant to NTIC’s consolidated assets and income, and how NTIC’s joint ventures are accounted for by NTIC.</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Overview</w:t>
      </w:r>
      <w:r>
        <w:rPr>
          <w:rFonts w:ascii="Times New Roman" w:cs="Times New Roman" w:eastAsia="Times New Roman" w:hAnsi="Times New Roman"/>
          <w:sz w:val="18"/>
          <w:szCs w:val="18"/>
          <w:color w:val="auto"/>
        </w:rPr>
        <w:t>. This section provides a brief summary of NTIC’s financial results and financial condition for fiscal 2019 compared to 2018.</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and Expense Components</w:t>
      </w:r>
      <w:r>
        <w:rPr>
          <w:rFonts w:ascii="Times New Roman" w:cs="Times New Roman" w:eastAsia="Times New Roman" w:hAnsi="Times New Roman"/>
          <w:sz w:val="18"/>
          <w:szCs w:val="18"/>
          <w:color w:val="auto"/>
        </w:rPr>
        <w:t>. This section provides a brief description of the significant line items in NTIC’s consolidated statements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This section provides an analysis of the significant line items in NTIC’s consolidated statements of operations.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This section provides an analysis of NTIC’s liquidity and cash flows and a discussion of NTIC’s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and financial commitments.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Inflation and Seasonality</w:t>
      </w:r>
      <w:r>
        <w:rPr>
          <w:rFonts w:ascii="Times New Roman" w:cs="Times New Roman" w:eastAsia="Times New Roman" w:hAnsi="Times New Roman"/>
          <w:sz w:val="18"/>
          <w:szCs w:val="18"/>
          <w:color w:val="auto"/>
        </w:rPr>
        <w:t>. This section describes the effects of inflation and seasonality, if any, on NTIC’s business and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Risk</w:t>
      </w:r>
      <w:r>
        <w:rPr>
          <w:rFonts w:ascii="Times New Roman" w:cs="Times New Roman" w:eastAsia="Times New Roman" w:hAnsi="Times New Roman"/>
          <w:sz w:val="18"/>
          <w:szCs w:val="18"/>
          <w:color w:val="auto"/>
        </w:rPr>
        <w:t>. This section describes material market risks to which NTIC is subject.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Party Transactions</w:t>
      </w:r>
      <w:r>
        <w:rPr>
          <w:rFonts w:ascii="Times New Roman" w:cs="Times New Roman" w:eastAsia="Times New Roman" w:hAnsi="Times New Roman"/>
          <w:sz w:val="18"/>
          <w:szCs w:val="18"/>
          <w:color w:val="auto"/>
        </w:rPr>
        <w:t>. This section describes any material related party transactions to which NTIC is a party.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Off-Balance Sheet Arrangements</w:t>
      </w:r>
      <w:r>
        <w:rPr>
          <w:rFonts w:ascii="Times New Roman" w:cs="Times New Roman" w:eastAsia="Times New Roman" w:hAnsi="Times New Roman"/>
          <w:sz w:val="18"/>
          <w:szCs w:val="18"/>
          <w:color w:val="auto"/>
        </w:rPr>
        <w:t>. This section describes NTIC’s material off-balance sheet arrangements.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 and Estimates</w:t>
      </w:r>
      <w:r>
        <w:rPr>
          <w:rFonts w:ascii="Times New Roman" w:cs="Times New Roman" w:eastAsia="Times New Roman" w:hAnsi="Times New Roman"/>
          <w:sz w:val="18"/>
          <w:szCs w:val="18"/>
          <w:color w:val="auto"/>
        </w:rPr>
        <w:t>. This section discusses NTIC’s critical accounting policies and estimates, which require NTIC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subjective or complex judgments in their application. NTIC’s significant accounting policies, including its critical accounting estimates, are summarized in Note 1 to NTIC’s consolidated financial statements.</w:t>
      </w:r>
    </w:p>
    <w:p>
      <w:pPr>
        <w:spacing w:after="0" w:line="170"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color w:val="auto"/>
        </w:rPr>
        <w:t>. This section references Note 2 to NTIC’s consolidated financial statements, which summarizes the effect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recently issued accounting pronouncements on NTIC’s results of operations and financial condition.</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brand. NTIC has</w:t>
      </w:r>
    </w:p>
    <w:p>
      <w:pPr>
        <w:spacing w:after="0" w:line="1"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7"/>
          <w:szCs w:val="17"/>
          <w:color w:val="auto"/>
        </w:rPr>
        <w:t>been selling its proprietary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w:t>
      </w:r>
    </w:p>
    <w:p>
      <w:pPr>
        <w:spacing w:after="0" w:line="1" w:lineRule="exact"/>
        <w:rPr>
          <w:sz w:val="20"/>
          <w:szCs w:val="20"/>
          <w:color w:val="auto"/>
        </w:rPr>
      </w:pPr>
    </w:p>
    <w:p>
      <w:pPr>
        <w:ind w:right="520"/>
        <w:spacing w:after="0" w:line="205" w:lineRule="auto"/>
        <w:rPr>
          <w:sz w:val="20"/>
          <w:szCs w:val="20"/>
          <w:color w:val="auto"/>
        </w:rPr>
      </w:pPr>
      <w:r>
        <w:rPr>
          <w:rFonts w:ascii="Times New Roman" w:cs="Times New Roman" w:eastAsia="Times New Roman" w:hAnsi="Times New Roman"/>
          <w:sz w:val="18"/>
          <w:szCs w:val="18"/>
          <w:color w:val="auto"/>
        </w:rPr>
        <w:t>compostable (fully biodegradable) polymer resin compounds and finished products under the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brand. These products are intended to reduce NTIC’s customers’ carbon footprint and provide environmentally sound waste disposal options.</w:t>
      </w:r>
    </w:p>
    <w:p>
      <w:pPr>
        <w:spacing w:after="0" w:line="203"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18"/>
          <w:szCs w:val="18"/>
          <w:color w:val="auto"/>
        </w:rPr>
        <w:t>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spacing w:after="0" w:line="2" w:lineRule="exact"/>
        <w:rPr>
          <w:sz w:val="20"/>
          <w:szCs w:val="20"/>
          <w:color w:val="auto"/>
        </w:rPr>
      </w:pPr>
    </w:p>
    <w:p>
      <w:pPr>
        <w:ind w:right="140"/>
        <w:spacing w:after="0" w:line="191" w:lineRule="auto"/>
        <w:rPr>
          <w:sz w:val="20"/>
          <w:szCs w:val="20"/>
          <w:color w:val="auto"/>
        </w:rPr>
      </w:pPr>
      <w:r>
        <w:rPr>
          <w:rFonts w:ascii="Times New Roman" w:cs="Times New Roman" w:eastAsia="Times New Roman" w:hAnsi="Times New Roman"/>
          <w:sz w:val="17"/>
          <w:szCs w:val="17"/>
          <w:color w:val="auto"/>
        </w:rPr>
        <w:t>prevention issues. NTIC’s technical service consultants work directly with the end users of NTIC’s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rust and corrosion inhibiting products to analyze their specific needs and develop systems to meet their performance requirements. In North America, NTIC sells its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corrosion prevention</w:t>
      </w:r>
    </w:p>
    <w:p>
      <w:pPr>
        <w:spacing w:after="0" w:line="2"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solutions through a network of independent distributors and agents supported by a direct sales force. Internationally, NTIC sells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3"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7"/>
          <w:szCs w:val="17"/>
          <w:color w:val="auto"/>
        </w:rPr>
        <w:t>One of NTIC’s strategic initiatives is to expand into and penetrate other markets for its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corrosion prevention technologies. Consequently, for the past several years, NTIC has focused significant sales and marketing efforts on the oil and gas industry, as the infrastructure that supports that industry is</w:t>
      </w:r>
    </w:p>
    <w:p>
      <w:pPr>
        <w:ind w:right="40"/>
        <w:spacing w:after="0" w:line="217" w:lineRule="auto"/>
        <w:rPr>
          <w:sz w:val="20"/>
          <w:szCs w:val="20"/>
          <w:color w:val="auto"/>
        </w:rPr>
      </w:pPr>
      <w:r>
        <w:rPr>
          <w:rFonts w:ascii="Times New Roman" w:cs="Times New Roman" w:eastAsia="Times New Roman" w:hAnsi="Times New Roman"/>
          <w:sz w:val="18"/>
          <w:szCs w:val="18"/>
          <w:color w:val="auto"/>
        </w:rPr>
        <w:t>typically constructed using metals that are highly susceptible to corrosion. NTIC believes that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prevention solutions will minimize maintenance downtime on critical oil and gas industry infrastructure, extend the life of such infrastructure, and reduce the risk of environmental pollution due to leaks caused by corrosion.</w:t>
      </w:r>
    </w:p>
    <w:p>
      <w:pPr>
        <w:spacing w:after="0" w:line="204"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NTIC markets and sells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205"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8"/>
          <w:szCs w:val="18"/>
          <w:color w:val="auto"/>
        </w:rPr>
        <w:t>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bio-based and compostable plastics are manufactured using NTIC’s patented and/or proprietary technologies and are intended to replace conventional petroleum-based plastics. The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ware items, such as disposable cutlery, drinking straws, food-</w:t>
      </w:r>
    </w:p>
    <w:p>
      <w:pPr>
        <w:spacing w:after="0" w:line="2" w:lineRule="exact"/>
        <w:rPr>
          <w:sz w:val="20"/>
          <w:szCs w:val="20"/>
          <w:color w:val="auto"/>
        </w:rPr>
      </w:pPr>
    </w:p>
    <w:p>
      <w:pPr>
        <w:ind w:right="200"/>
        <w:spacing w:after="0" w:line="205" w:lineRule="auto"/>
        <w:rPr>
          <w:sz w:val="20"/>
          <w:szCs w:val="20"/>
          <w:color w:val="auto"/>
        </w:rPr>
      </w:pPr>
      <w:r>
        <w:rPr>
          <w:rFonts w:ascii="Times New Roman" w:cs="Times New Roman" w:eastAsia="Times New Roman" w:hAnsi="Times New Roman"/>
          <w:sz w:val="18"/>
          <w:szCs w:val="18"/>
          <w:color w:val="auto"/>
        </w:rPr>
        <w:t>handling gloves, and coated paper products. In North America, NTIC markets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primarily through a network of regional and national distributors as well as independent agents. NTIC continues to see significant opportunities for finished bioplastic products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and, therefore, continues to strengthen and expand its North American distribution network for finished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bioplastic products. Internationally, NTIC sells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both directly and through its wholly-owned subsidiary in China, NTIC China, its majority-owned subsidiary in India, Natur-Tec India Private Limited (Natur-Tec India) its majority-owned subsidiary in Sri Lanka, Natur Tec Lanka (Pvt) Ltd (Natur Tec Lanka), and through distributors and certain joint ventures.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NTIC’s Subsidiaries and Joint Venture Network</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NTIC has ownership interests in seven operating subsidiaries in North America, South America, Europe, and Asia. The following table sets forth a list of NTIC’s operating subsidiaries as of November 11, 2019, the country in which the subsidiary is organized, and NTIC’s ownership percentage in each subsidiary: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NTIC</w:t>
            </w:r>
          </w:p>
        </w:tc>
      </w:tr>
      <w:tr>
        <w:trPr>
          <w:trHeight w:val="216"/>
        </w:trPr>
        <w:tc>
          <w:tcPr>
            <w:tcW w:w="68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 (%)</w:t>
            </w:r>
          </w:p>
        </w:tc>
      </w:tr>
      <w:tr>
        <w:trPr>
          <w:trHeight w:val="238"/>
        </w:trPr>
        <w:tc>
          <w:tcPr>
            <w:tcW w:w="684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18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(Shanghai) Co., Ltd</w:t>
            </w:r>
          </w:p>
        </w:tc>
        <w:tc>
          <w:tcPr>
            <w:tcW w:w="318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7"/>
              </w:rPr>
              <w:t>China</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NTI Asean LLC</w:t>
            </w:r>
          </w:p>
        </w:tc>
        <w:tc>
          <w:tcPr>
            <w:tcW w:w="318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United States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Prevenção de Corrosão S.A.</w:t>
            </w:r>
          </w:p>
        </w:tc>
        <w:tc>
          <w:tcPr>
            <w:tcW w:w="3180" w:type="dxa"/>
            <w:vAlign w:val="bottom"/>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w w:val="99"/>
              </w:rPr>
              <w:t>Brazil</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ZERUST-EXCOR MEXICO, S. de R.L. de C.V</w:t>
            </w:r>
          </w:p>
        </w:tc>
        <w:tc>
          <w:tcPr>
            <w:tcW w:w="318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8"/>
              </w:rPr>
              <w:t>Mexico</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Natur-Tec India Private Limited</w:t>
            </w:r>
          </w:p>
        </w:tc>
        <w:tc>
          <w:tcPr>
            <w:tcW w:w="318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India</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Natur Tec Lanka (Pvt) Ltd</w:t>
            </w:r>
          </w:p>
        </w:tc>
        <w:tc>
          <w:tcPr>
            <w:tcW w:w="3180" w:type="dxa"/>
            <w:vAlign w:val="bottom"/>
          </w:tcPr>
          <w:p>
            <w:pPr>
              <w:jc w:val="center"/>
              <w:ind w:left="1570"/>
              <w:spacing w:after="0" w:line="256" w:lineRule="exact"/>
              <w:rPr>
                <w:sz w:val="20"/>
                <w:szCs w:val="20"/>
                <w:color w:val="auto"/>
              </w:rPr>
            </w:pPr>
            <w:r>
              <w:rPr>
                <w:rFonts w:ascii="Times New Roman" w:cs="Times New Roman" w:eastAsia="Times New Roman" w:hAnsi="Times New Roman"/>
                <w:sz w:val="18"/>
                <w:szCs w:val="18"/>
                <w:color w:val="auto"/>
                <w:w w:val="94"/>
              </w:rPr>
              <w:t>Sri Lanka</w:t>
            </w:r>
            <w:r>
              <w:rPr>
                <w:rFonts w:ascii="Times New Roman" w:cs="Times New Roman" w:eastAsia="Times New Roman" w:hAnsi="Times New Roman"/>
                <w:sz w:val="29"/>
                <w:szCs w:val="29"/>
                <w:color w:val="auto"/>
                <w:w w:val="94"/>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Europe GmbH</w:t>
            </w:r>
          </w:p>
        </w:tc>
        <w:tc>
          <w:tcPr>
            <w:tcW w:w="318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8"/>
              </w:rPr>
              <w:t>Germany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1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79" w:lineRule="exact"/>
        <w:rPr>
          <w:sz w:val="20"/>
          <w:szCs w:val="20"/>
          <w:color w:val="auto"/>
        </w:rPr>
      </w:pPr>
    </w:p>
    <w:p>
      <w:pPr>
        <w:ind w:right="3840" w:firstLine="332"/>
        <w:spacing w:after="0" w:line="530" w:lineRule="auto"/>
        <w:tabs>
          <w:tab w:leader="none" w:pos="7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 Tec Lanka is 100% owned by Natur-Tec India and, therefore, indirectly owned by NTIC. The results of these subsidiaries are fully consolidated in NTIC’s consolidated financial statements.</w:t>
      </w:r>
    </w:p>
    <w:p>
      <w:pPr>
        <w:spacing w:after="0" w:line="1"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7"/>
          <w:szCs w:val="17"/>
          <w:color w:val="auto"/>
        </w:rPr>
        <w:t>NTIC participates in 21 active joint venture arrangements in North America, Europe, and Asia. Each of these joint ventures generally manufactures and markets products in the geographic territory to which it is assigned. While most of NTIC’s joint ventures exclusively sell rust and corrosion inhibiting</w:t>
      </w:r>
    </w:p>
    <w:p>
      <w:pPr>
        <w:spacing w:after="0" w:line="1" w:lineRule="exact"/>
        <w:rPr>
          <w:sz w:val="20"/>
          <w:szCs w:val="20"/>
          <w:color w:val="auto"/>
        </w:rPr>
      </w:pPr>
    </w:p>
    <w:p>
      <w:pPr>
        <w:ind w:right="200"/>
        <w:spacing w:after="0" w:line="205" w:lineRule="auto"/>
        <w:rPr>
          <w:sz w:val="20"/>
          <w:szCs w:val="20"/>
          <w:color w:val="auto"/>
        </w:rPr>
      </w:pPr>
      <w:r>
        <w:rPr>
          <w:rFonts w:ascii="Times New Roman" w:cs="Times New Roman" w:eastAsia="Times New Roman" w:hAnsi="Times New Roman"/>
          <w:sz w:val="18"/>
          <w:szCs w:val="18"/>
          <w:color w:val="auto"/>
        </w:rPr>
        <w:t>products, some of the joint ventures also sell NTIC’s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NTIC has historically funded its investments in joint ventures with cash generated from operations.</w:t>
      </w:r>
    </w:p>
    <w:p>
      <w:pPr>
        <w:spacing w:after="0" w:line="1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NTIC’s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8"/>
          <w:szCs w:val="18"/>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and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All share and per share data have been adjusted for all periods presented to reflect the two-for-one stock split effective June 28, 2019.</w:t>
      </w:r>
    </w:p>
    <w:p>
      <w:pPr>
        <w:spacing w:after="0" w:line="200"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8"/>
          <w:szCs w:val="18"/>
          <w:color w:val="auto"/>
        </w:rPr>
        <w:t>NTIC’s consolidated net sales increased 8.4% during fiscal 2019 compared to fiscal 2018. This increase was primarily a result of an increase in sales of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w:t>
      </w:r>
    </w:p>
    <w:p>
      <w:pPr>
        <w:spacing w:after="0" w:line="218" w:lineRule="auto"/>
        <w:rPr>
          <w:sz w:val="20"/>
          <w:szCs w:val="20"/>
          <w:color w:val="auto"/>
        </w:rPr>
      </w:pPr>
      <w:r>
        <w:rPr>
          <w:rFonts w:ascii="Times New Roman" w:cs="Times New Roman" w:eastAsia="Times New Roman" w:hAnsi="Times New Roman"/>
          <w:sz w:val="18"/>
          <w:szCs w:val="18"/>
          <w:color w:val="auto"/>
        </w:rPr>
        <w:t>During fiscal 2019, 68.5% of NTIC’s consolidated net sales were derived from sales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which decreased 7.7%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$38,174,712 during fiscal 2019 compared to $41,374,305 during fiscal 2018. This decrease was due to lower sales from existing customers for products as a</w:t>
      </w:r>
    </w:p>
    <w:p>
      <w:pPr>
        <w:spacing w:after="0" w:line="7" w:lineRule="exact"/>
        <w:rPr>
          <w:sz w:val="20"/>
          <w:szCs w:val="20"/>
          <w:color w:val="auto"/>
        </w:rPr>
      </w:pPr>
    </w:p>
    <w:p>
      <w:pPr>
        <w:ind w:right="400"/>
        <w:spacing w:after="0" w:line="217" w:lineRule="auto"/>
        <w:rPr>
          <w:sz w:val="20"/>
          <w:szCs w:val="20"/>
          <w:color w:val="auto"/>
        </w:rPr>
      </w:pPr>
      <w:r>
        <w:rPr>
          <w:rFonts w:ascii="Times New Roman" w:cs="Times New Roman" w:eastAsia="Times New Roman" w:hAnsi="Times New Roman"/>
          <w:sz w:val="18"/>
          <w:szCs w:val="18"/>
          <w:color w:val="auto"/>
        </w:rPr>
        <w:t>result of decreased demand. NTIC has focused its sales efforts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fiscal 2019 included $2,727,283 of sales made to customers in the oil and gas industry compared to $3,066,953 for fiscal 2018.</w:t>
      </w:r>
    </w:p>
    <w:p>
      <w:pPr>
        <w:spacing w:after="0" w:line="3" w:lineRule="exact"/>
        <w:rPr>
          <w:sz w:val="20"/>
          <w:szCs w:val="20"/>
          <w:color w:val="auto"/>
        </w:rPr>
      </w:pPr>
    </w:p>
    <w:p>
      <w:pPr>
        <w:ind w:right="360"/>
        <w:spacing w:after="0" w:line="205" w:lineRule="auto"/>
        <w:rPr>
          <w:sz w:val="20"/>
          <w:szCs w:val="20"/>
          <w:color w:val="auto"/>
        </w:rPr>
      </w:pPr>
      <w:r>
        <w:rPr>
          <w:rFonts w:ascii="Times New Roman" w:cs="Times New Roman" w:eastAsia="Times New Roman" w:hAnsi="Times New Roman"/>
          <w:sz w:val="18"/>
          <w:szCs w:val="18"/>
          <w:color w:val="auto"/>
        </w:rPr>
        <w:t>Overall demand for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depends heavily on the overall health of the markets in which NTIC sells its products, including the automotive, oil and gas, agriculture, and mining markets in particular.</w:t>
      </w:r>
    </w:p>
    <w:p>
      <w:pPr>
        <w:spacing w:after="0" w:line="203" w:lineRule="exact"/>
        <w:rPr>
          <w:sz w:val="20"/>
          <w:szCs w:val="20"/>
          <w:color w:val="auto"/>
        </w:rPr>
      </w:pPr>
    </w:p>
    <w:p>
      <w:pPr>
        <w:ind w:right="60"/>
        <w:spacing w:after="0" w:line="199" w:lineRule="auto"/>
        <w:rPr>
          <w:sz w:val="20"/>
          <w:szCs w:val="20"/>
          <w:color w:val="auto"/>
        </w:rPr>
      </w:pPr>
      <w:r>
        <w:rPr>
          <w:rFonts w:ascii="Times New Roman" w:cs="Times New Roman" w:eastAsia="Times New Roman" w:hAnsi="Times New Roman"/>
          <w:sz w:val="18"/>
          <w:szCs w:val="18"/>
          <w:color w:val="auto"/>
        </w:rPr>
        <w:t>During fiscal 2019, 31.5% of NTIC’s consolidated net sales were derived from sales of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compared to 19.5% during fiscal 2018. Net sales of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increased 74.9% to $17,575,425 during fiscal 2019 compared to fiscal 2018 primarily due to an increase in finished product sales in North America and finished product sales at NTIC’s majority-owned subsidiary in India, Natur-Tec India Private Limited (Natur-Tec India).</w:t>
      </w:r>
    </w:p>
    <w:p>
      <w:pPr>
        <w:spacing w:after="0" w:line="198" w:lineRule="exact"/>
        <w:rPr>
          <w:sz w:val="20"/>
          <w:szCs w:val="20"/>
          <w:color w:val="auto"/>
        </w:rPr>
      </w:pPr>
    </w:p>
    <w:p>
      <w:pPr>
        <w:ind w:right="280"/>
        <w:spacing w:after="0" w:line="223" w:lineRule="auto"/>
        <w:rPr>
          <w:sz w:val="20"/>
          <w:szCs w:val="20"/>
          <w:color w:val="auto"/>
        </w:rPr>
      </w:pPr>
      <w:r>
        <w:rPr>
          <w:rFonts w:ascii="Times New Roman" w:cs="Times New Roman" w:eastAsia="Times New Roman" w:hAnsi="Times New Roman"/>
          <w:sz w:val="18"/>
          <w:szCs w:val="18"/>
          <w:color w:val="auto"/>
        </w:rPr>
        <w:t>Cost of goods sold as a percentage of net sales increased to 68.1% during fiscal 2019 compared to 66.4% during fiscal 2018. This increase was primarily a result of an increased percentage of product sales from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that have lower gross margins than NTIC’s traditional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industrial products.</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NTIC’s equity in income from joint ventures decreased 4.0% to $7,225,518 during fiscal 2019 compared to $7,527,383 during fiscal 2018. This decrease was primarily due to a corresponding decrease in net sales at the joint ventures, which were $114,635,435 during fiscal 2019, compared to $120,060,897 during fiscal 2018. The decrease in the net sales of NTIC’s joint ventures was due primarily to decreased sales from existing customers for existing products as a result of decreased demand. The decrease in net sales of NTIC’s joint ventures resulted in a corresponding decrease in fees for services provided to joint ventures, as such fees are a function of net sales of NTIC’s joint ventures.</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NTIC’s total operating expenses increased $1,228,767, or 5.4%, to $24,140,221 during fiscal 2019 compared to $22,911,454 in fiscal 2018. This increase was primarily due to an increase in NTIC’s personnel expenses. Operating expenses, as a percent of net sales, for fiscal 2019 were 43.3% compared to 44.6% for fiscal 2018. This reduction in operating expenses, as a percent of net sales, was primarily due to higher net sales, partially offset by higher operating expenses.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ind w:right="280"/>
        <w:spacing w:after="0" w:line="282" w:lineRule="auto"/>
        <w:rPr>
          <w:sz w:val="20"/>
          <w:szCs w:val="20"/>
          <w:color w:val="auto"/>
        </w:rPr>
      </w:pPr>
      <w:r>
        <w:rPr>
          <w:rFonts w:ascii="Times New Roman" w:cs="Times New Roman" w:eastAsia="Times New Roman" w:hAnsi="Times New Roman"/>
          <w:sz w:val="18"/>
          <w:szCs w:val="18"/>
          <w:color w:val="auto"/>
        </w:rPr>
        <w:t>NTIC spent $3,822,070 in fiscal 2019 in connection with its research and development activities, compared to $3,524,953 in fiscal 2018. NTIC anticipates that it will spend between $3,600,000 and $3,900,000 in fiscal 2020 on research and development activities.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attributable to NTIC decreased to $5,209,622, or $0.55 per diluted common share, for fiscal 2019 compared to net income of $6,701,366, or $0.72 per diluted common share, for fiscal 2018. This decrease was primarily the result of the increase in operating expenses and decrease in joint venture operations during fiscal 2019 compared to fiscal 2018, partially offset by the increase in gross margin and decrease in tax expense, primarily as a result of the $700,000 one-time provisional adjustment related to the Tax Cuts and Jobs Act that occurred in the second quarter of fiscal 2018.</w:t>
      </w:r>
    </w:p>
    <w:p>
      <w:pPr>
        <w:spacing w:after="0" w:line="180"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NTIC anticipates that its quarterly net income will continue to be subject to significant volatility primarily due to the financial performance of its subsidiaries and joint ventures, sales of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into the oil and gas industry, and sales of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bioplastics products, which sales fluctuate more on a quarterly basis than the traditional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business.</w:t>
      </w:r>
    </w:p>
    <w:p>
      <w:pPr>
        <w:spacing w:after="0" w:line="7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NTIC’s working capital, defined as current assets less current liabilities, was $25,460,569 at August 31, 2019, including $5,856,758 in cash and cash equivalents and $3,565,258 in available for sale securities, compared to $22,837,591 at August 31, 2018, including $4,163,023 in cash and cash equivalents and $3,300,110 in available for sale securities.</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During fiscal 2019, the Company’s Board of Directors declared four quarterly cash dividends of $0.06 per share each. On October 22, 2019, the Company’s Board of Directors announced a quarterly cash dividend of $0.065 per share payable on November 20, 2019 to stockholders of record on November 6,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primary components of net sales and expenses:</w:t>
      </w:r>
    </w:p>
    <w:p>
      <w:pPr>
        <w:spacing w:after="0" w:line="229"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Net Sales, Excluding Joint Ventures</w:t>
      </w:r>
      <w:r>
        <w:rPr>
          <w:rFonts w:ascii="Times New Roman" w:cs="Times New Roman" w:eastAsia="Times New Roman" w:hAnsi="Times New Roman"/>
          <w:sz w:val="18"/>
          <w:szCs w:val="18"/>
          <w:color w:val="auto"/>
        </w:rPr>
        <w:t>. NTIC derives net sales from the sale of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services and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NTIC sells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and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primarily upon shipment of the products.</w:t>
      </w:r>
    </w:p>
    <w:p>
      <w:pPr>
        <w:spacing w:after="0" w:line="19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 To Joint Ventures</w:t>
      </w:r>
      <w:r>
        <w:rPr>
          <w:rFonts w:ascii="Times New Roman" w:cs="Times New Roman" w:eastAsia="Times New Roman" w:hAnsi="Times New Roman"/>
          <w:sz w:val="18"/>
          <w:szCs w:val="18"/>
          <w:color w:val="auto"/>
        </w:rPr>
        <w:t>. Net sales, to joint ventures represents net sales by NTIC to NTIC’s joint ventures, but not sales by NTIC either directly to 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users or to distributors or sales by NTIC’s joint ventures. NTIC’s revenue recognition policy for sales to its joint ventures is the same as NTIC’s policy for sales to unaffiliated customers. NTIC recognizes revenue from the sale of its products to joint ventures primarily upon shipment of the products.</w:t>
      </w:r>
    </w:p>
    <w:p>
      <w:pPr>
        <w:spacing w:after="0" w:line="17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color w:val="auto"/>
        </w:rPr>
        <w:t>. Most of NTIC’s products are manufactured by third parties, and its cost of goods sold for those products consists primarily of the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invoiced by its third-party vendors. For the portion of products that NTIC manufactures, NTIC’s cost of goods sold for those products consists primarily of</w:t>
      </w:r>
    </w:p>
    <w:p>
      <w:pPr>
        <w:spacing w:after="0" w:line="1" w:lineRule="exact"/>
        <w:rPr>
          <w:sz w:val="20"/>
          <w:szCs w:val="20"/>
          <w:color w:val="auto"/>
        </w:rPr>
      </w:pPr>
    </w:p>
    <w:p>
      <w:pPr>
        <w:ind w:right="20"/>
        <w:spacing w:after="0" w:line="207" w:lineRule="auto"/>
        <w:rPr>
          <w:sz w:val="20"/>
          <w:szCs w:val="20"/>
          <w:color w:val="auto"/>
        </w:rPr>
      </w:pPr>
      <w:r>
        <w:rPr>
          <w:rFonts w:ascii="Times New Roman" w:cs="Times New Roman" w:eastAsia="Times New Roman" w:hAnsi="Times New Roman"/>
          <w:sz w:val="18"/>
          <w:szCs w:val="18"/>
          <w:color w:val="auto"/>
        </w:rPr>
        <w:t>direct labor, allocated manufacturing overhead, raw materials, and components. NTIC’s margins on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are generally smaller than its margins on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and NTIC’s margins on its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sold into the oil and gas industry are generally greater than its margins on its traditional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w:t>
      </w:r>
    </w:p>
    <w:p>
      <w:pPr>
        <w:spacing w:after="0" w:line="71"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Equity in Income from Joint Ventures</w:t>
      </w:r>
      <w:r>
        <w:rPr>
          <w:rFonts w:ascii="Times New Roman" w:cs="Times New Roman" w:eastAsia="Times New Roman" w:hAnsi="Times New Roman"/>
          <w:sz w:val="18"/>
          <w:szCs w:val="18"/>
          <w:color w:val="auto"/>
        </w:rPr>
        <w:t>. NTIC’s equity in income from joint ventures consists of NTIC’s share of equity in income from each joint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Fees for Services Provided to Joint Ventures</w:t>
      </w:r>
      <w:r>
        <w:rPr>
          <w:rFonts w:ascii="Times New Roman" w:cs="Times New Roman" w:eastAsia="Times New Roman" w:hAnsi="Times New Roman"/>
          <w:sz w:val="18"/>
          <w:szCs w:val="18"/>
          <w:color w:val="auto"/>
        </w:rPr>
        <w:t>. NTIC provides certain services to its joint ventures, including consulting, legal, travel, insurance, technical,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marketing services based on licensing or other agreements with its joint ventuers.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Under NTIC’s agreements with its joint ventures in which the fees for services is described, amounts are earned when product is shipped from joint venture facilities, at which point a sale is deemed to have occurred and results in obligation of the joint venture to pay the royalty and recognition of the fee by the Company.</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Selling Expenses</w:t>
      </w:r>
      <w:r>
        <w:rPr>
          <w:rFonts w:ascii="Times New Roman" w:cs="Times New Roman" w:eastAsia="Times New Roman" w:hAnsi="Times New Roman"/>
          <w:sz w:val="18"/>
          <w:szCs w:val="18"/>
          <w:color w:val="auto"/>
        </w:rPr>
        <w:t>. Selling expenses consist primarily of sales commissions and support costs for NTIC’s direct sale and distribution system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consist primarily of salaries and benefits and other costs for NTIC’s executives,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stock-based compensation, finance, legal, information technology, and human resources functions.</w:t>
      </w:r>
    </w:p>
    <w:p>
      <w:pPr>
        <w:spacing w:after="0" w:line="1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r>
        <w:rPr>
          <w:rFonts w:ascii="Times New Roman" w:cs="Times New Roman" w:eastAsia="Times New Roman" w:hAnsi="Times New Roman"/>
          <w:sz w:val="18"/>
          <w:szCs w:val="18"/>
          <w:color w:val="auto"/>
        </w:rPr>
        <w:t>. Research and development expenses include costs associated with the design, development, market analysis, lab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color w:val="auto"/>
        </w:rPr>
        <w:t>. Interest income consists of interest earned on investments, which typically consist of investment-grade, interest-bearing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market accounts.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results primarily from interest associated with any borrowings under NTIC’s line of credit with PNC Bank.</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includes federal income taxes, foreign withholding taxes, income tax of consolidated entities in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state income tax, and changes to NTIC’s deferred 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2019 Compared to Fiscal Year 2018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fiscal 2019 and fiscal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8"/>
                <w:szCs w:val="18"/>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2018</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53,142,583</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48,516,749</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4,625,834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2,607,554</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2,908,072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37,970,244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34,165,440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3,804,804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7,225,518</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7,527,383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(301,865)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5,727,579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6,142,139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(414,560)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10,968,592</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10,886,011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82,581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9,349,559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8,500,490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849,069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3,822,070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3,524,953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297,117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17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i w:val="1"/>
          <w:iCs w:val="1"/>
          <w:color w:val="auto"/>
        </w:rPr>
        <w:t>Net Sales</w:t>
      </w:r>
      <w:r>
        <w:rPr>
          <w:rFonts w:ascii="Times New Roman" w:cs="Times New Roman" w:eastAsia="Times New Roman" w:hAnsi="Times New Roman"/>
          <w:sz w:val="17"/>
          <w:szCs w:val="17"/>
          <w:color w:val="auto"/>
        </w:rPr>
        <w:t>. NTIC’s consolidated net sales increased 8.4% to $55,750,137 during fiscal 2019 compared to $51,424,821 during fiscal 2018. NTIC’s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sales to unaffiliated customers excluding NTIC’s joint ventures increased 9.5% to $53,142,583 during fiscal 2019 compared to $48,516,749 during fiscal</w:t>
      </w:r>
    </w:p>
    <w:p>
      <w:pPr>
        <w:spacing w:after="0" w:line="1" w:lineRule="exact"/>
        <w:rPr>
          <w:sz w:val="20"/>
          <w:szCs w:val="20"/>
          <w:color w:val="auto"/>
        </w:rPr>
      </w:pPr>
    </w:p>
    <w:p>
      <w:pPr>
        <w:ind w:right="340"/>
        <w:spacing w:after="0" w:line="205" w:lineRule="auto"/>
        <w:rPr>
          <w:sz w:val="20"/>
          <w:szCs w:val="20"/>
          <w:color w:val="auto"/>
        </w:rPr>
      </w:pPr>
      <w:r>
        <w:rPr>
          <w:rFonts w:ascii="Times New Roman" w:cs="Times New Roman" w:eastAsia="Times New Roman" w:hAnsi="Times New Roman"/>
          <w:sz w:val="18"/>
          <w:szCs w:val="18"/>
          <w:color w:val="auto"/>
        </w:rPr>
        <w:t>2018. These increases were primarily a result of an increase in sales of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Net sales to joint ventures decreased 10.3% to $2,607,554 in fiscal 2019 compared to fiscal 2018. This decrease was primarily a result of timing differences on various shipments to joint ventures.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fiscal 2019 and fiscal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62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36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Total ZERUST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sales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38,174,712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41,374,305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(3,199,593)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0"/>
        </w:trPr>
        <w:tc>
          <w:tcPr>
            <w:tcW w:w="3620" w:type="dxa"/>
            <w:vAlign w:val="bottom"/>
            <w:tcBorders>
              <w:bottom w:val="single" w:sz="8" w:color="CCEEFF"/>
            </w:tcBorders>
          </w:tcPr>
          <w:p>
            <w:pPr>
              <w:spacing w:after="0" w:line="269" w:lineRule="exact"/>
              <w:rPr>
                <w:sz w:val="20"/>
                <w:szCs w:val="20"/>
                <w:color w:val="auto"/>
              </w:rPr>
            </w:pPr>
            <w:r>
              <w:rPr>
                <w:rFonts w:ascii="Times New Roman" w:cs="Times New Roman" w:eastAsia="Times New Roman" w:hAnsi="Times New Roman"/>
                <w:sz w:val="18"/>
                <w:szCs w:val="18"/>
                <w:color w:val="auto"/>
              </w:rPr>
              <w:t>Total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sales</w:t>
            </w:r>
          </w:p>
        </w:tc>
        <w:tc>
          <w:tcPr>
            <w:tcW w:w="19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17,575,425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10,050,516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7,524,909</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55,750,137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51,424,821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4,325,316</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3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2019, 68.5% of NTIC’s consolidated net sales were derived from sales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which decreased 7.7% to</w:t>
      </w:r>
    </w:p>
    <w:p>
      <w:pPr>
        <w:jc w:val="both"/>
        <w:ind w:right="140"/>
        <w:spacing w:after="0" w:line="205" w:lineRule="auto"/>
        <w:rPr>
          <w:sz w:val="20"/>
          <w:szCs w:val="20"/>
          <w:color w:val="auto"/>
        </w:rPr>
      </w:pPr>
      <w:r>
        <w:rPr>
          <w:rFonts w:ascii="Times New Roman" w:cs="Times New Roman" w:eastAsia="Times New Roman" w:hAnsi="Times New Roman"/>
          <w:sz w:val="18"/>
          <w:szCs w:val="18"/>
          <w:color w:val="auto"/>
        </w:rPr>
        <w:t>$38,174,712 compared to $41,374,305 during fiscal 2018. NTIC has strategically focused its sales efforts for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on customers with sizeable corrosion problems in industry sectors that offer sizable growth opportunities, including the oil and gas sector. Overall demand for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depends heavily on the overall health of the market segments to which NTIC sells its products, including the automotive, oil and gas, agriculture, and mining markets in particular.</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for fiscal 2019 and fiscal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0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0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ZERUST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industrial net sales</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32,839,875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35,399,280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(2,559,405)</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40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joint venture net sales</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2,607,554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2,908,072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(300,518)</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40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oil &amp; gas net sales</w:t>
            </w:r>
          </w:p>
        </w:tc>
        <w:tc>
          <w:tcPr>
            <w:tcW w:w="15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2,727,283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3,066,953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(339,670)</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64"/>
        </w:trPr>
        <w:tc>
          <w:tcPr>
            <w:tcW w:w="4000" w:type="dxa"/>
            <w:vAlign w:val="bottom"/>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net sales</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38,174,712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41,374,305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(3,199,593)</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20"/>
        <w:spacing w:after="0" w:line="195" w:lineRule="auto"/>
        <w:rPr>
          <w:sz w:val="20"/>
          <w:szCs w:val="20"/>
          <w:color w:val="auto"/>
        </w:rPr>
      </w:pPr>
      <w:r>
        <w:rPr>
          <w:rFonts w:ascii="Times New Roman" w:cs="Times New Roman" w:eastAsia="Times New Roman" w:hAnsi="Times New Roman"/>
          <w:sz w:val="17"/>
          <w:szCs w:val="17"/>
          <w:color w:val="auto"/>
        </w:rPr>
        <w:t>NTIC’s total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net sales decreased during fiscal 2019 compared to fiscal 2018 primarily due to an overall decreased demand for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industrial products and services in North America and China and decreased demand for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oil and gas products and services. NTIC anticipates that its sales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into the oil and gas industry will continue to remain subject to significant volatility from quarter to quarter as sales</w:t>
      </w:r>
    </w:p>
    <w:p>
      <w:pPr>
        <w:spacing w:after="0" w:line="1" w:lineRule="exact"/>
        <w:rPr>
          <w:sz w:val="20"/>
          <w:szCs w:val="20"/>
          <w:color w:val="auto"/>
        </w:rPr>
      </w:pPr>
    </w:p>
    <w:p>
      <w:pPr>
        <w:ind w:right="260"/>
        <w:spacing w:after="0" w:line="217" w:lineRule="auto"/>
        <w:rPr>
          <w:sz w:val="20"/>
          <w:szCs w:val="20"/>
          <w:color w:val="auto"/>
        </w:rPr>
      </w:pPr>
      <w:r>
        <w:rPr>
          <w:rFonts w:ascii="Times New Roman" w:cs="Times New Roman" w:eastAsia="Times New Roman" w:hAnsi="Times New Roman"/>
          <w:sz w:val="18"/>
          <w:szCs w:val="18"/>
          <w:color w:val="auto"/>
        </w:rPr>
        <w:t>are recognized, specifically due to the volatility of oil prices. Demand for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203" w:lineRule="exact"/>
        <w:rPr>
          <w:sz w:val="20"/>
          <w:szCs w:val="20"/>
          <w:color w:val="auto"/>
        </w:rPr>
      </w:pPr>
    </w:p>
    <w:p>
      <w:pPr>
        <w:ind w:right="80"/>
        <w:spacing w:after="0" w:line="199" w:lineRule="auto"/>
        <w:rPr>
          <w:sz w:val="20"/>
          <w:szCs w:val="20"/>
          <w:color w:val="auto"/>
        </w:rPr>
      </w:pPr>
      <w:r>
        <w:rPr>
          <w:rFonts w:ascii="Times New Roman" w:cs="Times New Roman" w:eastAsia="Times New Roman" w:hAnsi="Times New Roman"/>
          <w:sz w:val="18"/>
          <w:szCs w:val="18"/>
          <w:color w:val="auto"/>
        </w:rPr>
        <w:t>During fiscal 2019, 31.5% of NTIC’s consolidated net sales were derived from sales of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compared to 19.5% during fiscal 2018. Sales of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increased 74.9% to $17,575,425 during fiscal 2019 compared to $10,050,516 during fiscal 2018. This increase was primarily due to an increase in finished product sales in North America and finished products sales at NTIC’s majority-owned subsidiary in India, Natur-Tec India.</w:t>
      </w:r>
    </w:p>
    <w:p>
      <w:pPr>
        <w:spacing w:after="0" w:line="196"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i w:val="1"/>
          <w:iCs w:val="1"/>
          <w:color w:val="auto"/>
        </w:rPr>
        <w:t>Cost of Goods Sold</w:t>
      </w:r>
      <w:r>
        <w:rPr>
          <w:rFonts w:ascii="Times New Roman" w:cs="Times New Roman" w:eastAsia="Times New Roman" w:hAnsi="Times New Roman"/>
          <w:sz w:val="17"/>
          <w:szCs w:val="17"/>
          <w:color w:val="auto"/>
        </w:rPr>
        <w:t>. Cost of goods sold increased 11.1% in fiscal 2019 compared to fiscal 2018 primarily as a result of the increase in net sales, as described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above. Cost of goods sold as a percentage of net sales increased to 68.1% during fiscal 2019 compared to 66.4% during fiscal 2018 primarily due to an increased percentage of product sales from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that have lower gross margins than NTIC’s traditional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industrial products.</w:t>
      </w:r>
    </w:p>
    <w:p>
      <w:pPr>
        <w:spacing w:after="0" w:line="2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Equity in Income from Joint Ventures</w:t>
      </w:r>
      <w:r>
        <w:rPr>
          <w:rFonts w:ascii="Times New Roman" w:cs="Times New Roman" w:eastAsia="Times New Roman" w:hAnsi="Times New Roman"/>
          <w:sz w:val="18"/>
          <w:szCs w:val="18"/>
          <w:color w:val="auto"/>
        </w:rPr>
        <w:t>. NTIC’s equity in income from joint ventures decreased 4.0% to $7,225,518 during fiscal 2019 compared to $7,527,383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fiscal 2018. This decrease was primarily a result of changing profitability of the joint ventures during fiscal 2019 and fiscal 2018 that fluctuate based on net sales. Of the total equity in income from joint ventures, NTIC had equity in income from joint ventures of $5,415,362 attributable to EXCOR during fiscal 2019 compared to $5,549,765 attributable to EXCOR during fiscal 2018. NTIC had equity in income of all other joint ventures of $1,810,156 during fiscal 2019 compared to $1,977,618 during fiscal 2018.</w:t>
      </w:r>
    </w:p>
    <w:p>
      <w:pPr>
        <w:spacing w:after="0" w:line="18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$5,727,579 during fiscal 2019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$6,142,139 during fiscal 2018, representing a decrease of 6.7%, or $414,560. Fee income for services provided to joint ventures is traditionally a function of the sales made by NTIC’s joint ventures. Total net sales of NTIC’s joint ventures decreased $5,425,462 to $114,635,435 during fiscal 2019 compared to $120,060,897 during fiscal 2018, representing a decrease of 4.5%. Net sales of NTIC’s joint ventures are not included in NTIC’s product sales and are not included in NTIC’s consolidated financial statements. Of the total fee income for services provided to joint ventures, fees of $852,526 were attributable to EXCOR during fiscal 2019 compared to $900,316 attributable to EXCOR during fiscal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0.8% in fiscal 2019 compared to fiscal 2018 due primarily to increases in operating expenses associated</w:t>
      </w:r>
    </w:p>
    <w:p>
      <w:pPr>
        <w:spacing w:after="0" w:line="29" w:lineRule="exact"/>
        <w:rPr>
          <w:sz w:val="20"/>
          <w:szCs w:val="20"/>
          <w:color w:val="auto"/>
        </w:rPr>
      </w:pPr>
    </w:p>
    <w:p>
      <w:pPr>
        <w:ind w:right="340"/>
        <w:spacing w:after="0" w:line="205" w:lineRule="auto"/>
        <w:rPr>
          <w:sz w:val="20"/>
          <w:szCs w:val="20"/>
          <w:color w:val="auto"/>
        </w:rPr>
      </w:pPr>
      <w:r>
        <w:rPr>
          <w:rFonts w:ascii="Times New Roman" w:cs="Times New Roman" w:eastAsia="Times New Roman" w:hAnsi="Times New Roman"/>
          <w:sz w:val="18"/>
          <w:szCs w:val="18"/>
          <w:color w:val="auto"/>
        </w:rPr>
        <w:t>with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sales efforts, consisting primarily of selling and personnel expenses. Selling expenses as a percentage of net sales decreased to 19.7% for fiscal 2019 compared to 21.2% in fiscal 2018 primarily due to an increase in net sales, as previously described.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10.0% in fiscal 2019 compared to fiscal 2018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personnel costs. As a percentage of net sales, general and administrative expenses increased to 16.8% for fiscal 2019 from 16.5% for fiscal 2018. This increase was due primarily to the increase in expenses in North America and Natur-Tec India partially offset by increases in net sales, as previously described.</w:t>
      </w:r>
    </w:p>
    <w:p>
      <w:pPr>
        <w:spacing w:after="0" w:line="18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8.4% in fiscal 2019 compared to fiscal 2018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research and development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decreased to $78,257 in fiscal 2019 compared to $99,463 in fiscal 2018 due to changing levels of invested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decreased to $13,567 in fiscal 2019 compared to $17,962 in fiscal 2018.</w:t>
      </w:r>
    </w:p>
    <w:p>
      <w:pPr>
        <w:spacing w:after="0" w:line="225"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incurred income before income tax expense equal to $6,657,459 for fiscal 2019 compared to income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$8,098,950 for fiscal 2018.</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$841,837 during fiscal 2019 compared to $876,103 during fiscal 2018 for an effective tax rate of 12.7%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10.8%, respectively. The Tax Reform Act, among other things, reduced the U.S. federal corporate tax rate from 35% to 21% effective January 1, 2018, generally eliminated U.S. federal income taxes on dividends received from foreign subsidiaries and joint ventures after December 31, 2017, and imposed a one-time deemed repatriation tax on certain unremitted earnings on foreign subsidiaries and joint ventures. The Company was subject to a blended U.S. tax rate of 25.7% for the fiscal year ending August 31, 2018 as a result of the reduction of the U.S. federal corporate tax rate from 35% to 21% effective January 1, 2018. The Tax Reform Act resulted in an increase in income tax expense of $632,523 recognized during fiscal 2018 due to the re-measurement of the Company’s net deferred tax assets to reflect the reduction in the U.S. corporate income tax rate.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decreased to $5,209,622, or $0.55 per diluted common share, for fiscal 2019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$6,701,366, or $0.72 per diluted common share, for fiscal 2018, a decrease of $1,491,744 or $0.17 per diluted share. This decrease was primarily the result of the increase in operating expenses and decrease in joint venture operations during fiscal 2019 compared to fiscal 2018, partially offset by the increase in gross profit.</w:t>
      </w:r>
    </w:p>
    <w:p>
      <w:pPr>
        <w:spacing w:after="0" w:line="18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Other Comprehensive Income - Foreign Currency Translations Adjustment</w:t>
      </w:r>
      <w:r>
        <w:rPr>
          <w:rFonts w:ascii="Times New Roman" w:cs="Times New Roman" w:eastAsia="Times New Roman" w:hAnsi="Times New Roman"/>
          <w:sz w:val="18"/>
          <w:szCs w:val="18"/>
          <w:color w:val="auto"/>
        </w:rPr>
        <w:t>. The changes in the foreign currency translations adjustment was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fiscal 2019 compared to fiscal 2018.</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As of August 31, 2019, NTIC’s working capital was $25,460,569, including $5,856,758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$3,565,258 in available for sale securities, compared to working capital of $22,837,591, including $4,163,023 in cash and cash equivalents and $3,300,110 in available for sale securities, as of August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2019, NTIC had a revolving line of credit with PNC Bank of $3,000,000 with no amounts outstanding.</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50" w:name="page51"/>
    <w:bookmarkEnd w:id="50"/>
    <w:p>
      <w:pPr>
        <w:ind w:right="20"/>
        <w:spacing w:after="0" w:line="254"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fiscal 2020, NTIC expects to continue to invest directly and through its use of working capital in NTIC China, Zerust Mexico, NTI Europe, research and development, marketing efforts, resources for the application</w:t>
      </w:r>
    </w:p>
    <w:p>
      <w:pPr>
        <w:spacing w:after="0" w:line="3"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of its corrosion prevention technology in the oil and gas industry, and its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Uses of Cash and Cash Flow. </w:t>
      </w:r>
      <w:r>
        <w:rPr>
          <w:rFonts w:ascii="Times New Roman" w:cs="Times New Roman" w:eastAsia="Times New Roman" w:hAnsi="Times New Roman"/>
          <w:sz w:val="18"/>
          <w:szCs w:val="18"/>
          <w:color w:val="auto"/>
        </w:rPr>
        <w:t>Net cash provided by operating activities during fiscal 2019 was $5,477,022, which resulted primarily from NTIC’s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received from joint ventures, stock-based compensation, increases in accounts payable, decreases in prepaid expenses and other, depreciation and amortization, partially offset by NTIC’s equity in income from joint ventures, increases in inventories and decreases in income taxes and accrued expenses. Net cash provided by operating activities during fiscal 2018 was $608,687, which resulted primarily from NTIC’s net income, dividends received from joint ventures, and increases in accounts payable, accrued liabilities, depreciation and amortization, partially offset by NTIC’s equity in income from joint ventures, increases in trade receivables excluding joint ventures, inventories, and prepaid expenses and other.</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are 30 days for trade receivables excluding joint ventures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NTIC experienced a decrease in trade receivables as of August 31, 2019 compared to August 31, 2018. Trade receivables excluding joint ventures as of August 31, 2019 decreased $140,590 compared to August 31, 2018, primarily related to slightly shorter collection terms in India and China and the increase in overall sales in all territories. Outstanding trade receivables excluding joint ventures balances as of August 31, 2019 decreased by an average of 7 days to an average of 67 days from balances outstanding from these customers as of August 31, 2018. Outstanding trade receivables from joint ventures as of August 31, 2019 increased $62,967 compared to August 31, 2018 primarily due to the timing of payments. Outstanding balances from trade receivables from joint ventures increased by an average of 20 days as of August 31, 2019 to an average of 115 days from an average of 96 days from balances outstanding from these customers compared to August 31, 2018. The average days outstanding of trade receivables from joint ventures as of August 31, 2019 were primarily due to the receivable balances at NTIC’s joint ventures in South Korea, Germany and France.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ind w:right="4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August 31, 2019 decreased $89,255 compared to August 31, 2018 and remained constant at an average of 81 days from fees receivable outstanding as of August 31, 2019 to an average of 82 days compared to August 31, 2018.</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fiscal 2019 was $1,339,921, which was primarily the result of purchases of available for sale securities, additions to property and equipment and additions to patents, partially offset by proceeds from the sale of available for sale securities. Net cash used in investing activities during fiscal 2018 was $300,109, which was primarily the result of purchases of available for sale securities, additions to property and equipment and additions to patents, partially offset by proceeds from the sale of available for sale securities.</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fiscal 2019 was $2,393,664, which resulted from dividends paid on NTIC common stock and a dividend paid by a consolidated subsidiary to a non-controlling interest, partially offset by proceeds from purchases under NTIC’s employee stock purchase plan and an investment by a non-controlling interest. Net cash used in financing activities for fiscal 2018 was $2,372,124, which resulted from dividends paid on NTIC common stock and a dividend paid by a consolidated subsidiary to a non-controlling interest, partially offset by proceeds from stock option exercises and purchases under NTIC’s employee stock purchase plan.</w:t>
      </w:r>
    </w:p>
    <w:p>
      <w:pPr>
        <w:spacing w:after="0" w:line="18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As of August 31, 2019, up to $2,640,548 in shares of NTIC common stock remained available for repurchase under NTIC’s stock repurchase program. No shares of NTIC common stock were repurchased during fiscal 2019 or fiscal 2018.</w:t>
      </w:r>
    </w:p>
    <w:p>
      <w:pPr>
        <w:spacing w:after="0" w:line="180" w:lineRule="exact"/>
        <w:rPr>
          <w:sz w:val="20"/>
          <w:szCs w:val="20"/>
          <w:color w:val="auto"/>
        </w:rPr>
      </w:pPr>
    </w:p>
    <w:p>
      <w:pPr>
        <w:jc w:val="both"/>
        <w:ind w:right="500"/>
        <w:spacing w:after="0" w:line="267"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During fiscal 2019, the Company’s Board of Directors declared cash dividends on the following dates in the following amounts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holders of the Company’s common stock. All per share data have been adjusted for all periods presented to reflect the two-for-one stock split effective June 28,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30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October 24, 2018</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November 7, 2018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21, 2018</w:t>
            </w:r>
          </w:p>
        </w:tc>
      </w:tr>
      <w:tr>
        <w:trPr>
          <w:trHeight w:val="216"/>
        </w:trPr>
        <w:tc>
          <w:tcPr>
            <w:tcW w:w="3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January 23, 2019</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February 6,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2019</w:t>
            </w:r>
          </w:p>
        </w:tc>
      </w:tr>
      <w:tr>
        <w:trPr>
          <w:trHeight w:val="216"/>
        </w:trPr>
        <w:tc>
          <w:tcPr>
            <w:tcW w:w="30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April 25, 2019</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May 9, 2019</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23, 2019</w:t>
            </w:r>
          </w:p>
        </w:tc>
      </w:tr>
      <w:tr>
        <w:trPr>
          <w:trHeight w:val="234"/>
        </w:trPr>
        <w:tc>
          <w:tcPr>
            <w:tcW w:w="3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July 24, 2019</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August 7,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2019</w:t>
            </w:r>
          </w:p>
        </w:tc>
      </w:tr>
    </w:tbl>
    <w:p>
      <w:pPr>
        <w:spacing w:after="0" w:line="1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October 22, 2019, NTIC’s Board of Directors declared a cash dividend of $0.065 per share of NTIC’s common stock, payable on November 20, 2019 to stockholders of record on November 6, 2019.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Stock Split</w:t>
      </w:r>
      <w:r>
        <w:rPr>
          <w:rFonts w:ascii="Times New Roman" w:cs="Times New Roman" w:eastAsia="Times New Roman" w:hAnsi="Times New Roman"/>
          <w:sz w:val="18"/>
          <w:szCs w:val="18"/>
          <w:color w:val="auto"/>
        </w:rPr>
        <w:t>. On June 3, 2019, NTIC’s Board of Directors declared a two-for-one stock split of NTIC’s common stock effected in the form of a 100%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distributed on June 28, 2019 to record holders as of June 17, 2019. As a result of this action, approximately 4.5 million shares were issued to stockholders of record as of June 17, 2019. The par value of the common stock remains at $0.02 per share, and, accordingly, approximately $90,900 was transferred from additional paid-in capital to common stock. Earnings and dividends declared per share and weighted average shares outstanding are presented in this report after the effect of the 100 percent stock dividend. The two-for-one stock split is reflected in the share amounts in all periods presented in this report.</w:t>
      </w:r>
    </w:p>
    <w:p>
      <w:pPr>
        <w:spacing w:after="0" w:line="18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$1,013,851 on capital expenditures during fiscal 2019, which related primarily to the purchase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NTIC expects to spend an aggregate of approximately $600,000 to $900,000 on capital expenditures during fiscal 2020, which it expects will relate primarily to the purchase of new equipment.</w:t>
      </w:r>
    </w:p>
    <w:p>
      <w:pPr>
        <w:spacing w:after="0" w:line="174"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Set forth below is information concerning NTIC’s known contractual obligations as of August 31, 2019 that are fixed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determinable by year starting with the twelve months ending August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obligations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635,280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286,723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348,557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635,280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286,723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348,557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Inflation in the United States and abroad historically has had little effect on NTIC. Although NTIC’s business historically has not been seasonal, NTIC believes there is now some seasonality in its business. NTIC believes its net sales in the second fiscal quarter were adversely affected by the long Chinese New Year, the North American holiday season, and overall less corrosion taking place at lower winter temperatures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53" w:name="page54"/>
    <w:bookmarkEnd w:id="53"/>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2019, NTIC had no borrowings under the line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NTIC’s joint ventures are considered related parties, NTIC recorded sales to its joint ventures as a separate line item on the face of NTIC’s consolidated statements of operations and recorded fees for services provided to its joint ventures as separate line items on the face of NTIC’s consolidated statements of operations. NTIC also records trade receivables from joint ventures, receivables for fees for services provided to joint ventures, and NTIC’s investments in joint ventures as separate line items on its consolidated balance sheets.</w:t>
      </w:r>
    </w:p>
    <w:p>
      <w:pPr>
        <w:spacing w:after="0" w:line="184"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NTIC established its joint venture network approximately 30 years ago as a method to increase its worldwide distribution network for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NTIC participates, either directly or indirectly, in 20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NTIC does not have any relationships with unconsolidated entities or financial partnerships, such as entities often referred to as structured finance or special purpose entities, established for the purpose of facilitating off-balance sheet financial arrangements. As such, NTIC is not materially exposed to any financing, liquidity, market, or credit risk that could arise if NTIC had engaged in such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those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wholly-owned subsidiaries, Northern Technologies Holding Company, LLC, NTIC (Shanghai) Co., Ltd., NTIC Europe GmbH, and ZERUST-EXCOR MEXICO, S. de R.L. de C.V., NTIC’s majority-owned subsidiary in Brazil, Zerust Prevenção de Corrosão S.A., NTIC’s majority-owned holding company, NTI Asean LLC, and NTIC’s majority-owned subsidiary in India, Natur-Tec India Private Limited and Natur-Tec Lanka. NTIC’s consolidated financial statements do not include the accounts of any of its joint ventures.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Joint Ventures and Recoverability of Investments in Joint Ventures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at Carrying Value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While most of the Company’s revenue is contracted with customers through one-time purchase orders and short-term contracts, the Company does have long-term arrangements with certain customers. Revenue from all customers is recognized when a performance obligation is satisfied by transferring control of a distinct good or service to a customer. The transaction price for the Company’s products is the invoiced amount. Revenue is recognized when transfer of control occurs as defined by the terms in the customer agreement, generally upon shipment of product.</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recording revenue related to fees earned for services provided to NTIC’s joint ventures, amounts are earned when product is shipped from joint venture facilities, at which point a sale is deemed to have occurred and results in obligation for the joint venture to pay the royalty and recognition of the fee by the Company.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based on licensing or other agreements with its joint ventures. NTIC receives fees for the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19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Payment terms for NTIC’s unaffiliated customers are determined based on credit risk and vary by customer. NTIC typically offers standard payment terms of net 30 days to unaffiliated customers. Payment terms for NTIC’s joint ventures also are determined based on credit risk; however, additional consideration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Long-Lived Assets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(Accumulated Other Comprehensive Income)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functional currency of each international joint venture and subsidiary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NTIC (excluding NTIC China, Zerust Brazil, Natur-Tec India, Natur-Tec Lanka, NTI Asean, Zerust Mexico, NTI Europe, and NTIC’s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NTIC’s inventories consist primarily of production materials and finished goods. NTIC purchases production materials and finished goods based on forecasted demand and records inventory at the lower of cost or net realizable value.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2019, NTIC had no borrowings under the line of credit.</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8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74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items are included herein: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08"/>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412"/>
        </w:trPr>
        <w:tc>
          <w:tcPr>
            <w:tcW w:w="4920" w:type="dxa"/>
            <w:vAlign w:val="bottom"/>
            <w:gridSpan w:val="5"/>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Management’s Report on Internal Control Over Financial Reporting</w:t>
              </w:r>
            </w:hyperlink>
          </w:p>
        </w:tc>
        <w:tc>
          <w:tcPr>
            <w:tcW w:w="5980" w:type="dxa"/>
            <w:vAlign w:val="bottom"/>
            <w:gridSpan w:val="5"/>
          </w:tcPr>
          <w:p>
            <w:pPr>
              <w:spacing w:after="0"/>
              <w:rPr>
                <w:sz w:val="24"/>
                <w:szCs w:val="24"/>
                <w:color w:val="auto"/>
              </w:rPr>
            </w:pPr>
          </w:p>
        </w:tc>
        <w:tc>
          <w:tcPr>
            <w:tcW w:w="420" w:type="dxa"/>
            <w:vAlign w:val="bottom"/>
            <w:gridSpan w:val="3"/>
          </w:tcPr>
          <w:p>
            <w:pPr>
              <w:jc w:val="right"/>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56</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920" w:type="dxa"/>
            <w:vAlign w:val="bottom"/>
            <w:gridSpan w:val="5"/>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Report of Independent Registered Public Accounting Firm</w:t>
              </w:r>
            </w:hyperlink>
          </w:p>
        </w:tc>
        <w:tc>
          <w:tcPr>
            <w:tcW w:w="5980" w:type="dxa"/>
            <w:vAlign w:val="bottom"/>
            <w:gridSpan w:val="5"/>
          </w:tcPr>
          <w:p>
            <w:pPr>
              <w:spacing w:after="0"/>
              <w:rPr>
                <w:sz w:val="17"/>
                <w:szCs w:val="17"/>
                <w:color w:val="auto"/>
              </w:rPr>
            </w:pPr>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w w:val="95"/>
              </w:rPr>
            </w:pPr>
            <w:hyperlink w:anchor="page61">
              <w:r>
                <w:rPr>
                  <w:rFonts w:ascii="Times New Roman" w:cs="Times New Roman" w:eastAsia="Times New Roman" w:hAnsi="Times New Roman"/>
                  <w:sz w:val="18"/>
                  <w:szCs w:val="18"/>
                  <w:color w:val="0000EE"/>
                  <w:w w:val="95"/>
                </w:rPr>
                <w:t>57-58</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r>
      <w:tr>
        <w:trPr>
          <w:trHeight w:val="196"/>
        </w:trPr>
        <w:tc>
          <w:tcPr>
            <w:tcW w:w="4440" w:type="dxa"/>
            <w:vAlign w:val="bottom"/>
            <w:gridSpan w:val="4"/>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Consolidated Balance Sheets as of August 31, 2019 and 2018</w:t>
              </w:r>
            </w:hyperlink>
          </w:p>
        </w:tc>
        <w:tc>
          <w:tcPr>
            <w:tcW w:w="6460" w:type="dxa"/>
            <w:vAlign w:val="bottom"/>
            <w:gridSpan w:val="6"/>
          </w:tcPr>
          <w:p>
            <w:pPr>
              <w:spacing w:after="0"/>
              <w:rPr>
                <w:sz w:val="17"/>
                <w:szCs w:val="17"/>
                <w:color w:val="auto"/>
              </w:rPr>
            </w:pPr>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59</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6200" w:type="dxa"/>
            <w:vAlign w:val="bottom"/>
            <w:gridSpan w:val="7"/>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Consolidated Statements of Operations for the years ended August 31, 2019 and 2018</w:t>
              </w:r>
            </w:hyperlink>
          </w:p>
        </w:tc>
        <w:tc>
          <w:tcPr>
            <w:tcW w:w="4700" w:type="dxa"/>
            <w:vAlign w:val="bottom"/>
            <w:gridSpan w:val="3"/>
          </w:tcPr>
          <w:p>
            <w:pPr>
              <w:spacing w:after="0"/>
              <w:rPr>
                <w:sz w:val="17"/>
                <w:szCs w:val="17"/>
                <w:color w:val="auto"/>
              </w:rPr>
            </w:pPr>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60</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7120" w:type="dxa"/>
            <w:vAlign w:val="bottom"/>
            <w:gridSpan w:val="9"/>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Consolidated Statements of Comprehensive Income for the years ended August 31, 2019 and 2018</w:t>
              </w:r>
            </w:hyperlink>
          </w:p>
        </w:tc>
        <w:tc>
          <w:tcPr>
            <w:tcW w:w="3780" w:type="dxa"/>
            <w:vAlign w:val="bottom"/>
          </w:tcPr>
          <w:p>
            <w:pPr>
              <w:spacing w:after="0"/>
              <w:rPr>
                <w:sz w:val="17"/>
                <w:szCs w:val="17"/>
                <w:color w:val="auto"/>
              </w:rPr>
            </w:pPr>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61</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7120" w:type="dxa"/>
            <w:vAlign w:val="bottom"/>
            <w:gridSpan w:val="9"/>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Statements of Equity for the years ended August 31, 2019 and 2018</w:t>
              </w:r>
            </w:hyperlink>
          </w:p>
        </w:tc>
        <w:tc>
          <w:tcPr>
            <w:tcW w:w="3780" w:type="dxa"/>
            <w:vAlign w:val="bottom"/>
          </w:tcPr>
          <w:p>
            <w:pPr>
              <w:spacing w:after="0"/>
              <w:rPr>
                <w:sz w:val="17"/>
                <w:szCs w:val="17"/>
                <w:color w:val="auto"/>
              </w:rPr>
            </w:pPr>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62</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900" w:type="dxa"/>
            <w:vAlign w:val="bottom"/>
            <w:gridSpan w:val="10"/>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Cash Flows for the years ended August 31, 2019 and 2018</w:t>
              </w:r>
            </w:hyperlink>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63</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Notes to Consolidated Financial Statements</w:t>
              </w:r>
            </w:hyperlink>
          </w:p>
        </w:tc>
        <w:tc>
          <w:tcPr>
            <w:tcW w:w="3080" w:type="dxa"/>
            <w:vAlign w:val="bottom"/>
            <w:gridSpan w:val="6"/>
          </w:tcPr>
          <w:p>
            <w:pPr>
              <w:spacing w:after="0"/>
              <w:rPr>
                <w:sz w:val="17"/>
                <w:szCs w:val="17"/>
                <w:color w:val="auto"/>
              </w:rPr>
            </w:pPr>
          </w:p>
        </w:tc>
        <w:tc>
          <w:tcPr>
            <w:tcW w:w="4660" w:type="dxa"/>
            <w:vAlign w:val="bottom"/>
            <w:gridSpan w:val="2"/>
          </w:tcPr>
          <w:p>
            <w:pPr>
              <w:spacing w:after="0"/>
              <w:rPr>
                <w:sz w:val="17"/>
                <w:szCs w:val="17"/>
                <w:color w:val="auto"/>
              </w:rPr>
            </w:pPr>
          </w:p>
        </w:tc>
        <w:tc>
          <w:tcPr>
            <w:tcW w:w="42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95"/>
              </w:rPr>
            </w:pPr>
            <w:hyperlink w:anchor="page68">
              <w:r>
                <w:rPr>
                  <w:rFonts w:ascii="Times New Roman" w:cs="Times New Roman" w:eastAsia="Times New Roman" w:hAnsi="Times New Roman"/>
                  <w:sz w:val="18"/>
                  <w:szCs w:val="18"/>
                  <w:color w:val="0000EE"/>
                  <w:w w:val="95"/>
                </w:rPr>
                <w:t>64-85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NTIC’s management is responsible for establishing and maintaining adequate internal control over financial reporting, as such term is defined in Exchange Act Rules 13a-15(f) and 15d-15(f) for Northern Technologies International Corporation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the Company's President and Chief Executive Officer and Chief Financial Officer, evaluated the effectiveness of the Company's internal control over financial reporting as of August 31, 2019. In making this evaluation, management used the criteria set forth by the Committee of Sponsoring Organizations of the Treadway Commission in Internal Control – Integrated Framework (2013). Based on this assessment, management concluded that the Company's internal control over financial reporting was effective as of August 31, 2019. Our internal control over financial reporting as of August 31, 2019 has been audited by Baker Tilly Virchow Krause, LLP, NTIC’s independent registered public accounting firm, as stated in their report,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732280"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322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926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414780" cy="43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78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926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discussion of the Company's internal controls and procedures is included in Part II, Item 9A,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of this report.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60" w:name="page61"/>
    <w:bookmarkEnd w:id="60"/>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Audit Committee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Technologies International Corporation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Northern Technologies International Corporation and Subsidiaries (the "Company") as of August 31, 2019 and 2018, the related consolidated statements of operations, comprehensive income, equity, and cash flows, for each of the two years in the period ended August 31, 2019, and the related notes (collectively referred to as the "consolidated financial statements"). We also have audited the Company’s internal control over financial reporting as of August 31,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present fairly, in all material respects, the financial position of the Company as of August 31, 2019 and 2018, and the results of its operations and its cash flows for each of the two years in the period ended August 31, 2019, in conformity with accounting principles generally accepted in the United States of America. Also, in our opinion, the Company maintained, in all material respects, effective internal control over financial reporting as of August 31,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Baker Tilly Virchow Krause,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AUGUST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August 31, 2019</w:t>
            </w:r>
          </w:p>
        </w:tc>
        <w:tc>
          <w:tcPr>
            <w:tcW w:w="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 2018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5,856,758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3,565,258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of $65,000 as of August 31, 2019 and $50,000 as of August 31, 2018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9,779,518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Trade joint ventures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824,473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taxes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457,018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10,488,728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9,130,861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1,062,609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33,302,362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30,567,773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7,358,159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7,168,826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24,207,339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22,950,995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1,634,258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1,008,969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assets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26,850,566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25,812,637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67,511,087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63,549,236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4,505,531</w:t>
            </w:r>
          </w:p>
        </w:tc>
        <w:tc>
          <w:tcPr>
            <w:tcW w:w="100" w:type="dxa"/>
            <w:vAlign w:val="bottom"/>
          </w:tcPr>
          <w:p>
            <w:pPr>
              <w:spacing w:after="0"/>
              <w:rPr>
                <w:sz w:val="18"/>
                <w:szCs w:val="18"/>
                <w:color w:val="auto"/>
              </w:rPr>
            </w:pP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1,857,971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2,747,303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1,471,532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1,006,953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7,841,793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7,730,182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no par value; authorized 10,000 shares; none issued and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 August 31, 2019 and August 31,</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2018; issued and outstanding 9,086,816 and 9,082,606, respectively</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181,736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16,013,338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14,528,951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44,992,719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41,963,341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(4,593,178)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56,594,615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53,076,745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3,074,679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2,742,309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59,669,294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55,819,054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67,511,087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63,549,236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704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53,142,583</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48,516,749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2,607,554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55,750,137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51,424,821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1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37,970,244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34,165,440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17,779,893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17,259,381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7,225,518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7,527,383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5,727,579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6,142,139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12,953,097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13,669,522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10,968,592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10,886,011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9,349,559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3,822,070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3,524,953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24,140,221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22,911,454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6,592,769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8,017,449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6,657,459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8,098,950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841,837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876,103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5,815,622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7,222,847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606,000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521,481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5,209,622</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6,701,366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tcBorders>
              <w:bottom w:val="single" w:sz="8" w:color="CCEEFF"/>
            </w:tcBorders>
            <w:vMerge w:val="continue"/>
          </w:tcPr>
          <w:p>
            <w:pPr>
              <w:spacing w:after="0"/>
              <w:rPr>
                <w:sz w:val="20"/>
                <w:szCs w:val="20"/>
                <w:color w:val="auto"/>
              </w:rPr>
            </w:pPr>
          </w:p>
        </w:tc>
        <w:tc>
          <w:tcPr>
            <w:tcW w:w="15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ASSUMED OUTSTANDING:</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9,085,584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9,077,676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40" w:type="dxa"/>
            <w:vAlign w:val="bottom"/>
            <w:tcBorders>
              <w:bottom w:val="single" w:sz="8" w:color="CCEEFF"/>
            </w:tcBorders>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9,415,974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9,370,404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83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5,815,622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7,222,847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 FOREIGN CURRENCY TRANSLATION ADJUSTMENT</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(1,003,643)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4,811,979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(598,336)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4,213,643</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5,575,231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1"/>
                <w:szCs w:val="21"/>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4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1"/>
                <w:szCs w:val="21"/>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2017</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9,070,036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181,400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14,072,809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37,077,483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2,857,448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51,718,076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8,820</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15,257</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3,750</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27,875</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413,010</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(1,815,508)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6,701,366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521,481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7,222,847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(1,126,135)</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2018</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9,082,606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181,652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14,528,951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41,963,341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(3,597,199)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2,742,309</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55,819,054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4,210</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52,462</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1,431,925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1,431,925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by non-controlling</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134,034</w:t>
            </w: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(2,180,244)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5,209,622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606,000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5,815,622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(995,979)</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2019</w:t>
            </w:r>
          </w:p>
        </w:tc>
        <w:tc>
          <w:tcPr>
            <w:tcW w:w="1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9,086,816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16,013,338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44,992,719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(4,593,178)</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3,074,679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59,669,294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AUGUST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5,815,622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1,431,925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841,236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261,724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(7,225,518)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5,039,041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3,697,503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Trade, joint ventures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taxes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744,323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682,786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6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1,720,376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5,477,022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608,687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available for sale securities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Investments in patents</w:t>
            </w:r>
          </w:p>
        </w:tc>
        <w:tc>
          <w:tcPr>
            <w:tcW w:w="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received by non-controlling interest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by non-controlling interest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134,034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1,693,735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4,163,023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6,360,201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5,856,758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4,163,023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jc w:val="center"/>
              <w:ind w:left="333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98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63</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96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SIGNIFICANT ACCOUNTING POLICIES</w:t>
      </w:r>
    </w:p>
    <w:p>
      <w:pPr>
        <w:spacing w:after="0" w:line="227" w:lineRule="exact"/>
        <w:rPr>
          <w:sz w:val="20"/>
          <w:szCs w:val="20"/>
          <w:color w:val="auto"/>
        </w:rPr>
      </w:pPr>
    </w:p>
    <w:p>
      <w:pPr>
        <w:ind w:right="140"/>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Nature of Business </w:t>
      </w:r>
      <w:r>
        <w:rPr>
          <w:rFonts w:ascii="Times New Roman" w:cs="Times New Roman" w:eastAsia="Times New Roman" w:hAnsi="Times New Roman"/>
          <w:sz w:val="18"/>
          <w:szCs w:val="18"/>
          <w:color w:val="auto"/>
        </w:rPr>
        <w:t>– Northern Technologies International Corporation and its Subsidiaries (collectively, the Company) develop and market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environmentally beneficial products and services in over 60 countries either directly or via a network of joint ventures, independent distributors, and agents. The Company’s primary business is corrosion prevention marketed mainly under the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brand. The Company has been selling its proprietary</w:t>
      </w:r>
    </w:p>
    <w:p>
      <w:pPr>
        <w:spacing w:after="0" w:line="2" w:lineRule="exact"/>
        <w:rPr>
          <w:sz w:val="20"/>
          <w:szCs w:val="20"/>
          <w:color w:val="auto"/>
        </w:rPr>
      </w:pPr>
    </w:p>
    <w:p>
      <w:pPr>
        <w:ind w:right="40"/>
        <w:spacing w:after="0" w:line="204" w:lineRule="auto"/>
        <w:rPr>
          <w:sz w:val="20"/>
          <w:szCs w:val="20"/>
          <w:color w:val="auto"/>
        </w:rPr>
      </w:pPr>
      <w:r>
        <w:rPr>
          <w:rFonts w:ascii="Times New Roman" w:cs="Times New Roman" w:eastAsia="Times New Roman" w:hAnsi="Times New Roman"/>
          <w:sz w:val="18"/>
          <w:szCs w:val="18"/>
          <w:color w:val="auto"/>
        </w:rPr>
        <w:t>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certified</w:t>
      </w:r>
    </w:p>
    <w:p>
      <w:pPr>
        <w:spacing w:after="0" w:line="2"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18"/>
          <w:szCs w:val="18"/>
          <w:color w:val="auto"/>
        </w:rPr>
        <w:t>compostable (fully biodegradable) polymer resin compounds and finished products under the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brand. These products are intended to reduce the Company’s customers’ carbon footprint and provide environmentally sound disposal options. The Company’s two operating segments are ZERUST and Natur-Tec.</w:t>
      </w:r>
    </w:p>
    <w:p>
      <w:pPr>
        <w:spacing w:after="0" w:line="200"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7"/>
          <w:szCs w:val="17"/>
          <w:color w:val="auto"/>
        </w:rPr>
        <w:t>The Company participates, either directly or indirectly, in 21 active joint venture arrangements in North America, Europe, and Asia. Each of these joint ventures generally manufactures and markets products in the geographic territory to which it is assigned. While most of the Company’s joint ventures</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exclusively sell rust and corrosion inhibiting products, some of the joint ventures also sell the Company’s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20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occurring after the date of the consolidated financial statements for events requiring recording or disclosure in the financial statements.</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NTIC evaluates its voting and variable interests in entities on a qualitative and quantitative basis. NTIC consolidates entities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wholly-owned subsidiaries, Northern Technologies Holding Company, LLC, NTIC (Shanghai) Co., Ltd. (NTIC China), ZERUST-EXCOR MEXICO, S. de R.L. de C.V (Zerust Mexico), NTIC Europe GmbH (NTI Europe), NTIC’s majority-owned subsidiary in India, Natur-Tec India Private Limited (Natur-Tec India), NTIC’s majority-owned subsidiary in Brazil, Zerust Prevenção de Corrosão S.A. (Zerust Brazil), NTIC’s majority-owned subsidiary in Sri Lanka, Natur Tec Lanka (Pvt) Ltd (Natur Tec Lanka), and NTIC’s majority-owned holding company, NTI Asean LLC (NTI Asean). NTIC’s consolidated financial statements do not include the accounts of any of its joint ventures.</w:t>
      </w:r>
    </w:p>
    <w:p>
      <w:pPr>
        <w:spacing w:after="0" w:line="185"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Non-Controlling Interests </w:t>
      </w:r>
      <w:r>
        <w:rPr>
          <w:rFonts w:ascii="Times New Roman" w:cs="Times New Roman" w:eastAsia="Times New Roman" w:hAnsi="Times New Roman"/>
          <w:sz w:val="18"/>
          <w:szCs w:val="18"/>
          <w:color w:val="auto"/>
        </w:rPr>
        <w:t>– The Company owns 75% of Natur-Tec India, 75% of Natur Tec Lanka, 85% of Zerust Brazil, and 60% of NTI Asean.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ownership is accounted for as non-controlling interests and reported as part of equity in the consolidated financial statements. The Company allocates gains and losses to the non-controlling interest even when such allocation might result in a deficit balance, reducing the losses attributed to the controlling interest. Changes in ownership interests are treated as equity transactions if the Company maintains control.</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68" w:name="page69"/>
    <w:bookmarkEnd w:id="68"/>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 The Company includes net sales to its joint ventures and net sales to unaffiliated customers as separate line items on its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There are no sales originating from the Company’s joint ventures included in the amount, as the Company’s investments in its joint ventures are accounted for using the equity method.</w:t>
      </w:r>
    </w:p>
    <w:p>
      <w:pPr>
        <w:spacing w:after="0" w:line="1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guidance creating Accounting Standards Codification (ASC) Section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(ASC 606), which establishes a comprehensive new model for the recognition of revenue from contracts with customers.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is based on the core principle that revenue should be recognized to depict the transfer of promised goods or services to customers in an amount that reflects the consideration to which the entity expects to be entitled in exchange for those goods or services.</w:t>
      </w:r>
    </w:p>
    <w:p>
      <w:pPr>
        <w:spacing w:after="0" w:line="18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On September 1, 2018, the Company adopted ASC 606 for all customer contracts using the modified retrospective method. To determine revenue recognition for arrangements within the scope of ASC 606,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1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adoption of ASC 606 neither impacted the previously reported financial statements in any prior period nor did it result in a cumulative effect adjustment to retained earnings. Therefore, the adoption of the standard did not impact the Company’s revenue recognition process. 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the Company’s significant accounting policies as a result of adopting ASC 606 are discussed below.</w:t>
      </w:r>
    </w:p>
    <w:p>
      <w:pPr>
        <w:spacing w:after="0" w:line="22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Revenue is measured based on consideration specified in the contract with a customer, adjusted for any applicable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and other factors affecting the transaction price, including noncash consideration, consideration paid or payable to customers, and significant financing components. While most of the Company’s revenue is contracted with customers through one-time purchase orders and short-term contracts, the Company does have long-term arrangements with certain customers. Revenue from all customers is recognized when a performance obligation is satisfied by transferring control of a distinct good or service to a customer.</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69" w:name="page70"/>
    <w:bookmarkEnd w:id="69"/>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revenue recognition, billing, and cash collections results in accounts receivable on the balance sheet.</w:t>
      </w:r>
    </w:p>
    <w:p>
      <w:pPr>
        <w:spacing w:after="0" w:line="22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 A performance obligation is a promise in a contract to transfer a distinct good or service to the customer. A contract’s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spacing w:after="0" w:line="1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thirty to ninety days.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spacing w:after="0" w:line="1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Commissions </w:t>
      </w:r>
      <w:r>
        <w:rPr>
          <w:rFonts w:ascii="Times New Roman" w:cs="Times New Roman" w:eastAsia="Times New Roman" w:hAnsi="Times New Roman"/>
          <w:sz w:val="18"/>
          <w:szCs w:val="18"/>
          <w:color w:val="auto"/>
        </w:rPr>
        <w:t>- Sales commissions paid to sales representatives are eligible for capitalization, as they are incremental costs that would not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spacing w:after="0" w:line="18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Warranty </w:t>
      </w:r>
      <w:r>
        <w:rPr>
          <w:rFonts w:ascii="Times New Roman" w:cs="Times New Roman" w:eastAsia="Times New Roman" w:hAnsi="Times New Roman"/>
          <w:sz w:val="18"/>
          <w:szCs w:val="18"/>
          <w:color w:val="auto"/>
        </w:rPr>
        <w:t>- The Company offers warranties on various products and services. These warranties are assurance type warranties that are not sold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0" w:name="page71"/>
    <w:bookmarkEnd w:id="70"/>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Revenue </w:t>
      </w:r>
      <w:r>
        <w:rPr>
          <w:rFonts w:ascii="Times New Roman" w:cs="Times New Roman" w:eastAsia="Times New Roman" w:hAnsi="Times New Roman"/>
          <w:sz w:val="18"/>
          <w:szCs w:val="18"/>
          <w:color w:val="auto"/>
        </w:rPr>
        <w:t>- The Company markets its products to numerous countries in North America, Europe, Latin America, Asia, and other parts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 See Note 11, Segment and Geographical Information, for information regarding revenue disaggregation by geography.</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Trade Receivables </w:t>
      </w:r>
      <w:r>
        <w:rPr>
          <w:rFonts w:ascii="Times New Roman" w:cs="Times New Roman" w:eastAsia="Times New Roman" w:hAnsi="Times New Roman"/>
          <w:sz w:val="18"/>
          <w:szCs w:val="18"/>
          <w:color w:val="auto"/>
        </w:rPr>
        <w:t>– Payment terms for the Company’s unaffiliated customers are determined based on credit risk and vary by customer.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determines that a smaller or larger uncollectible accounts reserve is appropriate, the Company records a credit or charge to selling expense in the period that it made such determination. Accounts receivable have been reduced by an allowance for uncollectible accounts of $65,000 as of August 31, 2019 and $50,000 as of August 31, 2018.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18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Trade Receivables from Joint Ventures </w:t>
      </w:r>
      <w:r>
        <w:rPr>
          <w:rFonts w:ascii="Times New Roman" w:cs="Times New Roman" w:eastAsia="Times New Roman" w:hAnsi="Times New Roman"/>
          <w:sz w:val="18"/>
          <w:szCs w:val="18"/>
          <w:color w:val="auto"/>
        </w:rPr>
        <w:t>– Trade receivables from joint ventures arise from sales of products the Company makes to its joint ventures.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for the Company’s joint ventures also are determined based on credit risk; however, additional consideration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that an allowance for doubtful accounts related to its joint venture receivables was not necessary as of August 31, 2019 or 2018.</w:t>
      </w:r>
    </w:p>
    <w:p>
      <w:pPr>
        <w:spacing w:after="0" w:line="183"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Fees for Services Provided to Joint Ventures – </w:t>
      </w:r>
      <w:r>
        <w:rPr>
          <w:rFonts w:ascii="Times New Roman" w:cs="Times New Roman" w:eastAsia="Times New Roman" w:hAnsi="Times New Roman"/>
          <w:sz w:val="17"/>
          <w:szCs w:val="17"/>
          <w:color w:val="auto"/>
        </w:rPr>
        <w:t>The Company provides services to its joint ventures including consulting, legal, travel, insurance, technical,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marketing services based on licensing or other agrements with its joint ventures.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Under the Company’s agreements with its joint ventures, amounts are earned when product is shipped from joint venture facilities, at which point a sale is deemed to have occurred and results in obligation for the joint venture to pay the royalty and recognition of the fee by the Company.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17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includes as cash and cash equivalents highly liquid, short-term investments with maturity of three months or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71" w:name="page72"/>
    <w:bookmarkEnd w:id="71"/>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Available for Sale Securities </w:t>
      </w:r>
      <w:r>
        <w:rPr>
          <w:rFonts w:ascii="Times New Roman" w:cs="Times New Roman" w:eastAsia="Times New Roman" w:hAnsi="Times New Roman"/>
          <w:sz w:val="18"/>
          <w:szCs w:val="18"/>
          <w:color w:val="auto"/>
        </w:rPr>
        <w:t>– Available for sale securities are recorded at fair value. Unrealized holding gains and losses on available for sale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significant.</w:t>
      </w:r>
    </w:p>
    <w:p>
      <w:pPr>
        <w:spacing w:after="0" w:line="15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Split </w:t>
      </w:r>
      <w:r>
        <w:rPr>
          <w:rFonts w:ascii="Times New Roman" w:cs="Times New Roman" w:eastAsia="Times New Roman" w:hAnsi="Times New Roman"/>
          <w:sz w:val="18"/>
          <w:szCs w:val="18"/>
          <w:color w:val="auto"/>
        </w:rPr>
        <w:t>– On June 3, 2019, NTIC’s Board of Directors declared a two-for-one stock split of NTIC’s common stock effected in the form of a 100%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distributed on June 28, 2019 to record holders as of June 17, 2019. Earnings and dividends declared per share and weighted average shares outstanding are presented in this report after the effect of the 100 percent stock dividend. The two-for-one stock split is retroactively reflected in the share amounts in all periods presented in this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recorded at the lower of cost (first-in, first-out basis) or net realizable value.</w:t>
      </w:r>
    </w:p>
    <w:p>
      <w:pPr>
        <w:spacing w:after="0" w:line="225"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and Depreciation </w:t>
      </w:r>
      <w:r>
        <w:rPr>
          <w:rFonts w:ascii="Times New Roman" w:cs="Times New Roman" w:eastAsia="Times New Roman" w:hAnsi="Times New Roman"/>
          <w:sz w:val="18"/>
          <w:szCs w:val="18"/>
          <w:color w:val="auto"/>
        </w:rPr>
        <w:t>– Property and equipment are stated at cost. Depreciation is computed using the straight-line method based on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lives of the various assets as follows:</w:t>
      </w:r>
    </w:p>
    <w:p>
      <w:pPr>
        <w:spacing w:after="0" w:line="160"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 (years)</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 (years)</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Patents and Trademarks </w:t>
      </w:r>
      <w:r>
        <w:rPr>
          <w:rFonts w:ascii="Times New Roman" w:cs="Times New Roman" w:eastAsia="Times New Roman" w:hAnsi="Times New Roman"/>
          <w:sz w:val="18"/>
          <w:szCs w:val="18"/>
          <w:color w:val="auto"/>
        </w:rPr>
        <w:t>– Patents and trademarks, including acquisition costs, are stated at cost, less accumulated amortization. Amortization is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Investments in Joint Ventures </w:t>
      </w:r>
      <w:r>
        <w:rPr>
          <w:rFonts w:ascii="Times New Roman" w:cs="Times New Roman" w:eastAsia="Times New Roman" w:hAnsi="Times New Roman"/>
          <w:sz w:val="18"/>
          <w:szCs w:val="18"/>
          <w:color w:val="auto"/>
        </w:rPr>
        <w:t>– Investments in the Company’s joint ventures are accounted for using the equity method. Under the equity method,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initially recorded at cost and are adjusted for dividends, distributed and undistributed earnings and losses, changes in foreign currency exchange rates, and additional investments. In the event the Company’s share of a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had positive equity as of August 31, 2019 and 2018. The Company considers any of its joint ventures to be significant and discloses entity specific financial information if the joint venture’s income or assets make up more than 20% of the Company’s total assets or income.</w:t>
      </w:r>
    </w:p>
    <w:p>
      <w:pPr>
        <w:spacing w:after="0" w:line="19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classifies distributions received from its joint ventures based on the nature of the distributions, generally, as a return on its investment in operating activities on the consolidated statements of cash flows.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If the Company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72" w:name="page73"/>
    <w:bookmarkEnd w:id="72"/>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Recoverability of Long-Lived Assets </w:t>
      </w:r>
      <w:r>
        <w:rPr>
          <w:rFonts w:ascii="Times New Roman" w:cs="Times New Roman" w:eastAsia="Times New Roman" w:hAnsi="Times New Roman"/>
          <w:sz w:val="18"/>
          <w:szCs w:val="18"/>
          <w:color w:val="auto"/>
        </w:rPr>
        <w:t>– The Company reviews its long-lived assets whenever events or changes in circumstances indicate the carrying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whether an impairment loss should be recognized. An impairment loss is measured by comparing the amount by which the carrying value exceeds the fair value of the asset.</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utilizes the asset and liability method of accounting for income taxes, which requires the recognition of deferred tax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income tax assets in the future in excess of their net recorded amount, the Company makes an adjustment to the deferred tax asset valuation allowance, which would reduce the provision for income taxes.</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Foreign Currency Translation (Accumulated Other Comprehensive Income (Loss)) </w:t>
      </w:r>
      <w:r>
        <w:rPr>
          <w:rFonts w:ascii="Times New Roman" w:cs="Times New Roman" w:eastAsia="Times New Roman" w:hAnsi="Times New Roman"/>
          <w:sz w:val="17"/>
          <w:szCs w:val="17"/>
          <w:color w:val="auto"/>
        </w:rPr>
        <w:t>– The functional currency of NTIC China, Zerust Brazil, Natur-Tec India,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Natur Tec Lanka, Zerust Mexico,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spacing w:after="0" w:line="1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(excluding NTIC China, Zerust Brazil, Natur-Tec India, Natur Tec Lanka, NTI Asean, Zerust Mexico, NTI Europe, and NTIC’s joint ventures) conducts all foreign transactions based on the U.S. dollar. Since investments in joint ventures are accounted for using the equity method, any changes in foreign currency exchange rates are reflected as a foreign currency translation adjustment and do not change the equity in income from joint ventures reflected in the Company’s consolidated statements of operations.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73" w:name="page74"/>
    <w:bookmarkEnd w:id="73"/>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carrying value of cash and cash equivalents, available for sale securities, short-term accounts and notes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payable, trade accounts payables, and other accrued expenses approximate fair value because of the short maturity of those instruments.</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w:t>
      </w:r>
      <w:r>
        <w:rPr>
          <w:rFonts w:ascii="Times New Roman" w:cs="Times New Roman" w:eastAsia="Times New Roman" w:hAnsi="Times New Roman"/>
          <w:sz w:val="18"/>
          <w:szCs w:val="18"/>
          <w:color w:val="auto"/>
        </w:rPr>
        <w:t>– The Company records all amounts billed to customers in a sales transaction related to shipping and handling as sales.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costs related to shipping and handling in cost of goods sold.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 The Company expenses all costs related to product research and development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The Company issues authorized but unissued shares of common stock upon the exercise of stock options.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The Company recognizes compensation cost relating to share-based payment transactions, including grants of employee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18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 The Company has evaluated events occurring after the date of the consolidated financial statements for events requiring disclosure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the consolidated financial statements in conformity with accounting principles generally accepted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8" w:lineRule="exact"/>
        <w:rPr>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Adopted</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guidance creating Accounting Standards Codification (ASC) Section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(ASC 606), which establishes a comprehensive new model for the recognition of revenue from contracts with customers.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is based on the core principle that revenue should be recognized to depict the transfer of promised goods or services to customers in an amount that reflects the consideration to which the entity expects to be entitled in exchange for those goods or services.</w:t>
      </w:r>
    </w:p>
    <w:p>
      <w:pPr>
        <w:spacing w:after="0" w:line="18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On September 1, 2018, the Company adopted ASC 606 for all customer contracts using the modified retrospective method. To determine revenue recognition for arrangements within the scope of ASC 606,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74" w:name="page75"/>
    <w:bookmarkEnd w:id="74"/>
    <w:p>
      <w:pPr>
        <w:ind w:right="100"/>
        <w:spacing w:after="0" w:line="256" w:lineRule="auto"/>
        <w:rPr>
          <w:sz w:val="20"/>
          <w:szCs w:val="20"/>
          <w:color w:val="auto"/>
        </w:rPr>
      </w:pPr>
      <w:r>
        <w:rPr>
          <w:rFonts w:ascii="Times New Roman" w:cs="Times New Roman" w:eastAsia="Times New Roman" w:hAnsi="Times New Roman"/>
          <w:sz w:val="18"/>
          <w:szCs w:val="18"/>
          <w:color w:val="auto"/>
        </w:rPr>
        <w:t>The adoption of ASC 606 neither impacted the previously reported financial statements in any prior period nor did it result in a cumulative effect adjustment to retained earnings. Therefore, the adoption of the standard did not impact the Company’s revenue recognition process. 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applies the practical expedient in paragraph 606-10-50-14 and does not disclose information about remaining performance obligations that have original expected durations of one year or less. There are no material obligations that extend beyond one year. 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thirty to ninety days.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During February 2016, the FASB issued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No. 2016-02 was issued to increase transparency and comparability among organizations by recognizing all lease transactions (with terms in excess of 12 months) on the balance sheet as a lease liability and a right-of-use asset (as defined). The Company will adopt this ASU for its annual and interim periods beginning September 1, 2019, and elected not to restate comparative periods in transition. The Company performed a review of the</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requirements of the new guidance and identified which of its leases will be within the scope of ASU 2016-02. The Company completed its adoption plan, which included a review of lease contracts, applying the new standard to the lease contracts and comparing the results to our current accounting. Effective for our quarter ending November 30, 2019, the Company will revise its lease accounting policy disclosures to reflect the requirements of ASU 2016-02. The Company estimates the impact of the adoption will be an increase in the range of $500,000 and $750,000 to both assets and liabilities on the consolidated balance sheet. The Company does not believe the adoption of this guidance will have a material impact on its consolidated results of operations or cash flows. The Company also expects additional qualitative and quantitative disclosures will be required upon adoption.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February 2018, the FASB issued ASU No. 2018-02, </w:t>
      </w:r>
      <w:r>
        <w:rPr>
          <w:rFonts w:ascii="Times New Roman" w:cs="Times New Roman" w:eastAsia="Times New Roman" w:hAnsi="Times New Roman"/>
          <w:sz w:val="18"/>
          <w:szCs w:val="18"/>
          <w:i w:val="1"/>
          <w:iCs w:val="1"/>
          <w:color w:val="auto"/>
        </w:rPr>
        <w:t>Income Statement – Reporting Comprehensive Income (Topic 220) Reclassification of Certain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from Accumulated Other Comprehensive Income</w:t>
      </w:r>
      <w:r>
        <w:rPr>
          <w:rFonts w:ascii="Times New Roman" w:cs="Times New Roman" w:eastAsia="Times New Roman" w:hAnsi="Times New Roman"/>
          <w:sz w:val="18"/>
          <w:szCs w:val="18"/>
          <w:color w:val="auto"/>
        </w:rPr>
        <w:t>, which will allow a reclassification from accumulated other comprehensive income to retained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for the tax effects resulting from the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will be effective for the Company’s fiscal year 2020, with the option for early adoption at any time prior to the effective date. It must be applied either in the period of adoption or retrospectively to each period in which the effect of the change in the U.S. federal corporate income tax rate in the Tax Reform Act is recognized. The Company is currently assessing the impact this new accounting guidance will have on its consolidated financial statements.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5" w:name="page76"/>
    <w:bookmarkEnd w:id="75"/>
    <w:p>
      <w:pPr>
        <w:ind w:right="320"/>
        <w:spacing w:after="0" w:line="266" w:lineRule="auto"/>
        <w:rPr>
          <w:sz w:val="20"/>
          <w:szCs w:val="20"/>
          <w:color w:val="auto"/>
        </w:rPr>
      </w:pPr>
      <w:r>
        <w:rPr>
          <w:rFonts w:ascii="Times New Roman" w:cs="Times New Roman" w:eastAsia="Times New Roman" w:hAnsi="Times New Roman"/>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6"/>
        </w:trPr>
        <w:tc>
          <w:tcPr>
            <w:tcW w:w="300" w:type="dxa"/>
            <w:vAlign w:val="bottom"/>
            <w:tcBorders>
              <w:bottom w:val="single" w:sz="8" w:color="CCEEFF"/>
            </w:tcBorders>
          </w:tcPr>
          <w:p>
            <w:pPr>
              <w:spacing w:after="0"/>
              <w:rPr>
                <w:sz w:val="24"/>
                <w:szCs w:val="24"/>
                <w:color w:val="auto"/>
              </w:rPr>
            </w:pPr>
          </w:p>
        </w:tc>
        <w:tc>
          <w:tcPr>
            <w:tcW w:w="538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 2019</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 2018</w:t>
            </w:r>
          </w:p>
        </w:tc>
      </w:tr>
      <w:tr>
        <w:trPr>
          <w:trHeight w:val="21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1,980,816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1,824,489</w:t>
            </w:r>
          </w:p>
        </w:tc>
      </w:tr>
      <w:tr>
        <w:trPr>
          <w:trHeight w:val="230"/>
        </w:trPr>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8,507,912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7,306,372</w:t>
            </w:r>
          </w:p>
        </w:tc>
      </w:tr>
      <w:tr>
        <w:trPr>
          <w:trHeight w:val="223"/>
        </w:trPr>
        <w:tc>
          <w:tcPr>
            <w:tcW w:w="300" w:type="dxa"/>
            <w:vAlign w:val="bottom"/>
            <w:tcBorders>
              <w:bottom w:val="single" w:sz="8" w:color="CCEEFF"/>
            </w:tcBorders>
            <w:shd w:val="clear" w:color="auto" w:fill="CCEEFF"/>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10,488,728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9,130,861</w:t>
            </w:r>
          </w:p>
        </w:tc>
      </w:tr>
      <w:tr>
        <w:trPr>
          <w:trHeight w:val="20"/>
        </w:trPr>
        <w:tc>
          <w:tcPr>
            <w:tcW w:w="3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August 31, 2019</w:t>
            </w:r>
          </w:p>
        </w:tc>
        <w:tc>
          <w:tcPr>
            <w:tcW w:w="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 2018</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7,749,980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6,927,484</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4,903,664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4,680,072</w:t>
            </w:r>
          </w:p>
        </w:tc>
      </w:tr>
      <w:tr>
        <w:trPr>
          <w:trHeight w:val="210"/>
        </w:trPr>
        <w:tc>
          <w:tcPr>
            <w:tcW w:w="54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12,964,009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11,917,921</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(5,605,850)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(4,749,095)</w:t>
            </w:r>
          </w:p>
        </w:tc>
      </w:tr>
      <w:tr>
        <w:trPr>
          <w:trHeight w:val="223"/>
        </w:trPr>
        <w:tc>
          <w:tcPr>
            <w:tcW w:w="54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7,358,159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7,168,826</w:t>
            </w:r>
          </w:p>
        </w:tc>
      </w:tr>
      <w:tr>
        <w:trPr>
          <w:trHeight w:val="20"/>
        </w:trPr>
        <w:tc>
          <w:tcPr>
            <w:tcW w:w="5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PATENTS AND TRADEMARKS, NET</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trademarks, net consisted of the following:</w:t>
            </w: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628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 2019</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 2018</w:t>
            </w: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2,938,876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2,824,440</w:t>
            </w:r>
          </w:p>
        </w:tc>
      </w:tr>
      <w:tr>
        <w:trPr>
          <w:trHeight w:val="230"/>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(1,929,907)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(1,668,183)</w:t>
            </w:r>
          </w:p>
        </w:tc>
      </w:tr>
      <w:tr>
        <w:trPr>
          <w:trHeight w:val="223"/>
        </w:trPr>
        <w:tc>
          <w:tcPr>
            <w:tcW w:w="628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1,008,969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1,156,257</w:t>
            </w:r>
          </w:p>
        </w:tc>
      </w:tr>
      <w:tr>
        <w:trPr>
          <w:trHeight w:val="20"/>
        </w:trPr>
        <w:tc>
          <w:tcPr>
            <w:tcW w:w="6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and trademark costs are amortized over seven years. Costs incurred related to patents and trademarks are capitalized until filed and approved, at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the amounts capitalized to date are amortized, and any further costs, including maintenance costs, are expensed as incurred. Amortization expense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$261,724 and $252,312 for the years ended August 31, 2019 and 2018, respectively. Amortization expense is estimated to be $200,000 in each of the next five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years.</w:t>
      </w:r>
    </w:p>
    <w:p>
      <w:pPr>
        <w:spacing w:after="0" w:line="203"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on sales recorded that remain on the balance sheet from the Company to its joint ventures and from joint ventures to other joint ventures have been eliminated for financial reporting purposes.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ventures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August 31, 2019</w:t>
            </w:r>
          </w:p>
        </w:tc>
        <w:tc>
          <w:tcPr>
            <w:tcW w:w="116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59,162,834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29,139,787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30,023,047</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63,326,703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31,666,841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31,659,862</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14,145,499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3,573,160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10,572,339</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20,797</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49,160,407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28,093,681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21,066,726</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24,207,339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14,046,842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10,160,497</w:t>
            </w:r>
          </w:p>
        </w:tc>
      </w:tr>
      <w:tr>
        <w:trPr>
          <w:trHeight w:val="198"/>
        </w:trPr>
        <w:tc>
          <w:tcPr>
            <w:tcW w:w="7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undistributed</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22,178,126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14,015,937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8,162,189</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7"/>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Fiscal Year Ended August 31, 2019</w:t>
            </w:r>
          </w:p>
        </w:tc>
      </w:tr>
      <w:tr>
        <w:trPr>
          <w:trHeight w:val="223"/>
        </w:trPr>
        <w:tc>
          <w:tcPr>
            <w:tcW w:w="7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114,635,435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47,015,841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67,619,594</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51,312,013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25,622,261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25,689,752</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14,688,999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10,827,448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3,861,551</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of joint ventures</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7,225,518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5,415,362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1,810,156</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 ventures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5,039,041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3,345,600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1,693,441</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August 31, 2018</w:t>
            </w:r>
          </w:p>
        </w:tc>
        <w:tc>
          <w:tcPr>
            <w:tcW w:w="116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58,086,747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27,354,788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30,731,959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62,803,261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30,033,750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32,769,511</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4,535,954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11,455,932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403,653</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46,407,722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25,497,796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20,909,926</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22,950,995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12,748,899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10,195,263</w:t>
            </w:r>
          </w:p>
        </w:tc>
      </w:tr>
      <w:tr>
        <w:trPr>
          <w:trHeight w:val="198"/>
        </w:trPr>
        <w:tc>
          <w:tcPr>
            <w:tcW w:w="7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undistributed</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w:t>
            </w:r>
          </w:p>
        </w:tc>
        <w:tc>
          <w:tcPr>
            <w:tcW w:w="3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20,921,783</w:t>
            </w:r>
          </w:p>
        </w:tc>
        <w:tc>
          <w:tcPr>
            <w:tcW w:w="44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12,717,994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8,203,789</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Fiscal Year Ended August 31, 2018</w:t>
            </w:r>
          </w:p>
        </w:tc>
      </w:tr>
      <w:tr>
        <w:trPr>
          <w:trHeight w:val="223"/>
        </w:trPr>
        <w:tc>
          <w:tcPr>
            <w:tcW w:w="6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120,060,897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47,537,949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72,522,948</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53,348,459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25,584,666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27,763,793</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15,300,276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11,095,523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4,204,753</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of joint ventures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7,527,383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5,549,765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1,977,618</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 ventures</w:t>
            </w:r>
          </w:p>
        </w:tc>
        <w:tc>
          <w:tcPr>
            <w:tcW w:w="4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3,697,503</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2,357,544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1,339,959</w:t>
            </w:r>
          </w:p>
        </w:tc>
      </w:tr>
      <w:tr>
        <w:trPr>
          <w:trHeight w:val="756"/>
        </w:trPr>
        <w:tc>
          <w:tcPr>
            <w:tcW w:w="69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8"/>
        </w:trPr>
        <w:tc>
          <w:tcPr>
            <w:tcW w:w="69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37" w:right="239" w:bottom="1440" w:gutter="0" w:footer="0" w:header="0"/>
        </w:sectPr>
      </w:pPr>
    </w:p>
    <w:bookmarkStart w:id="77" w:name="page78"/>
    <w:bookmarkEnd w:id="77"/>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did not make any joint venture investments during fiscal 2019 or fiscal 2018, except for the creation during fiscal 2019 of a new joint venture in Vietnam which the Company indirectly owns through its ownership interest in NTI Asean.</w:t>
      </w:r>
    </w:p>
    <w:p>
      <w:pPr>
        <w:spacing w:after="0" w:line="158"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revolving line of credit with PNC Bank, National Association (PNC Bank) of $3,000,000. No amounts were outstanding under the line of credit as of both August 31, 2019 and 2018.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The line of credit matures on January 7, 2020.</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August 31, 2019, the Company was in compliance with all debt covenants.</w:t>
      </w:r>
    </w:p>
    <w:p>
      <w:pPr>
        <w:spacing w:after="0" w:line="18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revolving credit facility allows the Company to request that PNC Bank issue letters of credit up to $1,200,000. The Company did not have any letters of credit reserved against the available letters of credit balance as of August 31, 2019 and 2018 with PNC Bank. The availability of advances under the line of credit are reduced by the face amount of any letter of credit issued and outstanding (whether or not drawn) under the revolving credit facility.</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August 31, 2019, the Company had $88,831 of letters of credit with JP Morgan Chase Bank that are performance based and set to expire between 2020 and 2022.</w:t>
      </w:r>
    </w:p>
    <w:p>
      <w:pPr>
        <w:spacing w:after="0" w:line="158"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have been adjusted to retroactively reflect the effect of the two-for-one stock split.</w:t>
      </w:r>
    </w:p>
    <w:p>
      <w:pPr>
        <w:spacing w:after="0" w:line="176" w:lineRule="exact"/>
        <w:rPr>
          <w:sz w:val="20"/>
          <w:szCs w:val="20"/>
          <w:color w:val="auto"/>
        </w:rPr>
      </w:pPr>
    </w:p>
    <w:p>
      <w:pPr>
        <w:jc w:val="both"/>
        <w:ind w:right="260"/>
        <w:spacing w:after="0" w:line="313" w:lineRule="auto"/>
        <w:rPr>
          <w:sz w:val="20"/>
          <w:szCs w:val="20"/>
          <w:color w:val="auto"/>
        </w:rPr>
      </w:pPr>
      <w:r>
        <w:rPr>
          <w:rFonts w:ascii="Times New Roman" w:cs="Times New Roman" w:eastAsia="Times New Roman" w:hAnsi="Times New Roman"/>
          <w:sz w:val="17"/>
          <w:szCs w:val="17"/>
          <w:color w:val="auto"/>
        </w:rPr>
        <w:t>During fiscal 2019, the Company’s Board of Directors declared cash dividends on the following dates in the following amounts to the following holders of the Company’s common stock. All per share data have been adjusted for all periods presented to reflect the two-for-one stock split effective June 28,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30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October 24, 2018</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November 7, 2018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21, 2018</w:t>
            </w:r>
          </w:p>
        </w:tc>
      </w:tr>
      <w:tr>
        <w:trPr>
          <w:trHeight w:val="216"/>
        </w:trPr>
        <w:tc>
          <w:tcPr>
            <w:tcW w:w="3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January 23, 2019</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February 6,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2019</w:t>
            </w:r>
          </w:p>
        </w:tc>
      </w:tr>
      <w:tr>
        <w:trPr>
          <w:trHeight w:val="216"/>
        </w:trPr>
        <w:tc>
          <w:tcPr>
            <w:tcW w:w="30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April 25, 2019</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May 9, 2019</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23, 2019</w:t>
            </w:r>
          </w:p>
        </w:tc>
      </w:tr>
      <w:tr>
        <w:trPr>
          <w:trHeight w:val="234"/>
        </w:trPr>
        <w:tc>
          <w:tcPr>
            <w:tcW w:w="3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July 24, 2019</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$0.06</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August 7,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2019</w:t>
            </w:r>
          </w:p>
        </w:tc>
      </w:tr>
    </w:tbl>
    <w:p>
      <w:pPr>
        <w:spacing w:after="0" w:line="1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fiscal 2018,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0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31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November 20, 2017</w:t>
            </w:r>
          </w:p>
        </w:tc>
        <w:tc>
          <w:tcPr>
            <w:tcW w:w="20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$0.05</w:t>
            </w:r>
          </w:p>
        </w:tc>
        <w:tc>
          <w:tcPr>
            <w:tcW w:w="34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December 8, 2017</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21, 2017</w:t>
            </w:r>
          </w:p>
        </w:tc>
      </w:tr>
      <w:tr>
        <w:trPr>
          <w:trHeight w:val="216"/>
        </w:trPr>
        <w:tc>
          <w:tcPr>
            <w:tcW w:w="3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January 24, 2018</w:t>
            </w:r>
          </w:p>
        </w:tc>
        <w:tc>
          <w:tcPr>
            <w:tcW w:w="20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$0.05</w:t>
            </w:r>
          </w:p>
        </w:tc>
        <w:tc>
          <w:tcPr>
            <w:tcW w:w="34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February 7, 2018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2018</w:t>
            </w:r>
          </w:p>
        </w:tc>
      </w:tr>
      <w:tr>
        <w:trPr>
          <w:trHeight w:val="216"/>
        </w:trPr>
        <w:tc>
          <w:tcPr>
            <w:tcW w:w="31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April 25, 2018</w:t>
            </w:r>
          </w:p>
        </w:tc>
        <w:tc>
          <w:tcPr>
            <w:tcW w:w="20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$0.05</w:t>
            </w:r>
          </w:p>
        </w:tc>
        <w:tc>
          <w:tcPr>
            <w:tcW w:w="34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May 9, 2018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23, 2018</w:t>
            </w:r>
          </w:p>
        </w:tc>
      </w:tr>
      <w:tr>
        <w:trPr>
          <w:trHeight w:val="234"/>
        </w:trPr>
        <w:tc>
          <w:tcPr>
            <w:tcW w:w="3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July 25, 2018</w:t>
            </w:r>
          </w:p>
        </w:tc>
        <w:tc>
          <w:tcPr>
            <w:tcW w:w="20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$0.05</w:t>
            </w:r>
          </w:p>
        </w:tc>
        <w:tc>
          <w:tcPr>
            <w:tcW w:w="34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August 8, 2018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22, 2018</w:t>
            </w:r>
          </w:p>
        </w:tc>
      </w:tr>
      <w:tr>
        <w:trPr>
          <w:trHeight w:val="738"/>
        </w:trPr>
        <w:tc>
          <w:tcPr>
            <w:tcW w:w="3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6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74</w:t>
            </w:r>
          </w:p>
        </w:tc>
        <w:tc>
          <w:tcPr>
            <w:tcW w:w="2800" w:type="dxa"/>
            <w:vAlign w:val="bottom"/>
          </w:tcPr>
          <w:p>
            <w:pPr>
              <w:spacing w:after="0"/>
              <w:rPr>
                <w:sz w:val="24"/>
                <w:szCs w:val="24"/>
                <w:color w:val="auto"/>
              </w:rPr>
            </w:pPr>
          </w:p>
        </w:tc>
      </w:tr>
      <w:tr>
        <w:trPr>
          <w:trHeight w:val="68"/>
        </w:trPr>
        <w:tc>
          <w:tcPr>
            <w:tcW w:w="3100" w:type="dxa"/>
            <w:vAlign w:val="bottom"/>
            <w:shd w:val="clear" w:color="auto" w:fill="000000"/>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3460" w:type="dxa"/>
            <w:vAlign w:val="bottom"/>
            <w:shd w:val="clear" w:color="auto" w:fill="000000"/>
          </w:tcPr>
          <w:p>
            <w:pPr>
              <w:spacing w:after="0"/>
              <w:rPr>
                <w:sz w:val="5"/>
                <w:szCs w:val="5"/>
                <w:color w:val="auto"/>
              </w:rPr>
            </w:pPr>
          </w:p>
        </w:tc>
        <w:tc>
          <w:tcPr>
            <w:tcW w:w="28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37" w:right="239" w:bottom="1440" w:gutter="0" w:footer="0" w:header="0"/>
        </w:sectPr>
      </w:pPr>
    </w:p>
    <w:bookmarkStart w:id="78" w:name="page79"/>
    <w:bookmarkEnd w:id="78"/>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15, 2015, the Company’s Board of Directors authorized the repurchase of up to $3,000,000 in shares of common stock through open market purchases or unsolicited or solicited privately negotiated transactions. This program has no expiration date but may be terminated by the Company’s Board of Directors at any time. As of August 31, 2019, up to $2,640,548 in shares of common stock remained available for repurchase under the stock repurchase program.</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fiscal 2019, the Company did not repurchase or retire any shares of its common stock. During fiscal 2019, no stock options to purchase shares of common stock were exercised.</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363636"/>
        </w:rPr>
        <w:t>During fiscal 2018, the Company did not repurchase or retire any shares of its common stock. During fiscal 2018, stock options to purchase an aggregate of 12,814 shares of common stock were exercised at a weighted average exercise price of $5.80 per share. Some of the shares were cashless exercises, resulting in the issuance of 8,820 net shares.</w:t>
      </w:r>
    </w:p>
    <w:p>
      <w:pPr>
        <w:spacing w:after="0" w:line="172"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the earnings per share computation:</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 2019</w:t>
            </w:r>
          </w:p>
        </w:tc>
        <w:tc>
          <w:tcPr>
            <w:tcW w:w="1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5,209,622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6,701,366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Basic-weighted shares outstanding</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9,085,584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9,077,676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1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330,390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292,728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9,415,974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9,370,404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Company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Excluded from the computation of diluted net income per share as of August 31, 2019 were options to purchase 141,768 shares of common stock. There were no shares excluded from the computation of diluted income per share as of August 31, 2018.</w:t>
      </w:r>
    </w:p>
    <w:p>
      <w:pPr>
        <w:spacing w:after="0" w:line="180"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three stock-based compensation plans under which stock options or other stock-based awards have been granted, the Northern Technologies International Corporation 2019 Stock Incentive Plan (the 2019 Plan), which was approved by stockholders at the 2019 annual meeting of stockholders, the Northern Technologies International Corporation Amended and Restated 2007 Stock Incentive Plan (the 2007 Plan) and the Northern Technologies International Corporation Employee Stock Purchase Plan (the ESPP). The 2019 Plan replaced the 2007 Plan with respect to future grants; and, therefore, no further awards may be made under the 2007 Plan. The Compensation Committee of the Board of Directors and the Board of Directors administer these plans.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spacing w:after="0" w:line="255" w:lineRule="auto"/>
        <w:rPr>
          <w:sz w:val="20"/>
          <w:szCs w:val="20"/>
          <w:color w:val="auto"/>
        </w:rPr>
      </w:pPr>
      <w:r>
        <w:rPr>
          <w:rFonts w:ascii="Times New Roman" w:cs="Times New Roman" w:eastAsia="Times New Roman" w:hAnsi="Times New Roman"/>
          <w:sz w:val="18"/>
          <w:szCs w:val="18"/>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2019 Plan, up to a maximum of 800,000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August 31, 2019, no stock options or other equity awards had been granted under the 2019 Plan.</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maximum number of shares of common stock of the Company available for issuance under the ESPP is 200,000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The Company issued 2,462 and 1,970 shares on March 1, 2019 and 2018, respectively, and 1,748 and 1,780 shares on September 1, 2018 and 2017, respectively, under the ESPP. As of August 31, 2019, 91,044 shares of common stock remained available for sale under the ESPP.</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fair value of option grants is determined at date of grant, using the Black-Scholes option pricing model with the assumptions listed below. The volatility factor used in the Black-Scholes option pricing model is based on historical stock price fluctuations, and the risk-free interest rate is based on U.S. treasury rates appropriate for the expected term. Dividend yield and expected volatility are estimated using historical amounts that are anticipated to be consistent with current values. Expected life of the option is based on the life of the option agreements. Based on these valuations, the Company recognized compensation expense of $1,431,925 and $413,010 during fiscal 2019 and fiscal 2018, respectively, related to the options that vested during such time. As of August 31, 2019, the total compensation cost for non-vested options not yet recognized on the Company’s consolidated statements of operations was $65,270, which is expected to be recognized during fiscal 2020, based on outstanding options as of August 31, 2019. Future option grants will impact the compensation expense recognized. Stock-based compensation expense is included in general and administrative expense on the consolidated statements of operations.</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 pricing model with the following assumptions and results for the grants: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 2019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2018</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2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 (years)</w:t>
            </w:r>
          </w:p>
        </w:tc>
        <w:tc>
          <w:tcPr>
            <w:tcW w:w="56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5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738"/>
        </w:trPr>
        <w:tc>
          <w:tcPr>
            <w:tcW w:w="4240" w:type="dxa"/>
            <w:vAlign w:val="bottom"/>
          </w:tcPr>
          <w:p>
            <w:pPr>
              <w:spacing w:after="0"/>
              <w:rPr>
                <w:sz w:val="24"/>
                <w:szCs w:val="24"/>
                <w:color w:val="auto"/>
              </w:rPr>
            </w:pPr>
          </w:p>
        </w:tc>
        <w:tc>
          <w:tcPr>
            <w:tcW w:w="426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76</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8"/>
        </w:trPr>
        <w:tc>
          <w:tcPr>
            <w:tcW w:w="4240" w:type="dxa"/>
            <w:vAlign w:val="bottom"/>
            <w:shd w:val="clear" w:color="auto" w:fill="000000"/>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37"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activity during the periods indicated was as follows:</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 (#)</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August 31, 2017</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615,716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Options terminated</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August 31, 2018</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697,406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141,767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terminated</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August 31, 2019</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839,173</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2,610,422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August 31, 2019</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640,617</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fiscal 2019 and fiscal 2019 was $9.02 and $3.88, respectively. The weighted average remaining contractual life of the options outstanding and exercisable as of August 31, 2019 was 5.90 years and 5.06 years, respectively.</w:t>
      </w:r>
    </w:p>
    <w:p>
      <w:pPr>
        <w:spacing w:after="0" w:line="158"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ind w:right="140"/>
        <w:spacing w:after="0" w:line="238" w:lineRule="auto"/>
        <w:rPr>
          <w:sz w:val="20"/>
          <w:szCs w:val="20"/>
          <w:color w:val="auto"/>
        </w:rPr>
      </w:pPr>
      <w:r>
        <w:rPr>
          <w:rFonts w:ascii="Times New Roman" w:cs="Times New Roman" w:eastAsia="Times New Roman" w:hAnsi="Times New Roman"/>
          <w:sz w:val="17"/>
          <w:szCs w:val="17"/>
          <w:color w:val="auto"/>
        </w:rPr>
        <w:t>The Company’s chief operating decision maker (CODM) is its Chief Executive Officer. The Company’s business is organized into two reportable segments: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The Company has been selling its proprietary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rust and corrosion inhibiting products and services to the automotive, electronics, electrical, mechanical, military, and retail consumer markets for over 40 years and, more recently, has targeted and expanded into the oil and gas</w:t>
      </w:r>
    </w:p>
    <w:p>
      <w:pPr>
        <w:ind w:right="140"/>
        <w:spacing w:after="0" w:line="205" w:lineRule="auto"/>
        <w:rPr>
          <w:sz w:val="20"/>
          <w:szCs w:val="20"/>
          <w:color w:val="auto"/>
        </w:rPr>
      </w:pPr>
      <w:r>
        <w:rPr>
          <w:rFonts w:ascii="Times New Roman" w:cs="Times New Roman" w:eastAsia="Times New Roman" w:hAnsi="Times New Roman"/>
          <w:sz w:val="18"/>
          <w:szCs w:val="18"/>
          <w:color w:val="auto"/>
        </w:rPr>
        <w:t>industry. The Company also sells a portfolio of bio-based and compostable (fully biodegradable) polymer resins and finished products under the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brand.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the Company’s business segment information in fiscal 2019 and fiscal 2018:</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2018</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ZERUST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net sales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38,174,712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41,374,305</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spacing w:after="0" w:line="269" w:lineRule="exact"/>
              <w:rPr>
                <w:sz w:val="20"/>
                <w:szCs w:val="20"/>
                <w:color w:val="auto"/>
              </w:rPr>
            </w:pPr>
            <w:r>
              <w:rPr>
                <w:rFonts w:ascii="Times New Roman" w:cs="Times New Roman" w:eastAsia="Times New Roman" w:hAnsi="Times New Roman"/>
                <w:sz w:val="18"/>
                <w:szCs w:val="18"/>
                <w:color w:val="auto"/>
              </w:rPr>
              <w:t>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net sales</w:t>
            </w:r>
          </w:p>
        </w:tc>
        <w:tc>
          <w:tcPr>
            <w:tcW w:w="4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17,575,425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10,050,516</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55,750,137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51,424,821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fiscal 2019 and fiscal 2018 by segment:</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2018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21,505,335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24,326,493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13,691,038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7,303,439</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2,773,871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2,535,508</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37,970,244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34,165,440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related to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sales by geographic location were as follows: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7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23"/>
        </w:trPr>
        <w:tc>
          <w:tcPr>
            <w:tcW w:w="7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24,560,459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25,301,243</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2,607,554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2,908,072</w:t>
            </w:r>
          </w:p>
        </w:tc>
      </w:tr>
      <w:tr>
        <w:trPr>
          <w:trHeight w:val="230"/>
        </w:trPr>
        <w:tc>
          <w:tcPr>
            <w:tcW w:w="7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Unaffiliated customers</w:t>
            </w: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28,582,124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23,215,506</w:t>
            </w:r>
          </w:p>
        </w:tc>
      </w:tr>
      <w:tr>
        <w:trPr>
          <w:trHeight w:val="223"/>
        </w:trPr>
        <w:tc>
          <w:tcPr>
            <w:tcW w:w="7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55,750,137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51,424,821</w:t>
            </w:r>
          </w:p>
        </w:tc>
      </w:tr>
      <w:tr>
        <w:trPr>
          <w:trHeight w:val="20"/>
        </w:trPr>
        <w:tc>
          <w:tcPr>
            <w:tcW w:w="7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ind w:right="16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fiscal 2019 and fiscal 2018, respectively,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2018</w:t>
            </w: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852,526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900,316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759,418</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704,942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775,319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589,654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600,336</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430,537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532,565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429,319</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350,171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365,018</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370,171</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345,798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377,844</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319,671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352,585</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320,501</w:t>
            </w:r>
          </w:p>
        </w:tc>
      </w:tr>
      <w:tr>
        <w:trPr>
          <w:trHeight w:val="230"/>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339,917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358,747</w:t>
            </w:r>
          </w:p>
        </w:tc>
      </w:tr>
      <w:tr>
        <w:trPr>
          <w:trHeight w:val="223"/>
        </w:trPr>
        <w:tc>
          <w:tcPr>
            <w:tcW w:w="490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5,727,579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6,142,139</w:t>
            </w:r>
          </w:p>
        </w:tc>
      </w:tr>
      <w:tr>
        <w:trPr>
          <w:trHeight w:val="20"/>
        </w:trPr>
        <w:tc>
          <w:tcPr>
            <w:tcW w:w="4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ectPr>
          <w:pgSz w:w="11900" w:h="16838" w:orient="portrait"/>
          <w:cols w:equalWidth="0" w:num="1">
            <w:col w:w="11440"/>
          </w:cols>
          <w:pgMar w:left="240" w:top="337" w:right="21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additional details on geographical information regarding equity in income from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distribution of total long-lived assets and net sales is as follows: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Total long-lived assets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At August 31, 2019</w:t>
            </w: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At August 31, 2018</w:t>
            </w:r>
          </w:p>
        </w:tc>
      </w:tr>
      <w:tr>
        <w:trPr>
          <w:trHeight w:val="191"/>
        </w:trPr>
        <w:tc>
          <w:tcPr>
            <w:tcW w:w="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337,162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205,490</w:t>
            </w:r>
          </w:p>
        </w:tc>
        <w:tc>
          <w:tcPr>
            <w:tcW w:w="2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178,087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100,955</w:t>
            </w:r>
          </w:p>
        </w:tc>
        <w:tc>
          <w:tcPr>
            <w:tcW w:w="20" w:type="dxa"/>
            <w:vAlign w:val="bottom"/>
          </w:tcPr>
          <w:p>
            <w:pPr>
              <w:spacing w:after="0"/>
              <w:rPr>
                <w:sz w:val="19"/>
                <w:szCs w:val="19"/>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6,842,910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6,862,381</w:t>
            </w:r>
          </w:p>
        </w:tc>
        <w:tc>
          <w:tcPr>
            <w:tcW w:w="20" w:type="dxa"/>
            <w:vAlign w:val="bottom"/>
          </w:tcPr>
          <w:p>
            <w:pPr>
              <w:spacing w:after="0"/>
              <w:rPr>
                <w:sz w:val="20"/>
                <w:szCs w:val="20"/>
                <w:color w:val="auto"/>
              </w:rPr>
            </w:pPr>
          </w:p>
        </w:tc>
      </w:tr>
      <w:tr>
        <w:trPr>
          <w:trHeight w:val="223"/>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7,358,159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7,168,826</w:t>
            </w:r>
          </w:p>
        </w:tc>
        <w:tc>
          <w:tcPr>
            <w:tcW w:w="2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304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Fiscal Year Ended Fiscal Year Ended</w:t>
            </w:r>
          </w:p>
        </w:tc>
      </w:tr>
      <w:tr>
        <w:trPr>
          <w:trHeight w:val="238"/>
        </w:trPr>
        <w:tc>
          <w:tcPr>
            <w:tcW w:w="160" w:type="dxa"/>
            <w:vAlign w:val="bottom"/>
          </w:tcPr>
          <w:p>
            <w:pPr>
              <w:spacing w:after="0"/>
              <w:rPr>
                <w:sz w:val="20"/>
                <w:szCs w:val="20"/>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August 31, 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August 31, 2018</w:t>
            </w:r>
          </w:p>
        </w:tc>
      </w:tr>
      <w:tr>
        <w:trPr>
          <w:trHeight w:val="191"/>
        </w:trPr>
        <w:tc>
          <w:tcPr>
            <w:tcW w:w="160" w:type="dxa"/>
            <w:vAlign w:val="bottom"/>
          </w:tcPr>
          <w:p>
            <w:pPr>
              <w:spacing w:after="0"/>
              <w:rPr>
                <w:sz w:val="16"/>
                <w:szCs w:val="16"/>
                <w:color w:val="auto"/>
              </w:rPr>
            </w:pPr>
          </w:p>
        </w:tc>
        <w:tc>
          <w:tcPr>
            <w:tcW w:w="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13,030,298</w:t>
            </w: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60" w:type="dxa"/>
            <w:vAlign w:val="bottom"/>
            <w:tcBorders>
              <w:top w:val="single" w:sz="8" w:color="auto"/>
            </w:tcBorders>
          </w:tcPr>
          <w:p>
            <w:pPr>
              <w:jc w:val="right"/>
              <w:ind w:right="9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12,507,039</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3,151,509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3,093,697</w:t>
            </w:r>
          </w:p>
        </w:tc>
        <w:tc>
          <w:tcPr>
            <w:tcW w:w="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8,109,468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3,052,741</w:t>
            </w:r>
          </w:p>
        </w:tc>
        <w:tc>
          <w:tcPr>
            <w:tcW w:w="2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6,898,403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7,470,101</w:t>
            </w:r>
          </w:p>
        </w:tc>
        <w:tc>
          <w:tcPr>
            <w:tcW w:w="20" w:type="dxa"/>
            <w:vAlign w:val="bottom"/>
          </w:tcPr>
          <w:p>
            <w:pPr>
              <w:spacing w:after="0"/>
              <w:rPr>
                <w:sz w:val="19"/>
                <w:szCs w:val="19"/>
                <w:color w:val="auto"/>
              </w:rPr>
            </w:pPr>
          </w:p>
        </w:tc>
      </w:tr>
      <w:tr>
        <w:trPr>
          <w:trHeight w:val="234"/>
        </w:trPr>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24,560,459</w:t>
            </w: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25,301,243</w:t>
            </w:r>
          </w:p>
        </w:tc>
        <w:tc>
          <w:tcPr>
            <w:tcW w:w="2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55,750,137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51,424,821</w:t>
            </w:r>
          </w:p>
        </w:tc>
        <w:tc>
          <w:tcPr>
            <w:tcW w:w="2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80" w:space="520"/>
            <w:col w:w="3040"/>
          </w:cols>
          <w:pgMar w:left="240" w:top="337" w:right="219" w:bottom="1440" w:gutter="0" w:footer="0" w:header="0"/>
          <w:type w:val="continuous"/>
        </w:sect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Long-lived assets located in China, Brazil, Germany, and India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related to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83" w:name="page84"/>
    <w:bookmarkEnd w:id="83"/>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$228,605 and $219,379 for fiscal 2019 and fiscal 2018, respectively.</w:t>
      </w:r>
    </w:p>
    <w:p>
      <w:pPr>
        <w:spacing w:after="0" w:line="172"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both fiscal 2019 and fiscal 2018, the Company made consulting payments of $144,000 to Bioplastic Polymers LLC, an entity owned by Ramani Narayan, Ph.D., a director of the Company.</w:t>
      </w:r>
    </w:p>
    <w:p>
      <w:pPr>
        <w:spacing w:after="0" w:line="158"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Cuts and Jobs Act, or Tax Reform Act. The Tax Reform Act made broad and complex changes to the U.S. tax code, which had a number of impacts on the Company’s fiscal year ended August 31 2018, including, but not limited to, reducing the U.S. federal corporate tax rate from 35% to 21% effective January 1, 2018, generally eliminating U.S. federal income taxes on dividends received from foreign subsidiaries and joint ventures after December 31, 2017, and imposing a one-time deemed repatriation tax on certain unremitted earnings of foreign subsidiaries and joint ventures. The Company was subject to a blended U.S. federal tax rate of 25.7% for the fiscal year ended August 31, 2018 as a result of the reduction of the U.S. federal corporate tax rate from 35% to 21% effective January 1, 2018. For the fiscal year ended August 31, 2019, the Company was subject to a U.S. federal tax rate of 21.0%.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fiscal years ended August 31, 2019 and 2018 was approximately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5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5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5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671,000</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672,000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5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477,000</w:t>
            </w:r>
          </w:p>
        </w:tc>
        <w:tc>
          <w:tcPr>
            <w:tcW w:w="0" w:type="dxa"/>
            <w:vAlign w:val="bottom"/>
          </w:tcPr>
          <w:p>
            <w:pPr>
              <w:spacing w:after="0"/>
              <w:rPr>
                <w:sz w:val="1"/>
                <w:szCs w:val="1"/>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53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spacing w:after="0"/>
              <w:rPr>
                <w:sz w:val="18"/>
                <w:szCs w:val="18"/>
                <w:color w:val="auto"/>
              </w:rPr>
            </w:pPr>
          </w:p>
        </w:tc>
        <w:tc>
          <w:tcPr>
            <w:tcW w:w="5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204,000</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842,000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38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20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200" w:type="dxa"/>
            <w:vAlign w:val="bottom"/>
            <w:shd w:val="clear" w:color="auto" w:fill="000000"/>
          </w:tcPr>
          <w:p>
            <w:pPr>
              <w:spacing w:after="0"/>
              <w:rPr>
                <w:sz w:val="5"/>
                <w:szCs w:val="5"/>
                <w:color w:val="auto"/>
              </w:rPr>
            </w:pPr>
          </w:p>
        </w:tc>
        <w:tc>
          <w:tcPr>
            <w:tcW w:w="53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84" w:name="page85"/>
    <w:bookmarkEnd w:id="84"/>
    <w:p>
      <w:pPr>
        <w:ind w:right="180"/>
        <w:spacing w:after="0" w:line="282" w:lineRule="auto"/>
        <w:rPr>
          <w:sz w:val="20"/>
          <w:szCs w:val="20"/>
          <w:color w:val="auto"/>
        </w:rPr>
      </w:pPr>
      <w:r>
        <w:rPr>
          <w:rFonts w:ascii="Times New Roman" w:cs="Times New Roman" w:eastAsia="Times New Roman" w:hAnsi="Times New Roman"/>
          <w:sz w:val="18"/>
          <w:szCs w:val="18"/>
          <w:color w:val="auto"/>
        </w:rPr>
        <w:t>Reconciliations of the expected federal income tax at the statutory rate (21.0% in fiscal 2019 and 25.7% in fiscal 2018) with the provisions for income taxes for the fiscal years ended August 31, 2019 and 2018 were approximately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23"/>
        </w:trPr>
        <w:tc>
          <w:tcPr>
            <w:tcW w:w="648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statutory rates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2,081,000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equity in income of international joint ventures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(1,903,000)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foreign operations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101,000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repatriation</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4,011,000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credit</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(3,783,000)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57,000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rate change</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633,000</w:t>
            </w:r>
          </w:p>
        </w:tc>
      </w:tr>
      <w:tr>
        <w:trPr>
          <w:trHeight w:val="23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23"/>
        </w:trPr>
        <w:tc>
          <w:tcPr>
            <w:tcW w:w="648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842,000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876,000</w:t>
            </w:r>
          </w:p>
        </w:tc>
      </w:tr>
      <w:tr>
        <w:trPr>
          <w:trHeight w:val="20"/>
        </w:trPr>
        <w:tc>
          <w:tcPr>
            <w:tcW w:w="6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has not provided U.S. income taxes or foreign withholding taxes with respect to its portion of the cumulative undistributed earnings of certain foreign subsidiaries and joint ventures that are essentially permanent in duration. The Tax Reform Act generally eliminated U.S. federal income taxes on dividends received from the Company’s foreign subsidiaries and joint ventures after December 31, 2017. However, the Company will still be subject to foreign withholding taxes upon repatriation of any undistributed earnings that are not essentially permanent in duration. The Company recorded tax expense of approximately $4,000 and $79,000 during fiscal 2019 and fiscal 2018, respectively, representing foreign withholding taxes to be paid with respect to the portion of the cumulative undistributed earnings of foreign subsidiaries and joint ventures that the Company determined were not essentially permanent in duration.</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measures deferred tax assets and liabilities using enacted tax rates that will apply in the years in which the temporary differences are expected to be recovered or paid. The tax effect of the temporary differences and tax carryforwards comprising the net deferred taxes shown on the consolidated balance sheets as of August 31, 2019 and 2018 was approximately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153,400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430,600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Inventory costs</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688,400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695,800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299,300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197,500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5,790,500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5,789,600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credit and loss carryforwards</w:t>
            </w:r>
          </w:p>
        </w:tc>
        <w:tc>
          <w:tcPr>
            <w:tcW w:w="3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3,631,700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3,241,200</w:t>
            </w: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10,683,900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10,477,300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(8,764,300)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(8,654,500)</w:t>
            </w: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1,899,600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1,822,800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(146,200)</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(270,800)</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8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1,634,300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1,552,000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8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7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700" w:type="dxa"/>
            <w:vAlign w:val="bottom"/>
            <w:shd w:val="clear" w:color="auto" w:fill="000000"/>
          </w:tcPr>
          <w:p>
            <w:pPr>
              <w:spacing w:after="0"/>
              <w:rPr>
                <w:sz w:val="5"/>
                <w:szCs w:val="5"/>
                <w:color w:val="auto"/>
              </w:rPr>
            </w:pPr>
          </w:p>
        </w:tc>
        <w:tc>
          <w:tcPr>
            <w:tcW w:w="38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5" w:name="page86"/>
    <w:bookmarkEnd w:id="85"/>
    <w:p>
      <w:pPr>
        <w:ind w:right="40"/>
        <w:spacing w:after="0" w:line="256" w:lineRule="auto"/>
        <w:rPr>
          <w:sz w:val="20"/>
          <w:szCs w:val="20"/>
          <w:color w:val="auto"/>
        </w:rPr>
      </w:pPr>
      <w:r>
        <w:rPr>
          <w:rFonts w:ascii="Times New Roman" w:cs="Times New Roman" w:eastAsia="Times New Roman" w:hAnsi="Times New Roman"/>
          <w:sz w:val="18"/>
          <w:szCs w:val="18"/>
          <w:color w:val="auto"/>
        </w:rPr>
        <w:t>As of August 31, 2019, the Company had foreign tax credit carryforwards of approximately $5,790,500, which will begin to expire if not utilized prior to August 31, 2021. In addition, the Company had federal and state tax credit carryforwards of $2,973,800 as of August 31, 2019 which began to expire in fiscal 2020. These federal and state tax credit carryforwards consist primarily of federal and Minnesota research and development credit carryforwards. The Company also has a deferred tax asset of $532,000 for federal and state net operating loss carryforwards as of August 31, 2019. The federal net operating loss carryforward has an indefinite carryforward period. The Company has a deferred tax asset of $152,000 for foreign net operating loss carryforwards, which will begin to expire in fiscal 2021.</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August 31, 2019, the Company has recorded a valuation allowance of $5,790,500 with respect to the foreign tax credit carryforwards. In addition, the Company has recorded a valuation allowance of $2,973,800 with respect to federal and state tax credit carryforwards.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August 31, 2018, the Company had recorded a valuation allowance of $5,789,600 with respect to the foreign tax credit carryforwards. In addition, the Company had recorded a valuation allowance of $2,864,900 with respect to federal and state tax credit carryforwards.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records a tax valuation allowance to reduce deferred tax assets to the amount expected to be realized when it is more likely than not that some portion or all its deferred tax assets will not be realized. The Company determined based on all available evidence, including historical data and projections of future results, that it is more likely than not that all its deferred tax assets, except for its foreign tax credit carryforward and federal and Minnesota research and development credit carryforwards will be fully realized. The Company determined that its deferred tax asset related to foreign tax credit carryforwards will not be realized due to insufficient foreign source taxable income within the carryforward period and the fact that for ordering purposes the foreign tax credit carryforwards are not allowed to be utilized until after any current year foreign tax credits are utilized. In addition, based on historical data and future projections, the Company determined that it is more likely than not that its deferred tax asset related to federal and Minnesota research and development credit carryforwards will not be realized due to insufficient federal and Minnesota taxable income within the carryforward period after considering the foreign tax credit usage.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approximated unrecognized tax benefits: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unrecognized tax benefits – beginning balance</w:t>
            </w:r>
          </w:p>
        </w:tc>
        <w:tc>
          <w:tcPr>
            <w:tcW w:w="3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Gross decreases – prior period tax positions</w:t>
            </w: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38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Gross unrecognized tax benefits – ending balance</w:t>
            </w:r>
          </w:p>
        </w:tc>
        <w:tc>
          <w:tcPr>
            <w:tcW w:w="38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248,000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242,000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6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7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720" w:type="dxa"/>
            <w:vAlign w:val="bottom"/>
            <w:shd w:val="clear" w:color="auto" w:fill="000000"/>
          </w:tcPr>
          <w:p>
            <w:pPr>
              <w:spacing w:after="0"/>
              <w:rPr>
                <w:sz w:val="5"/>
                <w:szCs w:val="5"/>
                <w:color w:val="auto"/>
              </w:rPr>
            </w:pPr>
          </w:p>
        </w:tc>
        <w:tc>
          <w:tcPr>
            <w:tcW w:w="38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6" w:name="page87"/>
    <w:bookmarkEnd w:id="86"/>
    <w:p>
      <w:pPr>
        <w:ind w:right="520"/>
        <w:spacing w:after="0" w:line="282" w:lineRule="auto"/>
        <w:rPr>
          <w:sz w:val="20"/>
          <w:szCs w:val="20"/>
          <w:color w:val="auto"/>
        </w:rPr>
      </w:pPr>
      <w:r>
        <w:rPr>
          <w:rFonts w:ascii="Times New Roman" w:cs="Times New Roman" w:eastAsia="Times New Roman" w:hAnsi="Times New Roman"/>
          <w:sz w:val="18"/>
          <w:szCs w:val="18"/>
          <w:color w:val="auto"/>
        </w:rPr>
        <w:t>The entire amount of unrecognized tax benefits would affect the effective tax rate if recognized. It is not expected that the amount of unrecognized tax benefits will change significantly in the next 12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the Company’s income tax provision. Accrued interest and penalties are included within the related tax liability line in the consolidated balance sheet. There was no liability for the payment of interest and penalties as of both August 31, 2019 and August 31, 2018.</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With few exceptions, as of August 31, 2019, the Company is no longer subject to federal, state, local, or foreign examinations by tax authorities for years prior to August 31, 2016.</w:t>
      </w:r>
    </w:p>
    <w:p>
      <w:pPr>
        <w:spacing w:after="0" w:line="158"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28, 2019, the Compensation Committee of the Board of Directors of the Company approved the material terms of an annual bonus plan for the Company’s executive officers as well as certain officers and employees for the fiscal year ending August 31, 2020. For fiscal 2020,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2020 compared to a pre-established target EBITOI for fiscal 2020,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NTIC common stock, the exact amount and percentages of which were determined by the Company’s Board of Directors, upon recommendation of the Compensation Committee, after the completion of the Company’s consolidated financial statements for fiscal 2020.</w:t>
      </w:r>
    </w:p>
    <w:p>
      <w:pPr>
        <w:spacing w:after="0" w:line="19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August 31, 2018, the Compensation Committee of the Board of Directors of the Company approved the material terms of an annual bonus plan for the Company’s executive officers as well as certain officers and employees for the fiscal year ending August 31,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bonuses as of August 31, 2019 and 2018 were $1,200,000 and $2,153,000, respectively.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Five joint ventures (consisting of the Company’s joint ventures in South Korea, Thailand, France, Germany and India) accounted for 69.6% of the Company’s trade joint venture receivables as of August 31, 2019, and three joint ventures (consisting of the Company’s joint ventures in South Korea, Thailand, and India) accounted for 74.1% of the Company’s trade joint venture receivables as of August 31, 2018.</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23, 2015, NTIC and NTI Asean LLC,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The lawsuit alleges, among other things, that Mr. Tao Meng and Xu Hui have engaged in self-dealing, usurped business opportunities, and received economic benefits that were required to go to Tianjin Zerust. At this point, the Company is not able to reasonably estimate the amount of any recovery to NTI Asean, if any.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7" w:name="page88"/>
    <w:bookmarkEnd w:id="87"/>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August 31, 2019, the amount of liability, if any, with respect to these matters, individually or in the aggregate, will not materially affect the Company’s consolidated results of operations, financial position, or cash flows.</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has leases for office and warehouse space in the United States, China, India, Germany, and Brazil with monthly rents ranging from $350 to $6,621, which expire at various dates through August 31, 2022. Future minimum rents due under these leases are as follows for each of the next five years ended August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635,280</w:t>
            </w: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gridSpan w:val="2"/>
            <w:vMerge w:val="continue"/>
          </w:tcPr>
          <w:p>
            <w:pPr>
              <w:spacing w:after="0"/>
              <w:rPr>
                <w:sz w:val="24"/>
                <w:szCs w:val="24"/>
                <w:color w:val="auto"/>
              </w:rPr>
            </w:pPr>
          </w:p>
        </w:tc>
        <w:tc>
          <w:tcPr>
            <w:tcW w:w="640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 of:</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 income tax</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841,837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13,567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gridSpan w:val="2"/>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53,512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The hierarchy is broken down into three levels defined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Inputs are quoted prices in active markets for identical assets or liabilities.</w:t>
      </w:r>
    </w:p>
    <w:p>
      <w:pPr>
        <w:spacing w:after="0" w:line="27" w:lineRule="exact"/>
        <w:rPr>
          <w:sz w:val="20"/>
          <w:szCs w:val="20"/>
          <w:color w:val="auto"/>
        </w:rPr>
      </w:pPr>
    </w:p>
    <w:p>
      <w:pPr>
        <w:ind w:left="1140" w:right="20" w:hanging="809"/>
        <w:spacing w:after="0" w:line="250" w:lineRule="auto"/>
        <w:rPr>
          <w:sz w:val="20"/>
          <w:szCs w:val="20"/>
          <w:color w:val="auto"/>
        </w:rPr>
      </w:pPr>
      <w:r>
        <w:rPr>
          <w:rFonts w:ascii="Times New Roman" w:cs="Times New Roman" w:eastAsia="Times New Roman" w:hAnsi="Times New Roman"/>
          <w:sz w:val="18"/>
          <w:szCs w:val="18"/>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Inputs are unobservable for the asset or liability.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below titled Valuation Techniques for further discussion of how the Company determines fair value for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That Are Measured at Fair Value on a Recurring Basis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31, 2019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3,565,258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3,565,258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0"/>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31, 2018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3,300,110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3,300,110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Techniques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Financial assets that are classified as Level 1 securities include cash equivalents and available for sale securities. These are valued using quoted market prices in an active market.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2019 or August 31, 2018. When a determination is made to classify an asset or liability within Level 3, the determination is based upon the significance of the unobservable inputs to the overall fair value measurement.</w:t>
      </w:r>
    </w:p>
    <w:p>
      <w:pPr>
        <w:spacing w:after="0" w:line="180" w:lineRule="exact"/>
        <w:rPr>
          <w:sz w:val="20"/>
          <w:szCs w:val="20"/>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October 22, 2019, NTIC’s Board of Directors declared a cash dividend of $0.065 per share of NTIC’s common stock, payable on November 20, 2019 to stockholders of record on November 6, 2019.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NTIC’a management report on internal control over financial reporting is included in this report in Part II, Item 8, "</w:t>
      </w:r>
      <w:r>
        <w:rPr>
          <w:rFonts w:ascii="Times New Roman" w:cs="Times New Roman" w:eastAsia="Times New Roman" w:hAnsi="Times New Roman"/>
          <w:sz w:val="18"/>
          <w:szCs w:val="18"/>
          <w:i w:val="1"/>
          <w:iCs w:val="1"/>
          <w:color w:val="auto"/>
        </w:rPr>
        <w:t>Financial Statements and Supplementary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under the caption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Which is incorporated herein by reference. The report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Baker Tilly Virchow Krause, LLP, NTIC’s independent registered public accounting firm, regarding the effectiveness of NTIC’s internal control over financial reporting is included in this report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under the caption "</w:t>
      </w:r>
      <w:r>
        <w:rPr>
          <w:rFonts w:ascii="Times New Roman" w:cs="Times New Roman" w:eastAsia="Times New Roman" w:hAnsi="Times New Roman"/>
          <w:sz w:val="18"/>
          <w:szCs w:val="18"/>
          <w:i w:val="1"/>
          <w:iCs w:val="1"/>
          <w:color w:val="auto"/>
        </w:rPr>
        <w:t>Report of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Registered Public Accounting Firm</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August 31, 2019 that has materially affected or is reasonably likely to materially affect NTIC’s internal control over financial reporting.</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Information concerning NTIC’s executive officers and officers is included in this annual report on Form 10-K under Item 4A of Part I under the heading “Executive Officers of the Registrant.”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Nomination Procedures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2019, NTIC made no material changes to the procedures by which stockholders may recommend nominees to NTIC’s Board of Directors, as described in NTIC’s most recent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1" w:name="page92"/>
    <w:bookmarkEnd w:id="91"/>
    <w:p>
      <w:pPr>
        <w:ind w:left="1300" w:right="26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outstanding options and other awards under NTIC’s equity compensation plans as of August 31, 2019. NTIC’s equity compensation plans as of August 31, 2019 were the Northern Technologies International Corporation 2019 Stock Incentive Plan, the Northern Technologies International Corporation Amended and Restated 2007 Stock Incentive Plan, and the Northern Technologies International Corporation Employee Stock Purchase Plan. Except for automatic annual grants of $50,000 in options to purchase shares of NTIC common stock to NTIC’s directors in consideration for their services as directors of NTIC and an automatic annual grant of $10,000 in options to purchase shares of NTIC common stock to NTIC’s Chairman of the Board in consideration for his services as Chairman, in each case on the first day of each fiscal year, and automatic initial pro rata grants of $50,000 in options to purchase shares of NTIC common stock to NTIC’s new directors in consideration for their services as directors of NTIC on the first date of their appointment as directors, options and other awards granted in the future under the Northern Technologies International Corporation 2019 Stock Incentive Plan are within the discretion of the Board of Directors and the Compensation Committee of the Board of Directors and, therefore, cannot be ascertained at this time. No future grants of options or other stock awards will be made under the Northern Technologies International Corporation Amended and Restated 2007 Stock Incentive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40" w:type="dxa"/>
            <w:vAlign w:val="bottom"/>
          </w:tcPr>
          <w:p>
            <w:pPr>
              <w:spacing w:after="0"/>
              <w:rPr>
                <w:sz w:val="18"/>
                <w:szCs w:val="18"/>
                <w:color w:val="auto"/>
              </w:rPr>
            </w:pPr>
          </w:p>
        </w:tc>
        <w:tc>
          <w:tcPr>
            <w:tcW w:w="2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5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r>
      <w:tr>
        <w:trPr>
          <w:trHeight w:val="216"/>
        </w:trPr>
        <w:tc>
          <w:tcPr>
            <w:tcW w:w="5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55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40" w:type="dxa"/>
            <w:vAlign w:val="bottom"/>
          </w:tcPr>
          <w:p>
            <w:pPr>
              <w:spacing w:after="0"/>
              <w:rPr>
                <w:sz w:val="18"/>
                <w:szCs w:val="18"/>
                <w:color w:val="auto"/>
              </w:rPr>
            </w:pPr>
          </w:p>
        </w:tc>
        <w:tc>
          <w:tcPr>
            <w:tcW w:w="2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55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r>
      <w:tr>
        <w:trPr>
          <w:trHeight w:val="216"/>
        </w:trPr>
        <w:tc>
          <w:tcPr>
            <w:tcW w:w="55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18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40" w:type="dxa"/>
            <w:vAlign w:val="bottom"/>
          </w:tcPr>
          <w:p>
            <w:pPr>
              <w:spacing w:after="0"/>
              <w:rPr>
                <w:sz w:val="18"/>
                <w:szCs w:val="18"/>
                <w:color w:val="auto"/>
              </w:rPr>
            </w:pPr>
          </w:p>
        </w:tc>
        <w:tc>
          <w:tcPr>
            <w:tcW w:w="2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40" w:type="dxa"/>
            <w:vAlign w:val="bottom"/>
          </w:tcPr>
          <w:p>
            <w:pPr>
              <w:spacing w:after="0"/>
              <w:rPr>
                <w:sz w:val="20"/>
                <w:szCs w:val="20"/>
                <w:color w:val="auto"/>
              </w:rPr>
            </w:pPr>
          </w:p>
        </w:tc>
        <w:tc>
          <w:tcPr>
            <w:tcW w:w="2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00" w:type="dxa"/>
            <w:vAlign w:val="bottom"/>
            <w:tcBorders>
              <w:top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5"/>
                <w:szCs w:val="15"/>
                <w:color w:val="auto"/>
              </w:rPr>
              <w:t>839,172</w:t>
            </w:r>
            <w:r>
              <w:rPr>
                <w:rFonts w:ascii="Times New Roman" w:cs="Times New Roman" w:eastAsia="Times New Roman" w:hAnsi="Times New Roman"/>
                <w:sz w:val="24"/>
                <w:szCs w:val="24"/>
                <w:color w:val="auto"/>
                <w:vertAlign w:val="superscript"/>
              </w:rPr>
              <w:t>(1)(2)</w:t>
            </w:r>
          </w:p>
        </w:tc>
        <w:tc>
          <w:tcPr>
            <w:tcW w:w="22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6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gridSpan w:val="2"/>
            <w:shd w:val="clear" w:color="auto" w:fill="CCEEFF"/>
          </w:tcPr>
          <w:p>
            <w:pPr>
              <w:jc w:val="right"/>
              <w:ind w:right="132"/>
              <w:spacing w:after="0" w:line="210" w:lineRule="exact"/>
              <w:rPr>
                <w:sz w:val="20"/>
                <w:szCs w:val="20"/>
                <w:color w:val="auto"/>
              </w:rPr>
            </w:pPr>
            <w:r>
              <w:rPr>
                <w:rFonts w:ascii="Times New Roman" w:cs="Times New Roman" w:eastAsia="Times New Roman" w:hAnsi="Times New Roman"/>
                <w:sz w:val="15"/>
                <w:szCs w:val="15"/>
                <w:color w:val="auto"/>
              </w:rPr>
              <w:t>891,044</w:t>
            </w:r>
            <w:r>
              <w:rPr>
                <w:rFonts w:ascii="Times New Roman" w:cs="Times New Roman" w:eastAsia="Times New Roman" w:hAnsi="Times New Roman"/>
                <w:sz w:val="24"/>
                <w:szCs w:val="24"/>
                <w:color w:val="auto"/>
                <w:vertAlign w:val="superscript"/>
              </w:rPr>
              <w:t>(3)</w:t>
            </w:r>
          </w:p>
        </w:tc>
        <w:tc>
          <w:tcPr>
            <w:tcW w:w="20" w:type="dxa"/>
            <w:vAlign w:val="bottom"/>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1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0"/>
        </w:trPr>
        <w:tc>
          <w:tcPr>
            <w:tcW w:w="5540" w:type="dxa"/>
            <w:vAlign w:val="bottom"/>
            <w:tcBorders>
              <w:top w:val="single" w:sz="8" w:color="CCEEFF"/>
            </w:tcBorders>
            <w:shd w:val="clear" w:color="auto" w:fill="CCEEFF"/>
          </w:tcPr>
          <w:p>
            <w:pPr>
              <w:ind w:left="2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top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5"/>
                <w:szCs w:val="15"/>
                <w:color w:val="auto"/>
              </w:rPr>
              <w:t>839,172</w:t>
            </w:r>
            <w:r>
              <w:rPr>
                <w:rFonts w:ascii="Times New Roman" w:cs="Times New Roman" w:eastAsia="Times New Roman" w:hAnsi="Times New Roman"/>
                <w:sz w:val="24"/>
                <w:szCs w:val="24"/>
                <w:color w:val="auto"/>
                <w:vertAlign w:val="superscript"/>
              </w:rPr>
              <w:t>(1)(2)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132"/>
              <w:spacing w:after="0" w:line="210" w:lineRule="exact"/>
              <w:rPr>
                <w:sz w:val="20"/>
                <w:szCs w:val="20"/>
                <w:color w:val="auto"/>
              </w:rPr>
            </w:pPr>
            <w:r>
              <w:rPr>
                <w:rFonts w:ascii="Times New Roman" w:cs="Times New Roman" w:eastAsia="Times New Roman" w:hAnsi="Times New Roman"/>
                <w:sz w:val="15"/>
                <w:szCs w:val="15"/>
                <w:color w:val="auto"/>
              </w:rPr>
              <w:t>891,044</w:t>
            </w:r>
            <w:r>
              <w:rPr>
                <w:rFonts w:ascii="Times New Roman" w:cs="Times New Roman" w:eastAsia="Times New Roman" w:hAnsi="Times New Roman"/>
                <w:sz w:val="24"/>
                <w:szCs w:val="24"/>
                <w:color w:val="auto"/>
                <w:vertAlign w:val="superscript"/>
              </w:rPr>
              <w:t>(3)</w:t>
            </w:r>
          </w:p>
        </w:tc>
        <w:tc>
          <w:tcPr>
            <w:tcW w:w="20" w:type="dxa"/>
            <w:vAlign w:val="bottom"/>
          </w:tcPr>
          <w:p>
            <w:pPr>
              <w:spacing w:after="0"/>
              <w:rPr>
                <w:sz w:val="18"/>
                <w:szCs w:val="18"/>
                <w:color w:val="auto"/>
              </w:rPr>
            </w:pPr>
          </w:p>
        </w:tc>
      </w:tr>
      <w:tr>
        <w:trPr>
          <w:trHeight w:val="21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*Share and per share data have been adjusted for all periods presented to reflect the two-for-one stock split effective June 28, 2019.</w:t>
      </w:r>
    </w:p>
    <w:p>
      <w:pPr>
        <w:spacing w:after="0" w:line="205" w:lineRule="exact"/>
        <w:rPr>
          <w:sz w:val="20"/>
          <w:szCs w:val="20"/>
          <w:color w:val="auto"/>
        </w:rPr>
      </w:pPr>
    </w:p>
    <w:p>
      <w:pPr>
        <w:ind w:left="660" w:right="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shares of NTIC common stock issuable upon the exercise of stock options outstanding as of August 31, 2019 under the Northern Technologies International Corporation Amended and Restated 2007 Stock Incentive Plan. No options or other equity awards were outstanding as of August 31, 2019 under the Northern Technologies International Corporation 2019 Stock Incentive Plan.</w:t>
      </w:r>
    </w:p>
    <w:p>
      <w:pPr>
        <w:spacing w:after="0" w:line="176" w:lineRule="exact"/>
        <w:rPr>
          <w:rFonts w:ascii="Times New Roman" w:cs="Times New Roman" w:eastAsia="Times New Roman" w:hAnsi="Times New Roman"/>
          <w:sz w:val="18"/>
          <w:szCs w:val="18"/>
          <w:color w:val="auto"/>
        </w:rPr>
      </w:pPr>
    </w:p>
    <w:p>
      <w:pPr>
        <w:ind w:left="660" w:right="120" w:hanging="652"/>
        <w:spacing w:after="0" w:line="20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or 29</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0"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800,000 shares available at August 31, 2019 for future issuance under Northern Technologies International Corporation 2019 Stock Incentive Plan and 91,044 shares available at August 31, 2019 for future issuance under the Northern Technologies International Corporation Employee Stock Purchase Plan.</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92" w:name="page93"/>
    <w:bookmarkEnd w:id="9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the “Proposal Four—Ratification of Selection of Independent Registered Public Accounting Firm—Audit, Audit-Related, Tax and Other Fees” and “Proposal Four—Ratification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93" w:name="page94"/>
    <w:bookmarkEnd w:id="93"/>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NTIC’s consolidated financial statements are included in Item 8 of Part III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they are inapplicable since NTIC is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exhibits being filed or furnished with this report are listed below. Each management contract or compensatory plan or arrangement required to be filed as an exhibit to this report is asterisked below.</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Item No.</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960" w:type="dxa"/>
            <w:vAlign w:val="bottom"/>
          </w:tcPr>
          <w:p>
            <w:pPr>
              <w:jc w:val="center"/>
              <w:ind w:left="10"/>
              <w:spacing w:after="0" w:line="170" w:lineRule="exact"/>
              <w:rPr>
                <w:sz w:val="20"/>
                <w:szCs w:val="20"/>
                <w:color w:val="auto"/>
              </w:rPr>
            </w:pPr>
            <w:r>
              <w:rPr>
                <w:rFonts w:ascii="Times New Roman" w:cs="Times New Roman" w:eastAsia="Times New Roman" w:hAnsi="Times New Roman"/>
                <w:sz w:val="18"/>
                <w:szCs w:val="18"/>
                <w:color w:val="auto"/>
                <w:w w:val="97"/>
              </w:rPr>
              <w:t>3.1</w:t>
            </w:r>
          </w:p>
        </w:tc>
        <w:tc>
          <w:tcPr>
            <w:tcW w:w="562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Restated Certificate of Incorporation of Northern Technologies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40" w:type="dxa"/>
            <w:vAlign w:val="bottom"/>
            <w:gridSpan w:val="12"/>
          </w:tcPr>
          <w:p>
            <w:pPr>
              <w:jc w:val="center"/>
              <w:ind w:right="260"/>
              <w:spacing w:after="0" w:line="170"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Incorporated by reference to Exhibit 3.1 to NTIC’s Quarterly</w:t>
              </w:r>
            </w:hyperlink>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International Corporation</w:t>
            </w:r>
          </w:p>
        </w:tc>
        <w:tc>
          <w:tcPr>
            <w:tcW w:w="140" w:type="dxa"/>
            <w:vAlign w:val="bottom"/>
          </w:tcPr>
          <w:p>
            <w:pPr>
              <w:spacing w:after="0"/>
              <w:rPr>
                <w:sz w:val="17"/>
                <w:szCs w:val="17"/>
                <w:color w:val="auto"/>
              </w:rPr>
            </w:pPr>
          </w:p>
        </w:tc>
        <w:tc>
          <w:tcPr>
            <w:tcW w:w="4700" w:type="dxa"/>
            <w:vAlign w:val="bottom"/>
            <w:gridSpan w:val="13"/>
          </w:tcPr>
          <w:p>
            <w:pPr>
              <w:jc w:val="center"/>
              <w:ind w:right="200"/>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Report on Form 10-Q for the fiscal quarter ended February 28,</w:t>
              </w:r>
            </w:hyperlink>
          </w:p>
        </w:tc>
      </w:tr>
      <w:tr>
        <w:trPr>
          <w:trHeight w:val="196"/>
        </w:trPr>
        <w:tc>
          <w:tcPr>
            <w:tcW w:w="9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tcPr>
          <w:p>
            <w:pPr>
              <w:jc w:val="cente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2009 (File No. 001-11038)</w:t>
              </w:r>
            </w:hyperlink>
          </w:p>
        </w:tc>
        <w:tc>
          <w:tcPr>
            <w:tcW w:w="128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of Amendment to the Restated Certificate of Incorporation of</w:t>
            </w:r>
          </w:p>
        </w:tc>
        <w:tc>
          <w:tcPr>
            <w:tcW w:w="4840" w:type="dxa"/>
            <w:vAlign w:val="bottom"/>
            <w:gridSpan w:val="14"/>
          </w:tcPr>
          <w:p>
            <w:pPr>
              <w:jc w:val="center"/>
              <w:ind w:right="60"/>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Incorporated by reference to Exhibit 3.1 to NTIC’s Current Report</w:t>
              </w:r>
            </w:hyperlink>
          </w:p>
        </w:tc>
      </w:tr>
      <w:tr>
        <w:trPr>
          <w:trHeight w:val="196"/>
        </w:trPr>
        <w:tc>
          <w:tcPr>
            <w:tcW w:w="960" w:type="dxa"/>
            <w:vAlign w:val="bottom"/>
          </w:tcPr>
          <w:p>
            <w:pPr>
              <w:spacing w:after="0"/>
              <w:rPr>
                <w:sz w:val="17"/>
                <w:szCs w:val="17"/>
                <w:color w:val="auto"/>
              </w:rPr>
            </w:pPr>
          </w:p>
        </w:tc>
        <w:tc>
          <w:tcPr>
            <w:tcW w:w="5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Northern Technologies International Corporation dated January 16, 2018</w:t>
            </w: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8"/>
          </w:tcPr>
          <w:p>
            <w:pPr>
              <w:jc w:val="center"/>
              <w:ind w:right="420"/>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on Form 8-K as filed with the Securities and Exchange</w:t>
              </w:r>
            </w:hyperlink>
          </w:p>
        </w:tc>
        <w:tc>
          <w:tcPr>
            <w:tcW w:w="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10"/>
          </w:tcPr>
          <w:p>
            <w:pPr>
              <w:jc w:val="center"/>
              <w:ind w:right="460"/>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Commission on January 16, 2018 (File No. 001-11038)</w:t>
              </w:r>
            </w:hyperlink>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3.3</w:t>
            </w: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of Validation of the Certificate of Amendment to Restated</w:t>
            </w:r>
          </w:p>
        </w:tc>
        <w:tc>
          <w:tcPr>
            <w:tcW w:w="4840" w:type="dxa"/>
            <w:vAlign w:val="bottom"/>
            <w:gridSpan w:val="14"/>
          </w:tcPr>
          <w:p>
            <w:pPr>
              <w:jc w:val="center"/>
              <w:ind w:right="60"/>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Incorporated by reference to Exhibit 3.1 to NTIC’s Current Report</w:t>
              </w:r>
            </w:hyperlink>
          </w:p>
        </w:tc>
      </w:tr>
      <w:tr>
        <w:trPr>
          <w:trHeight w:val="196"/>
        </w:trPr>
        <w:tc>
          <w:tcPr>
            <w:tcW w:w="960" w:type="dxa"/>
            <w:vAlign w:val="bottom"/>
          </w:tcPr>
          <w:p>
            <w:pPr>
              <w:spacing w:after="0"/>
              <w:rPr>
                <w:sz w:val="17"/>
                <w:szCs w:val="17"/>
                <w:color w:val="auto"/>
              </w:rPr>
            </w:pPr>
          </w:p>
        </w:tc>
        <w:tc>
          <w:tcPr>
            <w:tcW w:w="5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Certificate of Incorporation of Northern Technologies International</w:t>
            </w: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8"/>
          </w:tcPr>
          <w:p>
            <w:pPr>
              <w:jc w:val="center"/>
              <w:ind w:right="420"/>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on Form 8-K as filed with the Securities and Exchange</w:t>
              </w:r>
            </w:hyperlink>
          </w:p>
        </w:tc>
        <w:tc>
          <w:tcPr>
            <w:tcW w:w="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Corporation dated January 18, 2019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10"/>
          </w:tcPr>
          <w:p>
            <w:pPr>
              <w:jc w:val="center"/>
              <w:ind w:right="460"/>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Commission on January 25, 2019 (File No. 001-11038)</w:t>
              </w:r>
            </w:hyperlink>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3.4</w:t>
            </w: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Northern Technologies International</w:t>
            </w:r>
          </w:p>
        </w:tc>
        <w:tc>
          <w:tcPr>
            <w:tcW w:w="4840" w:type="dxa"/>
            <w:vAlign w:val="bottom"/>
            <w:gridSpan w:val="14"/>
          </w:tcPr>
          <w:p>
            <w:pPr>
              <w:jc w:val="center"/>
              <w:ind w:right="60"/>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Incorporated by reference to Exhibit 3.1 to NTIC’s Current Report</w:t>
              </w:r>
            </w:hyperlink>
          </w:p>
        </w:tc>
      </w:tr>
      <w:tr>
        <w:trPr>
          <w:trHeight w:val="196"/>
        </w:trPr>
        <w:tc>
          <w:tcPr>
            <w:tcW w:w="960" w:type="dxa"/>
            <w:vAlign w:val="bottom"/>
          </w:tcPr>
          <w:p>
            <w:pPr>
              <w:spacing w:after="0"/>
              <w:rPr>
                <w:sz w:val="17"/>
                <w:szCs w:val="17"/>
                <w:color w:val="auto"/>
              </w:rPr>
            </w:pPr>
          </w:p>
        </w:tc>
        <w:tc>
          <w:tcPr>
            <w:tcW w:w="5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Corporation</w:t>
            </w: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8"/>
          </w:tcPr>
          <w:p>
            <w:pPr>
              <w:jc w:val="center"/>
              <w:ind w:right="420"/>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on Form 8-K as filed with the Securities and Exchange</w:t>
              </w:r>
            </w:hyperlink>
          </w:p>
        </w:tc>
        <w:tc>
          <w:tcPr>
            <w:tcW w:w="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gridSpan w:val="11"/>
          </w:tcPr>
          <w:p>
            <w:pPr>
              <w:jc w:val="center"/>
              <w:ind w:right="360"/>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Commission on November 24, 2008 (File No. 001-11038)</w:t>
              </w:r>
            </w:hyperlink>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180" w:type="dxa"/>
            <w:vAlign w:val="bottom"/>
            <w:gridSpan w:val="7"/>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434"/>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Specimen Stock Certificate Representing Common Stock of Northern</w:t>
            </w:r>
          </w:p>
        </w:tc>
        <w:tc>
          <w:tcPr>
            <w:tcW w:w="4840" w:type="dxa"/>
            <w:vAlign w:val="bottom"/>
            <w:gridSpan w:val="14"/>
          </w:tcPr>
          <w:p>
            <w:pPr>
              <w:jc w:val="center"/>
              <w:ind w:right="60"/>
              <w:spacing w:after="0"/>
              <w:rPr>
                <w:sz w:val="20"/>
                <w:szCs w:val="20"/>
                <w:color w:val="auto"/>
              </w:rPr>
            </w:pPr>
            <w:r>
              <w:rPr>
                <w:rFonts w:ascii="Times New Roman" w:cs="Times New Roman" w:eastAsia="Times New Roman" w:hAnsi="Times New Roman"/>
                <w:sz w:val="18"/>
                <w:szCs w:val="18"/>
                <w:color w:val="auto"/>
                <w:w w:val="99"/>
              </w:rPr>
              <w:t>Incorporated by reference to Exhibit 4.1 to NTIC’s Registration</w:t>
            </w:r>
          </w:p>
        </w:tc>
      </w:tr>
      <w:tr>
        <w:trPr>
          <w:trHeight w:val="216"/>
        </w:trPr>
        <w:tc>
          <w:tcPr>
            <w:tcW w:w="96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Technologies International Corporation</w:t>
            </w:r>
          </w:p>
        </w:tc>
        <w:tc>
          <w:tcPr>
            <w:tcW w:w="140" w:type="dxa"/>
            <w:vAlign w:val="bottom"/>
          </w:tcPr>
          <w:p>
            <w:pPr>
              <w:spacing w:after="0"/>
              <w:rPr>
                <w:sz w:val="18"/>
                <w:szCs w:val="18"/>
                <w:color w:val="auto"/>
              </w:rPr>
            </w:pPr>
          </w:p>
        </w:tc>
        <w:tc>
          <w:tcPr>
            <w:tcW w:w="4700" w:type="dxa"/>
            <w:vAlign w:val="bottom"/>
            <w:gridSpan w:val="1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Statement on Form 10 (File No. 001-19331) (Filed on paper -</w:t>
            </w:r>
          </w:p>
        </w:tc>
      </w:tr>
      <w:tr>
        <w:trPr>
          <w:trHeight w:val="234"/>
        </w:trPr>
        <w:tc>
          <w:tcPr>
            <w:tcW w:w="9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840" w:type="dxa"/>
            <w:vAlign w:val="bottom"/>
            <w:gridSpan w:val="14"/>
          </w:tcPr>
          <w:p>
            <w:pPr>
              <w:jc w:val="center"/>
              <w:ind w:right="60"/>
              <w:spacing w:after="0"/>
              <w:rPr>
                <w:sz w:val="20"/>
                <w:szCs w:val="20"/>
                <w:color w:val="auto"/>
              </w:rPr>
            </w:pPr>
            <w:r>
              <w:rPr>
                <w:rFonts w:ascii="Times New Roman" w:cs="Times New Roman" w:eastAsia="Times New Roman" w:hAnsi="Times New Roman"/>
                <w:sz w:val="18"/>
                <w:szCs w:val="18"/>
                <w:color w:val="auto"/>
              </w:rPr>
              <w:t>hyperlink is not required pursuant to Rule 105 of Regulation S-T)</w:t>
            </w:r>
          </w:p>
        </w:tc>
      </w:tr>
      <w:tr>
        <w:trPr>
          <w:trHeight w:val="567"/>
        </w:trPr>
        <w:tc>
          <w:tcPr>
            <w:tcW w:w="960" w:type="dxa"/>
            <w:vAlign w:val="bottom"/>
          </w:tcPr>
          <w:p>
            <w:pPr>
              <w:spacing w:after="0"/>
              <w:rPr>
                <w:sz w:val="24"/>
                <w:szCs w:val="24"/>
                <w:color w:val="auto"/>
              </w:rPr>
            </w:pPr>
          </w:p>
        </w:tc>
        <w:tc>
          <w:tcPr>
            <w:tcW w:w="562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960" w:type="dxa"/>
            <w:vAlign w:val="bottom"/>
            <w:shd w:val="clear" w:color="auto" w:fill="000000"/>
          </w:tcPr>
          <w:p>
            <w:pPr>
              <w:spacing w:after="0"/>
              <w:rPr>
                <w:sz w:val="5"/>
                <w:szCs w:val="5"/>
                <w:color w:val="auto"/>
              </w:rPr>
            </w:pPr>
          </w:p>
        </w:tc>
        <w:tc>
          <w:tcPr>
            <w:tcW w:w="56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9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33"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5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Item</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3"/>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960" w:type="dxa"/>
            <w:vAlign w:val="bottom"/>
          </w:tcPr>
          <w:p>
            <w:pPr>
              <w:jc w:val="center"/>
              <w:ind w:left="10"/>
              <w:spacing w:after="0" w:line="170" w:lineRule="exact"/>
              <w:rPr>
                <w:sz w:val="20"/>
                <w:szCs w:val="20"/>
                <w:color w:val="auto"/>
              </w:rPr>
            </w:pPr>
            <w:r>
              <w:rPr>
                <w:rFonts w:ascii="Times New Roman" w:cs="Times New Roman" w:eastAsia="Times New Roman" w:hAnsi="Times New Roman"/>
                <w:sz w:val="18"/>
                <w:szCs w:val="18"/>
                <w:color w:val="auto"/>
                <w:w w:val="97"/>
              </w:rPr>
              <w:t>4.2</w:t>
            </w:r>
          </w:p>
        </w:tc>
        <w:tc>
          <w:tcPr>
            <w:tcW w:w="556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Description of Common Stock of Northern Technologies International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20" w:type="dxa"/>
            <w:vAlign w:val="bottom"/>
            <w:gridSpan w:val="13"/>
          </w:tcPr>
          <w:p>
            <w:pPr>
              <w:jc w:val="center"/>
              <w:ind w:right="1680"/>
              <w:spacing w:after="0" w:line="170"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Filed herewith</w:t>
              </w:r>
            </w:hyperlink>
          </w:p>
        </w:tc>
      </w:tr>
      <w:tr>
        <w:trPr>
          <w:trHeight w:val="237"/>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Northern Technologies International Corporation 2019 Stock Incentive</w:t>
            </w:r>
          </w:p>
        </w:tc>
        <w:tc>
          <w:tcPr>
            <w:tcW w:w="4900" w:type="dxa"/>
            <w:vAlign w:val="bottom"/>
            <w:tcBorders>
              <w:bottom w:val="single" w:sz="8" w:color="0000EE"/>
            </w:tcBorders>
            <w:gridSpan w:val="20"/>
          </w:tcPr>
          <w:p>
            <w:pPr>
              <w:jc w:val="center"/>
              <w:ind w:right="20"/>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Incorporated by reference to Exhibit 10.1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4"/>
          </w:tcPr>
          <w:p>
            <w:pPr>
              <w:jc w:val="center"/>
              <w:ind w:right="480"/>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bottom w:val="single" w:sz="8" w:color="0000EE"/>
            </w:tcBorders>
            <w:gridSpan w:val="10"/>
          </w:tcPr>
          <w:p>
            <w:pPr>
              <w:jc w:val="center"/>
              <w:ind w:right="20"/>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Commission on January 25, 2019 (File No. 001-11038)</w:t>
              </w:r>
            </w:hyperlink>
          </w:p>
        </w:tc>
        <w:tc>
          <w:tcPr>
            <w:tcW w:w="440" w:type="dxa"/>
            <w:vAlign w:val="bottom"/>
            <w:gridSpan w:val="5"/>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Incentive Stock Option Agreement for Northern Technologies</w:t>
            </w:r>
          </w:p>
        </w:tc>
        <w:tc>
          <w:tcPr>
            <w:tcW w:w="4900" w:type="dxa"/>
            <w:vAlign w:val="bottom"/>
            <w:tcBorders>
              <w:bottom w:val="single" w:sz="8" w:color="0000EE"/>
            </w:tcBorders>
            <w:gridSpan w:val="20"/>
          </w:tcPr>
          <w:p>
            <w:pPr>
              <w:jc w:val="center"/>
              <w:ind w:right="20"/>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Incorporated by reference to Exhibit 10.2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International Corporation 2019 Stock Incentive 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4"/>
          </w:tcPr>
          <w:p>
            <w:pPr>
              <w:jc w:val="center"/>
              <w:ind w:right="480"/>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bottom w:val="single" w:sz="8" w:color="0000EE"/>
            </w:tcBorders>
            <w:gridSpan w:val="10"/>
          </w:tcPr>
          <w:p>
            <w:pPr>
              <w:jc w:val="center"/>
              <w:ind w:right="20"/>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Commission on January 25, 2019 (File No. 001-11038)</w:t>
              </w:r>
            </w:hyperlink>
          </w:p>
        </w:tc>
        <w:tc>
          <w:tcPr>
            <w:tcW w:w="440" w:type="dxa"/>
            <w:vAlign w:val="bottom"/>
            <w:gridSpan w:val="5"/>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460" w:type="dxa"/>
            <w:vAlign w:val="bottom"/>
            <w:gridSpan w:val="21"/>
          </w:tcPr>
          <w:p>
            <w:pPr>
              <w:ind w:left="8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Form of Non-Statutory Stock Option Agreement for Northern Technologies </w:t>
            </w:r>
            <w:hyperlink r:id="rId116">
              <w:r>
                <w:rPr>
                  <w:rFonts w:ascii="Times New Roman" w:cs="Times New Roman" w:eastAsia="Times New Roman" w:hAnsi="Times New Roman"/>
                  <w:sz w:val="18"/>
                  <w:szCs w:val="18"/>
                  <w:color w:val="0000EE"/>
                  <w:w w:val="99"/>
                </w:rPr>
                <w:t>Incorporated by reference to Exhibit 10.3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International Corporation 2019 Stock Incentive Plan*</w:t>
            </w: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14"/>
          </w:tcPr>
          <w:p>
            <w:pPr>
              <w:jc w:val="center"/>
              <w:ind w:right="480"/>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bottom w:val="single" w:sz="8" w:color="0000EE"/>
            </w:tcBorders>
            <w:gridSpan w:val="10"/>
          </w:tcPr>
          <w:p>
            <w:pPr>
              <w:jc w:val="center"/>
              <w:ind w:right="20"/>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Commission on January 25, 2019 (File No. 001-11038)</w:t>
              </w:r>
            </w:hyperlink>
          </w:p>
        </w:tc>
        <w:tc>
          <w:tcPr>
            <w:tcW w:w="440" w:type="dxa"/>
            <w:vAlign w:val="bottom"/>
            <w:gridSpan w:val="5"/>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10.4</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Northern Technologies International Corporation Amended and Restated</w:t>
            </w:r>
          </w:p>
        </w:tc>
        <w:tc>
          <w:tcPr>
            <w:tcW w:w="4900" w:type="dxa"/>
            <w:vAlign w:val="bottom"/>
            <w:tcBorders>
              <w:bottom w:val="single" w:sz="8" w:color="0000EE"/>
            </w:tcBorders>
            <w:gridSpan w:val="20"/>
          </w:tcPr>
          <w:p>
            <w:pPr>
              <w:jc w:val="center"/>
              <w:ind w:right="20"/>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Incorporated by reference to Exhibit 10.1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2007 Stock Incentive 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4"/>
          </w:tcPr>
          <w:p>
            <w:pPr>
              <w:jc w:val="center"/>
              <w:ind w:right="480"/>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Commission on January 24, 2011 (File No. 001-11038)</w:t>
              </w:r>
            </w:hyperlink>
          </w:p>
        </w:tc>
        <w:tc>
          <w:tcPr>
            <w:tcW w:w="460" w:type="dxa"/>
            <w:vAlign w:val="bottom"/>
            <w:gridSpan w:val="6"/>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Incentive Stock Option Agreement for Northern Technologies</w:t>
            </w:r>
          </w:p>
        </w:tc>
        <w:tc>
          <w:tcPr>
            <w:tcW w:w="4900" w:type="dxa"/>
            <w:vAlign w:val="bottom"/>
            <w:tcBorders>
              <w:bottom w:val="single" w:sz="8" w:color="0000EE"/>
            </w:tcBorders>
            <w:gridSpan w:val="20"/>
          </w:tcPr>
          <w:p>
            <w:pPr>
              <w:jc w:val="center"/>
              <w:ind w:right="20"/>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Incorporated by reference to Exhibit 10.2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International Corporation Amended and Restated 2007 Stock Incentive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4"/>
          </w:tcPr>
          <w:p>
            <w:pPr>
              <w:jc w:val="center"/>
              <w:ind w:right="480"/>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Commission on January 24, 2011 (File No. 001-11038)</w:t>
              </w:r>
            </w:hyperlink>
          </w:p>
        </w:tc>
        <w:tc>
          <w:tcPr>
            <w:tcW w:w="460" w:type="dxa"/>
            <w:vAlign w:val="bottom"/>
            <w:gridSpan w:val="6"/>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0460" w:type="dxa"/>
            <w:vAlign w:val="bottom"/>
            <w:gridSpan w:val="21"/>
          </w:tcPr>
          <w:p>
            <w:pPr>
              <w:ind w:left="8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Form of Non-Statutory Stock Option Agreement for Northern Technologies </w:t>
            </w:r>
            <w:hyperlink r:id="rId119">
              <w:r>
                <w:rPr>
                  <w:rFonts w:ascii="Times New Roman" w:cs="Times New Roman" w:eastAsia="Times New Roman" w:hAnsi="Times New Roman"/>
                  <w:sz w:val="18"/>
                  <w:szCs w:val="18"/>
                  <w:color w:val="0000EE"/>
                  <w:w w:val="99"/>
                </w:rPr>
                <w:t>Incorporated by reference to Exhibit 10.3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International Corporation Amended and Restated 2007 Stock Incentive</w:t>
            </w: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14"/>
          </w:tcPr>
          <w:p>
            <w:pPr>
              <w:jc w:val="center"/>
              <w:ind w:right="480"/>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Commission on January 24, 2011 (File No. 001-11038)</w:t>
              </w:r>
            </w:hyperlink>
          </w:p>
        </w:tc>
        <w:tc>
          <w:tcPr>
            <w:tcW w:w="460" w:type="dxa"/>
            <w:vAlign w:val="bottom"/>
            <w:gridSpan w:val="6"/>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Restricted Stock Agreement for Northern Technologies</w:t>
            </w:r>
          </w:p>
        </w:tc>
        <w:tc>
          <w:tcPr>
            <w:tcW w:w="4900" w:type="dxa"/>
            <w:vAlign w:val="bottom"/>
            <w:tcBorders>
              <w:bottom w:val="single" w:sz="8" w:color="0000EE"/>
            </w:tcBorders>
            <w:gridSpan w:val="20"/>
          </w:tcPr>
          <w:p>
            <w:pPr>
              <w:jc w:val="center"/>
              <w:ind w:right="20"/>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Incorporated by reference to Exhibit 10.4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International Corporation Amended and Restated 2007 Stock Incentive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4"/>
          </w:tcPr>
          <w:p>
            <w:pPr>
              <w:jc w:val="center"/>
              <w:ind w:right="480"/>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Commission on January 24, 2011 (File No. 001-11038)</w:t>
              </w:r>
            </w:hyperlink>
          </w:p>
        </w:tc>
        <w:tc>
          <w:tcPr>
            <w:tcW w:w="460" w:type="dxa"/>
            <w:vAlign w:val="bottom"/>
            <w:gridSpan w:val="6"/>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10.8</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Northern Technologies International Corporation Employee Stock Purchase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tcBorders>
              <w:bottom w:val="single" w:sz="8" w:color="0000EE"/>
            </w:tcBorders>
            <w:gridSpan w:val="12"/>
          </w:tcPr>
          <w:p>
            <w:pPr>
              <w:jc w:val="cente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Incorporated by reference to Exhibit 10.11 to NTIC’s Annual</w:t>
              </w:r>
            </w:hyperlink>
          </w:p>
        </w:tc>
        <w:tc>
          <w:tcPr>
            <w:tcW w:w="24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EE"/>
            </w:tcBorders>
            <w:gridSpan w:val="16"/>
          </w:tcPr>
          <w:p>
            <w:pPr>
              <w:jc w:val="cente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Report on Form 10-KSB for the fiscal year ended August 31, 2006</w:t>
              </w:r>
            </w:hyperlink>
          </w:p>
        </w:tc>
        <w:tc>
          <w:tcPr>
            <w:tcW w:w="4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Borders>
              <w:bottom w:val="single" w:sz="8" w:color="0000EE"/>
            </w:tcBorders>
            <w:gridSpan w:val="5"/>
          </w:tcPr>
          <w:p>
            <w:pPr>
              <w:jc w:val="cente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(File No. 001-11038)</w:t>
              </w:r>
            </w:hyperlink>
          </w:p>
        </w:tc>
        <w:tc>
          <w:tcPr>
            <w:tcW w:w="1680" w:type="dxa"/>
            <w:vAlign w:val="bottom"/>
            <w:gridSpan w:val="8"/>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10.9</w:t>
            </w:r>
          </w:p>
        </w:tc>
        <w:tc>
          <w:tcPr>
            <w:tcW w:w="10460" w:type="dxa"/>
            <w:vAlign w:val="bottom"/>
            <w:gridSpan w:val="21"/>
          </w:tcPr>
          <w:p>
            <w:pPr>
              <w:ind w:left="8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Material Terms of Northern Technologies International Corporation Annual </w:t>
            </w:r>
            <w:hyperlink r:id="rId122">
              <w:r>
                <w:rPr>
                  <w:rFonts w:ascii="Times New Roman" w:cs="Times New Roman" w:eastAsia="Times New Roman" w:hAnsi="Times New Roman"/>
                  <w:sz w:val="18"/>
                  <w:szCs w:val="18"/>
                  <w:color w:val="0000EE"/>
                  <w:w w:val="99"/>
                </w:rPr>
                <w:t>Incorporated by reference to Exhibit 10.6 to NTIC’s Annual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Bonus Plan*</w:t>
            </w: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0" w:type="dxa"/>
            <w:vAlign w:val="bottom"/>
            <w:tcBorders>
              <w:top w:val="single" w:sz="8" w:color="0000EE"/>
            </w:tcBorders>
            <w:gridSpan w:val="16"/>
          </w:tcPr>
          <w:p>
            <w:pPr>
              <w:jc w:val="center"/>
              <w:ind w:right="60"/>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on Form 10-K for the fiscal year ended August 31, 2015 (File No.</w:t>
              </w:r>
            </w:hyperlink>
          </w:p>
        </w:tc>
        <w:tc>
          <w:tcPr>
            <w:tcW w:w="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2900" w:type="dxa"/>
            <w:vAlign w:val="bottom"/>
            <w:tcBorders>
              <w:top w:val="single" w:sz="8" w:color="0000EE"/>
            </w:tcBorders>
            <w:gridSpan w:val="8"/>
          </w:tcPr>
          <w:p>
            <w:pPr>
              <w:jc w:val="center"/>
              <w:ind w:left="1750"/>
              <w:spacing w:after="0" w:line="196" w:lineRule="exact"/>
              <w:rPr>
                <w:rFonts w:ascii="Times New Roman" w:cs="Times New Roman" w:eastAsia="Times New Roman" w:hAnsi="Times New Roman"/>
                <w:sz w:val="18"/>
                <w:szCs w:val="18"/>
                <w:color w:val="0000EE"/>
                <w:w w:val="97"/>
              </w:rPr>
            </w:pPr>
            <w:hyperlink r:id="rId122">
              <w:r>
                <w:rPr>
                  <w:rFonts w:ascii="Times New Roman" w:cs="Times New Roman" w:eastAsia="Times New Roman" w:hAnsi="Times New Roman"/>
                  <w:sz w:val="18"/>
                  <w:szCs w:val="18"/>
                  <w:color w:val="0000EE"/>
                  <w:w w:val="97"/>
                </w:rPr>
                <w:t>001-11038)</w:t>
              </w:r>
            </w:hyperlink>
          </w:p>
        </w:tc>
        <w:tc>
          <w:tcPr>
            <w:tcW w:w="2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31"/>
        </w:trPr>
        <w:tc>
          <w:tcPr>
            <w:tcW w:w="960" w:type="dxa"/>
            <w:vAlign w:val="bottom"/>
          </w:tcPr>
          <w:p>
            <w:pPr>
              <w:spacing w:after="0"/>
              <w:rPr>
                <w:sz w:val="24"/>
                <w:szCs w:val="24"/>
                <w:color w:val="auto"/>
              </w:rPr>
            </w:pPr>
          </w:p>
        </w:tc>
        <w:tc>
          <w:tcPr>
            <w:tcW w:w="556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960" w:type="dxa"/>
            <w:vAlign w:val="bottom"/>
            <w:shd w:val="clear" w:color="auto" w:fill="000000"/>
          </w:tcPr>
          <w:p>
            <w:pPr>
              <w:spacing w:after="0"/>
              <w:rPr>
                <w:sz w:val="5"/>
                <w:szCs w:val="5"/>
                <w:color w:val="auto"/>
              </w:rPr>
            </w:pPr>
          </w:p>
        </w:tc>
        <w:tc>
          <w:tcPr>
            <w:tcW w:w="55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60"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Item No.</w:t>
            </w:r>
          </w:p>
        </w:tc>
        <w:tc>
          <w:tcPr>
            <w:tcW w:w="5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Item</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4"/>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960" w:type="dxa"/>
            <w:vAlign w:val="bottom"/>
          </w:tcPr>
          <w:p>
            <w:pPr>
              <w:jc w:val="center"/>
              <w:ind w:left="10"/>
              <w:spacing w:after="0" w:line="170" w:lineRule="exact"/>
              <w:rPr>
                <w:sz w:val="20"/>
                <w:szCs w:val="20"/>
                <w:color w:val="auto"/>
              </w:rPr>
            </w:pPr>
            <w:r>
              <w:rPr>
                <w:rFonts w:ascii="Times New Roman" w:cs="Times New Roman" w:eastAsia="Times New Roman" w:hAnsi="Times New Roman"/>
                <w:sz w:val="18"/>
                <w:szCs w:val="18"/>
                <w:color w:val="auto"/>
              </w:rPr>
              <w:t>10.10</w:t>
            </w:r>
          </w:p>
        </w:tc>
        <w:tc>
          <w:tcPr>
            <w:tcW w:w="556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Form of Indemnification Agreement between Northern Technologies</w:t>
            </w:r>
          </w:p>
        </w:tc>
        <w:tc>
          <w:tcPr>
            <w:tcW w:w="4900" w:type="dxa"/>
            <w:vAlign w:val="bottom"/>
            <w:tcBorders>
              <w:bottom w:val="single" w:sz="8" w:color="0000EE"/>
            </w:tcBorders>
            <w:gridSpan w:val="25"/>
          </w:tcPr>
          <w:p>
            <w:pPr>
              <w:jc w:val="center"/>
              <w:ind w:right="20"/>
              <w:spacing w:after="0" w:line="170"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Incorporated by reference to Exhibit 10.1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International Corporation and its Directors and Officers*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6"/>
          </w:tcPr>
          <w:p>
            <w:pPr>
              <w:jc w:val="center"/>
              <w:ind w:right="480"/>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gridSpan w:val="18"/>
          </w:tcPr>
          <w:p>
            <w:pPr>
              <w:jc w:val="center"/>
              <w:ind w:right="360"/>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Commission on November 24, 2008 (File No. 001-11038)</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 dated as of May 25, 2009 between Northern Technologies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EE"/>
            </w:tcBorders>
            <w:gridSpan w:val="15"/>
          </w:tcPr>
          <w:p>
            <w:pPr>
              <w:jc w:val="cente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Incorporated by reference to Exhibit 10.2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International Corporation and Sunggyu Lee, Ph.D.*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Borders>
              <w:bottom w:val="single" w:sz="8" w:color="0000EE"/>
            </w:tcBorders>
            <w:gridSpan w:val="19"/>
          </w:tcPr>
          <w:p>
            <w:pPr>
              <w:jc w:val="center"/>
              <w:ind w:right="20"/>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Report on Form 10-Q for the fiscal quarter ended May 31, 2009</w:t>
              </w:r>
            </w:hyperlink>
          </w:p>
        </w:tc>
        <w:tc>
          <w:tcPr>
            <w:tcW w:w="14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3"/>
          </w:tcPr>
          <w:p>
            <w:pPr>
              <w:jc w:val="cente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(File No. 001-11038)</w:t>
              </w:r>
            </w:hyperlink>
          </w:p>
        </w:tc>
        <w:tc>
          <w:tcPr>
            <w:tcW w:w="1680" w:type="dxa"/>
            <w:vAlign w:val="bottom"/>
            <w:gridSpan w:val="11"/>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10.12</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Description of Non-Employee Director Compensation Arrangements*</w:t>
            </w:r>
          </w:p>
        </w:tc>
        <w:tc>
          <w:tcPr>
            <w:tcW w:w="20" w:type="dxa"/>
            <w:vAlign w:val="bottom"/>
          </w:tcPr>
          <w:p>
            <w:pPr>
              <w:spacing w:after="0"/>
              <w:rPr>
                <w:sz w:val="24"/>
                <w:szCs w:val="24"/>
                <w:color w:val="auto"/>
              </w:rPr>
            </w:pPr>
          </w:p>
        </w:tc>
        <w:tc>
          <w:tcPr>
            <w:tcW w:w="4860" w:type="dxa"/>
            <w:vAlign w:val="bottom"/>
            <w:tcBorders>
              <w:bottom w:val="single" w:sz="8" w:color="0000EE"/>
            </w:tcBorders>
            <w:gridSpan w:val="23"/>
          </w:tcPr>
          <w:p>
            <w:pPr>
              <w:jc w:val="cente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Incorporated by reference to Exhibit 10.9 to NTIC’s Annual Report</w:t>
              </w:r>
            </w:hyperlink>
          </w:p>
        </w:tc>
        <w:tc>
          <w:tcPr>
            <w:tcW w:w="2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gridSpan w:val="23"/>
          </w:tcPr>
          <w:p>
            <w:pPr>
              <w:jc w:val="center"/>
              <w:ind w:right="80"/>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on Form 10-K for the fiscal year ended August 31, 2018 (File No.</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3140" w:type="dxa"/>
            <w:vAlign w:val="bottom"/>
            <w:tcBorders>
              <w:top w:val="single" w:sz="8" w:color="0000EE"/>
            </w:tcBorders>
            <w:gridSpan w:val="12"/>
          </w:tcPr>
          <w:p>
            <w:pPr>
              <w:jc w:val="center"/>
              <w:ind w:left="1510"/>
              <w:spacing w:after="0" w:line="196" w:lineRule="exact"/>
              <w:rPr>
                <w:rFonts w:ascii="Times New Roman" w:cs="Times New Roman" w:eastAsia="Times New Roman" w:hAnsi="Times New Roman"/>
                <w:sz w:val="18"/>
                <w:szCs w:val="18"/>
                <w:color w:val="0000EE"/>
                <w:w w:val="97"/>
              </w:rPr>
            </w:pPr>
            <w:hyperlink r:id="rId125">
              <w:r>
                <w:rPr>
                  <w:rFonts w:ascii="Times New Roman" w:cs="Times New Roman" w:eastAsia="Times New Roman" w:hAnsi="Times New Roman"/>
                  <w:sz w:val="18"/>
                  <w:szCs w:val="18"/>
                  <w:color w:val="0000EE"/>
                  <w:w w:val="97"/>
                </w:rPr>
                <w:t>001-11038)</w:t>
              </w:r>
            </w:hyperlink>
          </w:p>
        </w:tc>
        <w:tc>
          <w:tcPr>
            <w:tcW w:w="2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10.13</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Employment Agreement dated as of November 18, 2011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13"/>
          </w:tcPr>
          <w:p>
            <w:pPr>
              <w:jc w:val="cente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Incorporated by reference to Exhibit 10.13 to NTIC’s Annual</w:t>
              </w:r>
            </w:hyperlink>
          </w:p>
        </w:tc>
        <w:tc>
          <w:tcPr>
            <w:tcW w:w="24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between Northern Technologies International Corporation and G. Patrick</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7"/>
          </w:tcPr>
          <w:p>
            <w:pPr>
              <w:jc w:val="cente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Report on Form 10-K for the fiscal year ended August 31, 2011</w:t>
              </w:r>
            </w:hyperlink>
          </w:p>
        </w:tc>
        <w:tc>
          <w:tcPr>
            <w:tcW w:w="16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Lynch*</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3"/>
          </w:tcPr>
          <w:p>
            <w:pPr>
              <w:jc w:val="cente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(File No. 001-11038)</w:t>
              </w:r>
            </w:hyperlink>
          </w:p>
        </w:tc>
        <w:tc>
          <w:tcPr>
            <w:tcW w:w="1680" w:type="dxa"/>
            <w:vAlign w:val="bottom"/>
            <w:gridSpan w:val="11"/>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10.14</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 Information, Inventions Assignment, Noncompetition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13"/>
          </w:tcPr>
          <w:p>
            <w:pPr>
              <w:jc w:val="cente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Incorporated by reference to Exhibit 10.14 to NTIC’s Annual</w:t>
              </w:r>
            </w:hyperlink>
          </w:p>
        </w:tc>
        <w:tc>
          <w:tcPr>
            <w:tcW w:w="24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Non-Solicitation Agreement dated as of November 18, 2011 between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7"/>
          </w:tcPr>
          <w:p>
            <w:pPr>
              <w:jc w:val="cente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Report on Form 10-K for the fiscal year ended August 31, 2011</w:t>
              </w:r>
            </w:hyperlink>
          </w:p>
        </w:tc>
        <w:tc>
          <w:tcPr>
            <w:tcW w:w="16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Northern Technologies International Corporation and G. Patrick Lynch*</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3"/>
          </w:tcPr>
          <w:p>
            <w:pPr>
              <w:jc w:val="cente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(File No. 001-11038)</w:t>
              </w:r>
            </w:hyperlink>
          </w:p>
        </w:tc>
        <w:tc>
          <w:tcPr>
            <w:tcW w:w="1680" w:type="dxa"/>
            <w:vAlign w:val="bottom"/>
            <w:gridSpan w:val="11"/>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10.15</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Employment Agreement dated as of November 18, 2011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13"/>
          </w:tcPr>
          <w:p>
            <w:pPr>
              <w:jc w:val="cente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Incorporated by reference to Exhibit 10.15 to NTIC’s Annual</w:t>
              </w:r>
            </w:hyperlink>
          </w:p>
        </w:tc>
        <w:tc>
          <w:tcPr>
            <w:tcW w:w="24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between Northern Technologies International Corporation and Matthew C.</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7"/>
          </w:tcPr>
          <w:p>
            <w:pPr>
              <w:jc w:val="cente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Report on Form 10-K for the fiscal year ended August 31, 2011</w:t>
              </w:r>
            </w:hyperlink>
          </w:p>
        </w:tc>
        <w:tc>
          <w:tcPr>
            <w:tcW w:w="16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Wolsfeld*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3"/>
          </w:tcPr>
          <w:p>
            <w:pPr>
              <w:jc w:val="cente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(File No. 001-11038)</w:t>
              </w:r>
            </w:hyperlink>
          </w:p>
        </w:tc>
        <w:tc>
          <w:tcPr>
            <w:tcW w:w="1680" w:type="dxa"/>
            <w:vAlign w:val="bottom"/>
            <w:gridSpan w:val="11"/>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10.16</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 Information, Inventions Assignment, Noncompetition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13"/>
          </w:tcPr>
          <w:p>
            <w:pPr>
              <w:jc w:val="cente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Incorporated by reference to Exhibit 10.16 to NTIC’s Annual</w:t>
              </w:r>
            </w:hyperlink>
          </w:p>
        </w:tc>
        <w:tc>
          <w:tcPr>
            <w:tcW w:w="24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Non-Solicitation Agreement dated as of November 18, 2011 between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7"/>
          </w:tcPr>
          <w:p>
            <w:pPr>
              <w:jc w:val="cente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Report on Form 10-K for the fiscal year ended August 31, 2011</w:t>
              </w:r>
            </w:hyperlink>
          </w:p>
        </w:tc>
        <w:tc>
          <w:tcPr>
            <w:tcW w:w="16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Northern Technologies International Corporation and Matthew C.</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4"/>
          </w:tcPr>
          <w:p>
            <w:pPr>
              <w:jc w:val="center"/>
              <w:ind w:right="1680"/>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(File No. 001-11038)</w:t>
              </w:r>
            </w:hyperlink>
          </w:p>
        </w:tc>
      </w:tr>
      <w:tr>
        <w:trPr>
          <w:trHeight w:val="237"/>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Wolsfeld*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10.17</w:t>
            </w:r>
          </w:p>
        </w:tc>
        <w:tc>
          <w:tcPr>
            <w:tcW w:w="10460" w:type="dxa"/>
            <w:vAlign w:val="bottom"/>
            <w:gridSpan w:val="26"/>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Committed Line of Credit Note dated as of January </w:t>
            </w:r>
            <w:hyperlink r:id="rId130">
              <w:r>
                <w:rPr>
                  <w:rFonts w:ascii="Times New Roman" w:cs="Times New Roman" w:eastAsia="Times New Roman" w:hAnsi="Times New Roman"/>
                  <w:sz w:val="18"/>
                  <w:szCs w:val="18"/>
                  <w:color w:val="0000EE"/>
                </w:rPr>
                <w:t>Incorporated by reference to Exhibit 10.2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 2011 issued by Northern Technologies International Corporation to</w:t>
            </w: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16"/>
          </w:tcPr>
          <w:p>
            <w:pPr>
              <w:jc w:val="center"/>
              <w:ind w:right="480"/>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PNC Bank, National Association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9"/>
          </w:tcPr>
          <w:p>
            <w:pPr>
              <w:jc w:val="cente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Commission on January 12, 2011 (File No. 001-11038)</w:t>
              </w:r>
            </w:hyperlink>
          </w:p>
        </w:tc>
        <w:tc>
          <w:tcPr>
            <w:tcW w:w="460" w:type="dxa"/>
            <w:vAlign w:val="bottom"/>
            <w:gridSpan w:val="8"/>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10.18</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 Agreement dated as of January 10, 2011 between Northern</w:t>
            </w:r>
          </w:p>
        </w:tc>
        <w:tc>
          <w:tcPr>
            <w:tcW w:w="4900" w:type="dxa"/>
            <w:vAlign w:val="bottom"/>
            <w:tcBorders>
              <w:bottom w:val="single" w:sz="8" w:color="0000EE"/>
            </w:tcBorders>
            <w:gridSpan w:val="25"/>
          </w:tcPr>
          <w:p>
            <w:pPr>
              <w:jc w:val="center"/>
              <w:ind w:right="20"/>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Incorporated by reference to Exhibit 10.6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Technologies International Corporation and PNC Bank, National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6"/>
          </w:tcPr>
          <w:p>
            <w:pPr>
              <w:jc w:val="center"/>
              <w:ind w:right="480"/>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Association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9"/>
          </w:tcPr>
          <w:p>
            <w:pPr>
              <w:jc w:val="cente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Commission on January 12, 2011 (File No. 001-11038)</w:t>
              </w:r>
            </w:hyperlink>
          </w:p>
        </w:tc>
        <w:tc>
          <w:tcPr>
            <w:tcW w:w="460" w:type="dxa"/>
            <w:vAlign w:val="bottom"/>
            <w:gridSpan w:val="8"/>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10.19</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and First Amendment to Loan Documents dated as of January 10,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EE"/>
            </w:tcBorders>
            <w:gridSpan w:val="15"/>
          </w:tcPr>
          <w:p>
            <w:pPr>
              <w:jc w:val="cente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Incorporated by reference to Exhibit 10.6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2012 between Northern Technologies International Corporation and PNC</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gridSpan w:val="23"/>
          </w:tcPr>
          <w:p>
            <w:pPr>
              <w:jc w:val="center"/>
              <w:ind w:right="80"/>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Bank, National Association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13"/>
          </w:tcPr>
          <w:p>
            <w:pPr>
              <w:jc w:val="center"/>
              <w:ind w:right="340"/>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2011 (File No. 001-11038)</w:t>
              </w:r>
            </w:hyperlink>
          </w:p>
        </w:tc>
        <w:tc>
          <w:tcPr>
            <w:tcW w:w="140" w:type="dxa"/>
            <w:vAlign w:val="bottom"/>
            <w:gridSpan w:val="3"/>
          </w:tcPr>
          <w:p>
            <w:pPr>
              <w:spacing w:after="0"/>
              <w:rPr>
                <w:sz w:val="17"/>
                <w:szCs w:val="17"/>
                <w:color w:val="auto"/>
              </w:rPr>
            </w:pPr>
          </w:p>
        </w:tc>
      </w:tr>
      <w:tr>
        <w:trPr>
          <w:trHeight w:val="831"/>
        </w:trPr>
        <w:tc>
          <w:tcPr>
            <w:tcW w:w="960" w:type="dxa"/>
            <w:vAlign w:val="bottom"/>
          </w:tcPr>
          <w:p>
            <w:pPr>
              <w:spacing w:after="0"/>
              <w:rPr>
                <w:sz w:val="24"/>
                <w:szCs w:val="24"/>
                <w:color w:val="auto"/>
              </w:rPr>
            </w:pPr>
          </w:p>
        </w:tc>
        <w:tc>
          <w:tcPr>
            <w:tcW w:w="556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960" w:type="dxa"/>
            <w:vAlign w:val="bottom"/>
            <w:shd w:val="clear" w:color="auto" w:fill="000000"/>
          </w:tcPr>
          <w:p>
            <w:pPr>
              <w:spacing w:after="0"/>
              <w:rPr>
                <w:sz w:val="5"/>
                <w:szCs w:val="5"/>
                <w:color w:val="auto"/>
              </w:rPr>
            </w:pPr>
          </w:p>
        </w:tc>
        <w:tc>
          <w:tcPr>
            <w:tcW w:w="55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60" w:right="2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5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Item</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1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960" w:type="dxa"/>
            <w:vAlign w:val="bottom"/>
          </w:tcPr>
          <w:p>
            <w:pPr>
              <w:jc w:val="center"/>
              <w:ind w:left="10"/>
              <w:spacing w:after="0" w:line="170" w:lineRule="exact"/>
              <w:rPr>
                <w:sz w:val="20"/>
                <w:szCs w:val="20"/>
                <w:color w:val="auto"/>
              </w:rPr>
            </w:pPr>
            <w:r>
              <w:rPr>
                <w:rFonts w:ascii="Times New Roman" w:cs="Times New Roman" w:eastAsia="Times New Roman" w:hAnsi="Times New Roman"/>
                <w:sz w:val="18"/>
                <w:szCs w:val="18"/>
                <w:color w:val="auto"/>
              </w:rPr>
              <w:t>10.20</w:t>
            </w:r>
          </w:p>
        </w:tc>
        <w:tc>
          <w:tcPr>
            <w:tcW w:w="556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Waiver and Second Amendment to Loan Documents dated December 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bottom w:val="single" w:sz="8" w:color="0000EE"/>
            </w:tcBorders>
            <w:gridSpan w:val="11"/>
          </w:tcPr>
          <w:p>
            <w:pPr>
              <w:jc w:val="center"/>
              <w:spacing w:after="0" w:line="170"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Incorporated by reference to Exhibit 10.1 to NTIC’s Quarterly</w:t>
              </w:r>
            </w:hyperlink>
          </w:p>
        </w:tc>
        <w:tc>
          <w:tcPr>
            <w:tcW w:w="200" w:type="dxa"/>
            <w:vAlign w:val="bottom"/>
            <w:gridSpan w:val="5"/>
          </w:tcPr>
          <w:p>
            <w:pPr>
              <w:spacing w:after="0"/>
              <w:rPr>
                <w:sz w:val="14"/>
                <w:szCs w:val="1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2012 between Northern Technologies International Corporation and PNC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19"/>
          </w:tcPr>
          <w:p>
            <w:pPr>
              <w:jc w:val="center"/>
              <w:ind w:right="120"/>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Bank, National Association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5"/>
          </w:tcPr>
          <w:p>
            <w:pPr>
              <w:jc w:val="cente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2012 (File No. 001-11038)</w:t>
              </w:r>
            </w:hyperlink>
          </w:p>
        </w:tc>
        <w:tc>
          <w:tcPr>
            <w:tcW w:w="134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10.21</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dated December 31, 2013 to Northern Technologies International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Corporation from PNC Bank, National Association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0000EE"/>
            </w:tcBorders>
            <w:gridSpan w:val="13"/>
          </w:tcPr>
          <w:p>
            <w:pPr>
              <w:jc w:val="center"/>
              <w:ind w:right="20"/>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Report on Form 10-Q for the fiscal quarter ended February 28,</w:t>
              </w:r>
            </w:hyperlink>
          </w:p>
        </w:tc>
        <w:tc>
          <w:tcPr>
            <w:tcW w:w="18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tcBorders>
              <w:bottom w:val="single" w:sz="8" w:color="0000EE"/>
            </w:tcBorders>
            <w:gridSpan w:val="5"/>
          </w:tcPr>
          <w:p>
            <w:pPr>
              <w:jc w:val="cente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2014 (File No. 001-11038)</w:t>
              </w:r>
            </w:hyperlink>
          </w:p>
        </w:tc>
        <w:tc>
          <w:tcPr>
            <w:tcW w:w="1480" w:type="dxa"/>
            <w:vAlign w:val="bottom"/>
            <w:gridSpan w:val="8"/>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10.22</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dated January 8, 2015 to Northern Technologies International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Corporation from PNC Bank, National Association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0000EE"/>
            </w:tcBorders>
            <w:gridSpan w:val="13"/>
          </w:tcPr>
          <w:p>
            <w:pPr>
              <w:jc w:val="center"/>
              <w:ind w:right="20"/>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Report on Form 10-Q for the fiscal quarter ended February 28,</w:t>
              </w:r>
            </w:hyperlink>
          </w:p>
        </w:tc>
        <w:tc>
          <w:tcPr>
            <w:tcW w:w="18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tcBorders>
              <w:bottom w:val="single" w:sz="8" w:color="0000EE"/>
            </w:tcBorders>
            <w:gridSpan w:val="5"/>
          </w:tcPr>
          <w:p>
            <w:pPr>
              <w:jc w:val="cente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2015 (File No. 001-11038)</w:t>
              </w:r>
            </w:hyperlink>
          </w:p>
        </w:tc>
        <w:tc>
          <w:tcPr>
            <w:tcW w:w="1480" w:type="dxa"/>
            <w:vAlign w:val="bottom"/>
            <w:gridSpan w:val="8"/>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10.23</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to Loan Documents dated January 6, 2016 by and between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w w:val="99"/>
              </w:rPr>
              <w:t>Northern Technologies International Corporation from PNC Bank, National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0000EE"/>
            </w:tcBorders>
            <w:gridSpan w:val="13"/>
          </w:tcPr>
          <w:p>
            <w:pPr>
              <w:jc w:val="center"/>
              <w:ind w:right="20"/>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Report on Form 10-Q for the fiscal quarter ended February 29,</w:t>
              </w:r>
            </w:hyperlink>
          </w:p>
        </w:tc>
        <w:tc>
          <w:tcPr>
            <w:tcW w:w="18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Association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tcBorders>
              <w:bottom w:val="single" w:sz="8" w:color="0000EE"/>
            </w:tcBorders>
            <w:gridSpan w:val="5"/>
          </w:tcPr>
          <w:p>
            <w:pPr>
              <w:jc w:val="cente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2016 (File No. 001-11038)</w:t>
              </w:r>
            </w:hyperlink>
          </w:p>
        </w:tc>
        <w:tc>
          <w:tcPr>
            <w:tcW w:w="1480" w:type="dxa"/>
            <w:vAlign w:val="bottom"/>
            <w:gridSpan w:val="8"/>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10.24</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Agreement effective as of January 11, 2017 between PNC Bank,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National Association and Northern Technologies International Corporation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19"/>
          </w:tcPr>
          <w:p>
            <w:pPr>
              <w:jc w:val="center"/>
              <w:ind w:right="120"/>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5"/>
          </w:tcPr>
          <w:p>
            <w:pPr>
              <w:jc w:val="cente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2016 (File No. 001-11038)</w:t>
              </w:r>
            </w:hyperlink>
          </w:p>
        </w:tc>
        <w:tc>
          <w:tcPr>
            <w:tcW w:w="134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10.25</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Agreement effective as of January 5, 2018 between PNC Bank,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National Association and Northern Technologies International Corporation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19"/>
          </w:tcPr>
          <w:p>
            <w:pPr>
              <w:jc w:val="center"/>
              <w:ind w:right="120"/>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5"/>
          </w:tcPr>
          <w:p>
            <w:pPr>
              <w:jc w:val="cente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2017 (File No. 001-11038)</w:t>
              </w:r>
            </w:hyperlink>
          </w:p>
        </w:tc>
        <w:tc>
          <w:tcPr>
            <w:tcW w:w="134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10.26</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Agreement effective as of January 8, 2019 between PNC Bank,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National Association and Northern Technologies International Corporation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19"/>
          </w:tcPr>
          <w:p>
            <w:pPr>
              <w:jc w:val="center"/>
              <w:ind w:right="120"/>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5"/>
          </w:tcPr>
          <w:p>
            <w:pPr>
              <w:jc w:val="cente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2018 (File No. 001-11038)</w:t>
              </w:r>
            </w:hyperlink>
          </w:p>
        </w:tc>
        <w:tc>
          <w:tcPr>
            <w:tcW w:w="134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10.27</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and Sale Agreement dated as of July 14, 2014 between Northern</w:t>
            </w:r>
          </w:p>
        </w:tc>
        <w:tc>
          <w:tcPr>
            <w:tcW w:w="4900" w:type="dxa"/>
            <w:vAlign w:val="bottom"/>
            <w:tcBorders>
              <w:bottom w:val="single" w:sz="8" w:color="0000EE"/>
            </w:tcBorders>
            <w:gridSpan w:val="21"/>
          </w:tcPr>
          <w:p>
            <w:pPr>
              <w:jc w:val="center"/>
              <w:ind w:right="20"/>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Incorporated by reference to Exhibit 10.1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Technologies International Corporation and Glen Willow Holdings, LLC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20" w:type="dxa"/>
            <w:vAlign w:val="bottom"/>
            <w:gridSpan w:val="15"/>
          </w:tcPr>
          <w:p>
            <w:pPr>
              <w:jc w:val="center"/>
              <w:ind w:right="480"/>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on Form 8-K as filed with the Securities and Exchange</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740" w:type="dxa"/>
            <w:vAlign w:val="bottom"/>
            <w:tcBorders>
              <w:top w:val="single" w:sz="8" w:color="0000EE"/>
              <w:bottom w:val="single" w:sz="8" w:color="0000EE"/>
            </w:tcBorders>
            <w:gridSpan w:val="7"/>
          </w:tcPr>
          <w:p>
            <w:pPr>
              <w:jc w:val="cente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Commission on July 15, 2014 (File No. 001-11038)</w:t>
              </w:r>
            </w:hyperlink>
          </w:p>
        </w:tc>
        <w:tc>
          <w:tcPr>
            <w:tcW w:w="100" w:type="dxa"/>
            <w:vAlign w:val="bottom"/>
            <w:tcBorders>
              <w:top w:val="single" w:sz="8" w:color="0000EE"/>
            </w:tcBorders>
          </w:tcPr>
          <w:p>
            <w:pPr>
              <w:spacing w:after="0"/>
              <w:rPr>
                <w:sz w:val="17"/>
                <w:szCs w:val="17"/>
                <w:color w:val="auto"/>
              </w:rPr>
            </w:pPr>
          </w:p>
        </w:tc>
        <w:tc>
          <w:tcPr>
            <w:tcW w:w="480" w:type="dxa"/>
            <w:vAlign w:val="bottom"/>
            <w:gridSpan w:val="6"/>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10.28</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Consulting Agreement dated January 11, 2017 by and among Northern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Incorporated by reference to Exhibit 10.2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Technologies International Corporation, BioPlastic Polymers LLC,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19"/>
          </w:tcPr>
          <w:p>
            <w:pPr>
              <w:jc w:val="center"/>
              <w:ind w:right="120"/>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Ramani Narayan, Ph.D.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5"/>
          </w:tcPr>
          <w:p>
            <w:pPr>
              <w:jc w:val="cente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2016 (File No. 001-11038)</w:t>
              </w:r>
            </w:hyperlink>
          </w:p>
        </w:tc>
        <w:tc>
          <w:tcPr>
            <w:tcW w:w="134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14.1</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Code of Ethics</w:t>
            </w:r>
          </w:p>
        </w:tc>
        <w:tc>
          <w:tcPr>
            <w:tcW w:w="20" w:type="dxa"/>
            <w:vAlign w:val="bottom"/>
          </w:tcPr>
          <w:p>
            <w:pPr>
              <w:spacing w:after="0"/>
              <w:rPr>
                <w:sz w:val="24"/>
                <w:szCs w:val="24"/>
                <w:color w:val="auto"/>
              </w:rPr>
            </w:pPr>
          </w:p>
        </w:tc>
        <w:tc>
          <w:tcPr>
            <w:tcW w:w="4860" w:type="dxa"/>
            <w:vAlign w:val="bottom"/>
            <w:tcBorders>
              <w:bottom w:val="single" w:sz="8" w:color="0000EE"/>
            </w:tcBorders>
            <w:gridSpan w:val="19"/>
          </w:tcPr>
          <w:p>
            <w:pPr>
              <w:jc w:val="cente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Incorporated by reference to Exhibit 14.1 to NTIC’s Annual Report</w:t>
              </w:r>
            </w:hyperlink>
          </w:p>
        </w:tc>
        <w:tc>
          <w:tcPr>
            <w:tcW w:w="2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60" w:type="dxa"/>
            <w:vAlign w:val="bottom"/>
            <w:tcBorders>
              <w:bottom w:val="single" w:sz="8" w:color="0000EE"/>
            </w:tcBorders>
            <w:gridSpan w:val="17"/>
          </w:tcPr>
          <w:p>
            <w:pPr>
              <w:jc w:val="cente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on Form 10-KSB for the fiscal year ended August 31, 2004 (File</w:t>
              </w:r>
            </w:hyperlink>
          </w:p>
        </w:tc>
        <w:tc>
          <w:tcPr>
            <w:tcW w:w="12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gridSpan w:val="12"/>
          </w:tcPr>
          <w:p>
            <w:pPr>
              <w:jc w:val="center"/>
              <w:ind w:right="1880"/>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No. 001-11038)</w:t>
              </w:r>
            </w:hyperlink>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21.1</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bottom w:val="single" w:sz="8" w:color="0000EE"/>
            </w:tcBorders>
          </w:tcPr>
          <w:p>
            <w:pPr>
              <w:jc w:val="cente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Filed herewith</w:t>
              </w:r>
            </w:hyperlink>
          </w:p>
        </w:tc>
        <w:tc>
          <w:tcPr>
            <w:tcW w:w="40" w:type="dxa"/>
            <w:vAlign w:val="bottom"/>
            <w:tcBorders>
              <w:top w:val="single" w:sz="8" w:color="0000EE"/>
            </w:tcBorders>
          </w:tcPr>
          <w:p>
            <w:pPr>
              <w:spacing w:after="0"/>
              <w:rPr>
                <w:sz w:val="24"/>
                <w:szCs w:val="24"/>
                <w:color w:val="auto"/>
              </w:rPr>
            </w:pPr>
          </w:p>
        </w:tc>
        <w:tc>
          <w:tcPr>
            <w:tcW w:w="1880" w:type="dxa"/>
            <w:vAlign w:val="bottom"/>
            <w:gridSpan w:val="9"/>
          </w:tcPr>
          <w:p>
            <w:pPr>
              <w:spacing w:after="0"/>
              <w:rPr>
                <w:sz w:val="24"/>
                <w:szCs w:val="24"/>
                <w:color w:val="auto"/>
              </w:rPr>
            </w:pPr>
          </w:p>
        </w:tc>
      </w:tr>
      <w:tr>
        <w:trPr>
          <w:trHeight w:val="41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23.1</w:t>
            </w: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 of Baker Tilly Virchow Krause, LLP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11"/>
          </w:tcPr>
          <w:p>
            <w:pPr>
              <w:jc w:val="center"/>
              <w:ind w:right="1920"/>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Filed herewith</w:t>
              </w:r>
            </w:hyperlink>
          </w:p>
        </w:tc>
      </w:tr>
      <w:tr>
        <w:trPr>
          <w:trHeight w:val="831"/>
        </w:trPr>
        <w:tc>
          <w:tcPr>
            <w:tcW w:w="960" w:type="dxa"/>
            <w:vAlign w:val="bottom"/>
          </w:tcPr>
          <w:p>
            <w:pPr>
              <w:spacing w:after="0"/>
              <w:rPr>
                <w:sz w:val="24"/>
                <w:szCs w:val="24"/>
                <w:color w:val="auto"/>
              </w:rPr>
            </w:pPr>
          </w:p>
        </w:tc>
        <w:tc>
          <w:tcPr>
            <w:tcW w:w="556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960" w:type="dxa"/>
            <w:vAlign w:val="bottom"/>
            <w:shd w:val="clear" w:color="auto" w:fill="000000"/>
          </w:tcPr>
          <w:p>
            <w:pPr>
              <w:spacing w:after="0"/>
              <w:rPr>
                <w:sz w:val="5"/>
                <w:szCs w:val="5"/>
                <w:color w:val="auto"/>
              </w:rPr>
            </w:pPr>
          </w:p>
        </w:tc>
        <w:tc>
          <w:tcPr>
            <w:tcW w:w="55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60"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7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Item</w:t>
            </w:r>
          </w:p>
        </w:tc>
        <w:tc>
          <w:tcPr>
            <w:tcW w:w="3140" w:type="dxa"/>
            <w:vAlign w:val="bottom"/>
            <w:tcBorders>
              <w:bottom w:val="single" w:sz="8" w:color="auto"/>
            </w:tcBorders>
            <w:gridSpan w:val="4"/>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960" w:type="dxa"/>
            <w:vAlign w:val="bottom"/>
          </w:tcPr>
          <w:p>
            <w:pPr>
              <w:jc w:val="center"/>
              <w:ind w:left="10"/>
              <w:spacing w:after="0" w:line="170" w:lineRule="exact"/>
              <w:rPr>
                <w:sz w:val="20"/>
                <w:szCs w:val="20"/>
                <w:color w:val="auto"/>
              </w:rPr>
            </w:pPr>
            <w:r>
              <w:rPr>
                <w:rFonts w:ascii="Times New Roman" w:cs="Times New Roman" w:eastAsia="Times New Roman" w:hAnsi="Times New Roman"/>
                <w:sz w:val="18"/>
                <w:szCs w:val="18"/>
                <w:color w:val="auto"/>
                <w:w w:val="95"/>
              </w:rPr>
              <w:t>31.1</w:t>
            </w:r>
          </w:p>
        </w:tc>
        <w:tc>
          <w:tcPr>
            <w:tcW w:w="732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Certification of President and Chief Executive Officer Pursuant to SEC</w:t>
            </w:r>
          </w:p>
        </w:tc>
        <w:tc>
          <w:tcPr>
            <w:tcW w:w="3140" w:type="dxa"/>
            <w:vAlign w:val="bottom"/>
            <w:gridSpan w:val="4"/>
          </w:tcPr>
          <w:p>
            <w:pPr>
              <w:jc w:val="center"/>
              <w:ind w:right="1760"/>
              <w:spacing w:after="0" w:line="170"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Filed herewith</w:t>
              </w:r>
            </w:hyperlink>
          </w:p>
        </w:tc>
      </w:tr>
      <w:tr>
        <w:trPr>
          <w:trHeight w:val="218"/>
        </w:trPr>
        <w:tc>
          <w:tcPr>
            <w:tcW w:w="960" w:type="dxa"/>
            <w:vAlign w:val="bottom"/>
          </w:tcPr>
          <w:p>
            <w:pPr>
              <w:spacing w:after="0"/>
              <w:rPr>
                <w:sz w:val="18"/>
                <w:szCs w:val="18"/>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 13a-14(a), as adopted pursuant to Section 302 of the Sarbanes-Oxley</w:t>
            </w:r>
          </w:p>
        </w:tc>
        <w:tc>
          <w:tcPr>
            <w:tcW w:w="160" w:type="dxa"/>
            <w:vAlign w:val="bottom"/>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 of 2002</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31.2</w:t>
            </w: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 Rule 13a-14(a), as</w:t>
            </w:r>
          </w:p>
        </w:tc>
        <w:tc>
          <w:tcPr>
            <w:tcW w:w="3140" w:type="dxa"/>
            <w:vAlign w:val="bottom"/>
            <w:gridSpan w:val="4"/>
          </w:tcPr>
          <w:p>
            <w:pPr>
              <w:jc w:val="center"/>
              <w:ind w:right="1760"/>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Filed herewith</w:t>
              </w:r>
            </w:hyperlink>
          </w:p>
        </w:tc>
      </w:tr>
      <w:tr>
        <w:trPr>
          <w:trHeight w:val="237"/>
        </w:trPr>
        <w:tc>
          <w:tcPr>
            <w:tcW w:w="9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160" w:type="dxa"/>
            <w:vAlign w:val="bottom"/>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32.1</w:t>
            </w: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President and Chief Executive Officer Pursuant to Rule 18</w:t>
            </w:r>
          </w:p>
        </w:tc>
        <w:tc>
          <w:tcPr>
            <w:tcW w:w="3140" w:type="dxa"/>
            <w:vAlign w:val="bottom"/>
            <w:gridSpan w:val="4"/>
          </w:tcPr>
          <w:p>
            <w:pPr>
              <w:jc w:val="center"/>
              <w:ind w:right="1760"/>
              <w:spacing w:after="0"/>
              <w:rPr>
                <w:rFonts w:ascii="Times New Roman" w:cs="Times New Roman" w:eastAsia="Times New Roman" w:hAnsi="Times New Roman"/>
                <w:sz w:val="18"/>
                <w:szCs w:val="18"/>
                <w:color w:val="0000EE"/>
                <w:w w:val="98"/>
              </w:rPr>
            </w:pPr>
            <w:hyperlink w:anchor="page105">
              <w:r>
                <w:rPr>
                  <w:rFonts w:ascii="Times New Roman" w:cs="Times New Roman" w:eastAsia="Times New Roman" w:hAnsi="Times New Roman"/>
                  <w:sz w:val="18"/>
                  <w:szCs w:val="18"/>
                  <w:color w:val="0000EE"/>
                  <w:w w:val="98"/>
                </w:rPr>
                <w:t>Furnished herewith</w:t>
              </w:r>
            </w:hyperlink>
          </w:p>
        </w:tc>
      </w:tr>
      <w:tr>
        <w:trPr>
          <w:trHeight w:val="218"/>
        </w:trPr>
        <w:tc>
          <w:tcPr>
            <w:tcW w:w="960" w:type="dxa"/>
            <w:vAlign w:val="bottom"/>
          </w:tcPr>
          <w:p>
            <w:pPr>
              <w:spacing w:after="0"/>
              <w:rPr>
                <w:sz w:val="18"/>
                <w:szCs w:val="18"/>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U.S.C. Section 1350, as adopted pursuant to Section 906 of the Sarbanes-</w:t>
            </w:r>
          </w:p>
        </w:tc>
        <w:tc>
          <w:tcPr>
            <w:tcW w:w="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32.2</w:t>
            </w: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18 U.S.C. Section</w:t>
            </w:r>
          </w:p>
        </w:tc>
        <w:tc>
          <w:tcPr>
            <w:tcW w:w="3140" w:type="dxa"/>
            <w:vAlign w:val="bottom"/>
            <w:gridSpan w:val="4"/>
          </w:tcPr>
          <w:p>
            <w:pPr>
              <w:jc w:val="center"/>
              <w:ind w:right="1760"/>
              <w:spacing w:after="0"/>
              <w:rPr>
                <w:rFonts w:ascii="Times New Roman" w:cs="Times New Roman" w:eastAsia="Times New Roman" w:hAnsi="Times New Roman"/>
                <w:sz w:val="18"/>
                <w:szCs w:val="18"/>
                <w:color w:val="0000EE"/>
                <w:w w:val="98"/>
              </w:rPr>
            </w:pPr>
            <w:hyperlink w:anchor="page106">
              <w:r>
                <w:rPr>
                  <w:rFonts w:ascii="Times New Roman" w:cs="Times New Roman" w:eastAsia="Times New Roman" w:hAnsi="Times New Roman"/>
                  <w:sz w:val="18"/>
                  <w:szCs w:val="18"/>
                  <w:color w:val="0000EE"/>
                  <w:w w:val="98"/>
                </w:rPr>
                <w:t>Furnished herewith</w:t>
              </w:r>
            </w:hyperlink>
          </w:p>
        </w:tc>
      </w:tr>
      <w:tr>
        <w:trPr>
          <w:trHeight w:val="218"/>
        </w:trPr>
        <w:tc>
          <w:tcPr>
            <w:tcW w:w="960" w:type="dxa"/>
            <w:vAlign w:val="bottom"/>
          </w:tcPr>
          <w:p>
            <w:pPr>
              <w:spacing w:after="0"/>
              <w:rPr>
                <w:sz w:val="18"/>
                <w:szCs w:val="18"/>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w:t>
            </w:r>
          </w:p>
        </w:tc>
        <w:tc>
          <w:tcPr>
            <w:tcW w:w="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2002</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101</w:t>
            </w: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following materials from Northern Technologies International</w:t>
            </w:r>
          </w:p>
        </w:tc>
        <w:tc>
          <w:tcPr>
            <w:tcW w:w="3140" w:type="dxa"/>
            <w:vAlign w:val="bottom"/>
            <w:gridSpan w:val="4"/>
          </w:tcPr>
          <w:p>
            <w:pPr>
              <w:jc w:val="center"/>
              <w:ind w:right="17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960" w:type="dxa"/>
            <w:vAlign w:val="bottom"/>
          </w:tcPr>
          <w:p>
            <w:pPr>
              <w:spacing w:after="0"/>
              <w:rPr>
                <w:sz w:val="18"/>
                <w:szCs w:val="18"/>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Corporation’s Annual Report on Form 10-K for the fiscal year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31, 2019, formatted in XBRL (Extensible Business Reporting</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ind w:left="1040"/>
        <w:spacing w:after="0"/>
        <w:rPr>
          <w:sz w:val="20"/>
          <w:szCs w:val="20"/>
          <w:color w:val="auto"/>
        </w:rPr>
      </w:pPr>
      <w:r>
        <w:rPr>
          <w:rFonts w:ascii="Times New Roman" w:cs="Times New Roman" w:eastAsia="Times New Roman" w:hAnsi="Times New Roman"/>
          <w:sz w:val="18"/>
          <w:szCs w:val="18"/>
          <w:color w:val="auto"/>
        </w:rPr>
        <w:t>Language): (i) the Consolidated Balance Sheets, (ii) the Consolidated</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Statements of Operations, (iii) the Consolidated Statements of</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Comprehensive Income (Loss), (iv) the Consolidated Statements of Equity,</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(v) the Consolidated Statements of Cash Flows, and (vi) Notes to</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8" w:name="page99"/>
    <w:bookmarkEnd w:id="98"/>
    <w:p>
      <w:pPr>
        <w:ind w:left="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7060" w:type="dxa"/>
            <w:vAlign w:val="bottom"/>
            <w:gridSpan w:val="3"/>
          </w:tcPr>
          <w:p>
            <w:pPr>
              <w:ind w:left="2920"/>
              <w:spacing w:after="0"/>
              <w:rPr>
                <w:sz w:val="20"/>
                <w:szCs w:val="20"/>
                <w:color w:val="auto"/>
              </w:rPr>
            </w:pPr>
            <w:r>
              <w:rPr>
                <w:rFonts w:ascii="Times New Roman" w:cs="Times New Roman" w:eastAsia="Times New Roman" w:hAnsi="Times New Roman"/>
                <w:sz w:val="18"/>
                <w:szCs w:val="18"/>
                <w:b w:val="1"/>
                <w:bCs w:val="1"/>
                <w:color w:val="auto"/>
                <w:w w:val="99"/>
              </w:rPr>
              <w:t>NORTHERN TECHNOLOGIES INTERNATIONAL</w:t>
            </w:r>
          </w:p>
        </w:tc>
      </w:tr>
      <w:tr>
        <w:trPr>
          <w:trHeight w:val="238"/>
        </w:trPr>
        <w:tc>
          <w:tcPr>
            <w:tcW w:w="4380" w:type="dxa"/>
            <w:vAlign w:val="bottom"/>
          </w:tcPr>
          <w:p>
            <w:pPr>
              <w:spacing w:after="0"/>
              <w:rPr>
                <w:sz w:val="20"/>
                <w:szCs w:val="20"/>
                <w:color w:val="auto"/>
              </w:rPr>
            </w:pPr>
          </w:p>
        </w:tc>
        <w:tc>
          <w:tcPr>
            <w:tcW w:w="7060" w:type="dxa"/>
            <w:vAlign w:val="bottom"/>
            <w:gridSpan w:val="3"/>
          </w:tcPr>
          <w:p>
            <w:pPr>
              <w:ind w:left="2920"/>
              <w:spacing w:after="0"/>
              <w:rPr>
                <w:sz w:val="20"/>
                <w:szCs w:val="20"/>
                <w:color w:val="auto"/>
              </w:rPr>
            </w:pPr>
            <w:r>
              <w:rPr>
                <w:rFonts w:ascii="Times New Roman" w:cs="Times New Roman" w:eastAsia="Times New Roman" w:hAnsi="Times New Roman"/>
                <w:sz w:val="18"/>
                <w:szCs w:val="18"/>
                <w:b w:val="1"/>
                <w:bCs w:val="1"/>
                <w:color w:val="auto"/>
              </w:rPr>
              <w:t>CORPORATION</w:t>
            </w: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c>
          <w:tcPr>
            <w:tcW w:w="706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w w:val="99"/>
              </w:rPr>
              <w:t>By:/s/ G. Patrick Lynch</w:t>
            </w:r>
          </w:p>
        </w:tc>
      </w:tr>
      <w:tr>
        <w:trPr>
          <w:trHeight w:val="191"/>
        </w:trPr>
        <w:tc>
          <w:tcPr>
            <w:tcW w:w="43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c>
          <w:tcPr>
            <w:tcW w:w="20" w:type="dxa"/>
            <w:vAlign w:val="bottom"/>
          </w:tcPr>
          <w:p>
            <w:pPr>
              <w:spacing w:after="0"/>
              <w:rPr>
                <w:sz w:val="16"/>
                <w:szCs w:val="16"/>
                <w:color w:val="auto"/>
              </w:rPr>
            </w:pPr>
          </w:p>
        </w:tc>
      </w:tr>
      <w:tr>
        <w:trPr>
          <w:trHeight w:val="234"/>
        </w:trPr>
        <w:tc>
          <w:tcPr>
            <w:tcW w:w="43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90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6"/>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9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60" w:type="dxa"/>
            <w:vAlign w:val="bottom"/>
          </w:tcPr>
          <w:p>
            <w:pPr>
              <w:spacing w:after="0"/>
              <w:rPr>
                <w:sz w:val="19"/>
                <w:szCs w:val="19"/>
                <w:color w:val="auto"/>
              </w:rPr>
            </w:pPr>
          </w:p>
        </w:tc>
      </w:tr>
      <w:tr>
        <w:trPr>
          <w:trHeight w:val="41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 CPA</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 CPA</w:t>
            </w:r>
          </w:p>
        </w:tc>
        <w:tc>
          <w:tcPr>
            <w:tcW w:w="9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60" w:type="dxa"/>
            <w:vAlign w:val="bottom"/>
          </w:tcPr>
          <w:p>
            <w:pPr>
              <w:spacing w:after="0"/>
              <w:rPr>
                <w:sz w:val="19"/>
                <w:szCs w:val="19"/>
                <w:color w:val="auto"/>
              </w:rPr>
            </w:pPr>
          </w:p>
        </w:tc>
      </w:tr>
      <w:tr>
        <w:trPr>
          <w:trHeight w:val="41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J. Nigon</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9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Nancy E. Calderon</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Nancy E. Calderon</w:t>
            </w:r>
          </w:p>
        </w:tc>
        <w:tc>
          <w:tcPr>
            <w:tcW w:w="9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D. Colwell</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Barbara D. Colwell</w:t>
            </w:r>
          </w:p>
        </w:tc>
        <w:tc>
          <w:tcPr>
            <w:tcW w:w="9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Sarah E. Kemp</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9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 Keong Koh</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Soo Keong Koh</w:t>
            </w:r>
          </w:p>
        </w:tc>
        <w:tc>
          <w:tcPr>
            <w:tcW w:w="9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Sunggyu Lee, Ph.D.</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9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Ramani Narayan, Ph. D.</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9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Konstantin von Falkenhausen</w:t>
            </w:r>
          </w:p>
        </w:tc>
        <w:tc>
          <w:tcPr>
            <w:tcW w:w="9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2019</w:t>
            </w: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9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0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following summary description of the general terms and provisions of the common stock of Northern Technologies International Corporation is a summary only and, therefore, is not complete and is subject to, and qualified in its entirety by reference to, the terms and provisions of NTIC’s Restated Certificate of Incorporation, as amended, NTIC’s Amended and Restated Bylaws, and the applicable provisions of the Delaware General Corporation Law. NTIC’s Restated Certificate of Incorporation, as amended, and NTIC’s Amended and Restated Bylaws have previously been filed as exhibits with the SEC.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Authorized</w:t>
      </w:r>
      <w:r>
        <w:rPr>
          <w:rFonts w:ascii="Times New Roman" w:cs="Times New Roman" w:eastAsia="Times New Roman" w:hAnsi="Times New Roman"/>
          <w:sz w:val="18"/>
          <w:szCs w:val="18"/>
          <w:color w:val="auto"/>
        </w:rPr>
        <w:t>. We currently have authority to issue up to 15,000,000 shares of common stock, $0.02 par value per share. As of November 11, 2019, we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9,090,413 shares of common stock outstanding. We may amend from time to time our Restated Certificate of Incorporation, as amended, to increase the number of authorized shares of common stock. Any such amendment would require the approval of the holders of a majority of the voting power of the shares entitled to vote thereon.</w:t>
      </w:r>
    </w:p>
    <w:p>
      <w:pPr>
        <w:spacing w:after="0" w:line="18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For all matters submitted to a vote of stockholders, each holder of common stock is entitled to one vote for each share registered in the holder’s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books. Our common stock does not have cumulative voting rights. As a result, holders of a majority of our outstanding common stock can elect all of the directors who are up for election in a particular year.</w:t>
      </w:r>
    </w:p>
    <w:p>
      <w:pPr>
        <w:spacing w:after="0" w:line="174"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If our board of directors declares a dividend, holders of common stock will receive payments from our funds that are legally available to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However, this dividend right is subject to any preferential dividend rights we may grant to the persons who hold preferred stock, if any is outstanding.</w:t>
      </w:r>
    </w:p>
    <w:p>
      <w:pPr>
        <w:spacing w:after="0" w:line="17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If we are liquidated or dissolve, the holders of our common stock will be entitled to share ratably in all the assets that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we pay our liabilities and any amounts we may owe to the persons who hold preferred stock, if any is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Fully Paid and Nonassessable. </w:t>
      </w:r>
      <w:r>
        <w:rPr>
          <w:rFonts w:ascii="Times New Roman" w:cs="Times New Roman" w:eastAsia="Times New Roman" w:hAnsi="Times New Roman"/>
          <w:sz w:val="18"/>
          <w:szCs w:val="18"/>
          <w:color w:val="auto"/>
        </w:rPr>
        <w:t>All shares of our outstanding common stock are fully paid and nonassessable.</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Other Rights and Restrictions</w:t>
      </w:r>
      <w:r>
        <w:rPr>
          <w:rFonts w:ascii="Times New Roman" w:cs="Times New Roman" w:eastAsia="Times New Roman" w:hAnsi="Times New Roman"/>
          <w:sz w:val="18"/>
          <w:szCs w:val="18"/>
          <w:color w:val="auto"/>
        </w:rPr>
        <w:t>. Holders of our common stock do not have preemptive or subscription rights, and they have no right to convert their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into any other securities. Our common stock is not subject to redemption by us. The rights, preferences, and privileges of common stockholders are subject to the rights of the stockholders of any series of preferred stock which we may designate in the future. Our Restated Certificate of Incorporation, as amended, and Amended and Restated Bylaws do not restrict the ability of a holder of common stock to transfer his or her shares of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“NTIC.”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Broadridge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72466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52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648"/>
        </w:trPr>
        <w:tc>
          <w:tcPr>
            <w:tcW w:w="3780" w:type="dxa"/>
            <w:vAlign w:val="bottom"/>
          </w:tcPr>
          <w:p>
            <w:pPr>
              <w:spacing w:after="0"/>
              <w:rPr>
                <w:sz w:val="24"/>
                <w:szCs w:val="24"/>
                <w:color w:val="auto"/>
              </w:rPr>
            </w:pP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26"/>
        </w:trPr>
        <w:tc>
          <w:tcPr>
            <w:tcW w:w="3780" w:type="dxa"/>
            <w:vAlign w:val="bottom"/>
          </w:tcPr>
          <w:p>
            <w:pPr>
              <w:spacing w:after="0"/>
              <w:rPr>
                <w:sz w:val="24"/>
                <w:szCs w:val="24"/>
                <w:color w:val="auto"/>
              </w:rPr>
            </w:pP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State or Other</w:t>
            </w: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500" w:type="dxa"/>
            <w:vAlign w:val="bottom"/>
          </w:tcPr>
          <w:p>
            <w:pPr>
              <w:spacing w:after="0"/>
              <w:rPr>
                <w:sz w:val="18"/>
                <w:szCs w:val="18"/>
                <w:color w:val="auto"/>
              </w:rPr>
            </w:pP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Names Under Which</w:t>
            </w:r>
          </w:p>
        </w:tc>
      </w:tr>
      <w:tr>
        <w:trPr>
          <w:trHeight w:val="216"/>
        </w:trPr>
        <w:tc>
          <w:tcPr>
            <w:tcW w:w="3780" w:type="dxa"/>
            <w:vAlign w:val="bottom"/>
          </w:tcPr>
          <w:p>
            <w:pPr>
              <w:spacing w:after="0"/>
              <w:rPr>
                <w:sz w:val="18"/>
                <w:szCs w:val="18"/>
                <w:color w:val="auto"/>
              </w:rPr>
            </w:pP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Incorporation or</w:t>
            </w:r>
          </w:p>
        </w:tc>
        <w:tc>
          <w:tcPr>
            <w:tcW w:w="1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Subsidiary Does</w:t>
            </w:r>
          </w:p>
        </w:tc>
      </w:tr>
      <w:tr>
        <w:trPr>
          <w:trHeight w:val="238"/>
        </w:trPr>
        <w:tc>
          <w:tcPr>
            <w:tcW w:w="37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62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150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5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Business</w:t>
            </w:r>
          </w:p>
        </w:tc>
      </w:tr>
      <w:tr>
        <w:trPr>
          <w:trHeight w:val="42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NTI ASEAN LLC</w:t>
            </w: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Delaware</w:t>
            </w:r>
          </w:p>
        </w:tc>
        <w:tc>
          <w:tcPr>
            <w:tcW w:w="15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60%</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Same</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Holding Company, LLC</w:t>
            </w: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Delaware</w:t>
            </w:r>
          </w:p>
        </w:tc>
        <w:tc>
          <w:tcPr>
            <w:tcW w:w="15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100%</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Same</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Natur-Tec India Prívate Limited</w:t>
            </w: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India</w:t>
            </w:r>
          </w:p>
        </w:tc>
        <w:tc>
          <w:tcPr>
            <w:tcW w:w="15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75%</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Same</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Natur Tec Lanka (Pvt) Ltd</w:t>
            </w:r>
          </w:p>
        </w:tc>
        <w:tc>
          <w:tcPr>
            <w:tcW w:w="3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Sri Lanka</w:t>
            </w:r>
          </w:p>
        </w:tc>
        <w:tc>
          <w:tcPr>
            <w:tcW w:w="15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75%</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Same</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Zerust Prevenção de Corrosão S.A.</w:t>
            </w: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Brazil</w:t>
            </w:r>
          </w:p>
        </w:tc>
        <w:tc>
          <w:tcPr>
            <w:tcW w:w="15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85%</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Same</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NTIC (Shanghai) Co., Ltd.</w:t>
            </w: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100%</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Same</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ZERUST-EXCOR MEXICO, S. de R.L. de C.V</w:t>
            </w: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Mexico</w:t>
            </w:r>
          </w:p>
        </w:tc>
        <w:tc>
          <w:tcPr>
            <w:tcW w:w="15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100%</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Same</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NTIC Europe GmbH</w:t>
            </w:r>
          </w:p>
        </w:tc>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100%</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Same</w:t>
            </w:r>
          </w:p>
        </w:tc>
      </w:tr>
      <w:tr>
        <w:trPr>
          <w:trHeight w:val="1486"/>
        </w:trPr>
        <w:tc>
          <w:tcPr>
            <w:tcW w:w="3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8"/>
        </w:trPr>
        <w:tc>
          <w:tcPr>
            <w:tcW w:w="3780" w:type="dxa"/>
            <w:vAlign w:val="bottom"/>
            <w:shd w:val="clear" w:color="auto" w:fill="000000"/>
          </w:tcPr>
          <w:p>
            <w:pPr>
              <w:spacing w:after="0"/>
              <w:rPr>
                <w:sz w:val="5"/>
                <w:szCs w:val="5"/>
                <w:color w:val="auto"/>
              </w:rPr>
            </w:pPr>
          </w:p>
        </w:tc>
        <w:tc>
          <w:tcPr>
            <w:tcW w:w="362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25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Nos. 333-140244, 333-140245, 333-171828, and 333-229391) of Northern Technologies International Corporation and Subsidiaries of our report dated November 13, 2019, relating to the consolidated financial statements and the effectiveness of Northern Technologies International Corporation and subsidiaries internal control over financial reporting, which appears on pages 56-57 of this annual report on Form 10-K for the fiscal year ended August 31,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Virchow Krause,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80" w:firstLine="1"/>
        <w:spacing w:after="0" w:line="266" w:lineRule="auto"/>
        <w:tabs>
          <w:tab w:leader="none" w:pos="119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80" w:right="220" w:firstLine="1"/>
        <w:spacing w:after="0" w:line="266" w:lineRule="auto"/>
        <w:tabs>
          <w:tab w:leader="none" w:pos="120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80" w:right="520" w:firstLine="1"/>
        <w:spacing w:after="0" w:line="282" w:lineRule="auto"/>
        <w:tabs>
          <w:tab w:leader="none" w:pos="119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right="480" w:firstLine="1"/>
        <w:spacing w:after="0" w:line="266" w:lineRule="auto"/>
        <w:tabs>
          <w:tab w:leader="none" w:pos="120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780" w:hanging="4"/>
        <w:spacing w:after="0" w:line="282" w:lineRule="auto"/>
        <w:tabs>
          <w:tab w:leader="none" w:pos="116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17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ind w:left="7660" w:right="1020" w:hanging="7657"/>
        <w:spacing w:after="0"/>
        <w:rPr>
          <w:sz w:val="20"/>
          <w:szCs w:val="20"/>
          <w:color w:val="auto"/>
        </w:rPr>
      </w:pPr>
      <w:r>
        <w:rPr>
          <w:rFonts w:ascii="Times New Roman" w:cs="Times New Roman" w:eastAsia="Times New Roman" w:hAnsi="Times New Roman"/>
          <w:sz w:val="18"/>
          <w:szCs w:val="18"/>
          <w:color w:val="auto"/>
        </w:rPr>
        <w:t xml:space="preserve">Date: November 13, 2019 </w:t>
      </w:r>
      <w:r>
        <w:rPr>
          <w:sz w:val="1"/>
          <w:szCs w:val="1"/>
          <w:color w:val="auto"/>
        </w:rPr>
        <w:drawing>
          <wp:inline distT="0" distB="0" distL="0" distR="0">
            <wp:extent cx="1732280" cy="32575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1732280" cy="32575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-24130</wp:posOffset>
            </wp:positionV>
            <wp:extent cx="23837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7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11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40" w:hanging="4"/>
        <w:spacing w:after="0" w:line="266" w:lineRule="auto"/>
        <w:tabs>
          <w:tab w:leader="none" w:pos="118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540" w:hanging="4"/>
        <w:spacing w:after="0" w:line="282" w:lineRule="auto"/>
        <w:tabs>
          <w:tab w:leader="none" w:pos="11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0" w:hanging="4"/>
        <w:spacing w:after="0" w:line="266" w:lineRule="auto"/>
        <w:tabs>
          <w:tab w:leader="none" w:pos="118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780" w:hanging="4"/>
        <w:spacing w:after="0" w:line="282" w:lineRule="auto"/>
        <w:tabs>
          <w:tab w:leader="none" w:pos="11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1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251460</wp:posOffset>
            </wp:positionV>
            <wp:extent cx="1414780" cy="43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141478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2019</w:t>
      </w:r>
    </w:p>
    <w:p>
      <w:pPr>
        <w:spacing w:after="0" w:line="2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-130810</wp:posOffset>
            </wp:positionV>
            <wp:extent cx="23837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 PURSUANT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SECTION 906 OF THE SARBANES-OXLEY ACT OF 2002</w:t>
      </w:r>
    </w:p>
    <w:p>
      <w:pPr>
        <w:spacing w:after="0" w:line="21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Northern Technologies International Corporation (the “Company”) on Form 10-K for the period ending August 31, 2019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600" w:hanging="944"/>
        <w:spacing w:after="0"/>
        <w:tabs>
          <w:tab w:leader="none" w:pos="1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00" w:right="160" w:hanging="944"/>
        <w:spacing w:after="0" w:line="282" w:lineRule="auto"/>
        <w:tabs>
          <w:tab w:leader="none" w:pos="1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2" w:lineRule="exact"/>
        <w:rPr>
          <w:rFonts w:ascii="Times New Roman" w:cs="Times New Roman" w:eastAsia="Times New Roman" w:hAnsi="Times New Roman"/>
          <w:sz w:val="18"/>
          <w:szCs w:val="18"/>
          <w:color w:val="auto"/>
        </w:rPr>
      </w:pPr>
    </w:p>
    <w:p>
      <w:pPr>
        <w:ind w:left="7880" w:hanging="214"/>
        <w:spacing w:after="0"/>
        <w:tabs>
          <w:tab w:leader="none" w:pos="78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-530860</wp:posOffset>
            </wp:positionV>
            <wp:extent cx="2383790"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2383790" cy="411480"/>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 PURSUANT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SECTION 906 OF THE SARBANES-OXLEY ACT OF 2002</w:t>
      </w:r>
    </w:p>
    <w:p>
      <w:pPr>
        <w:spacing w:after="0" w:line="21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Northern Technologies International Corporation (the “Company”) on Form 10-K for the period ending August 31, 2019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600" w:hanging="944"/>
        <w:spacing w:after="0"/>
        <w:tabs>
          <w:tab w:leader="none" w:pos="1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00" w:right="160" w:hanging="944"/>
        <w:spacing w:after="0" w:line="282" w:lineRule="auto"/>
        <w:tabs>
          <w:tab w:leader="none" w:pos="1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251460</wp:posOffset>
            </wp:positionV>
            <wp:extent cx="1243330" cy="7029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12433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-127635</wp:posOffset>
            </wp:positionV>
            <wp:extent cx="2735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5"/>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lvl w:ilvl="1">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1."/>
      <w:numFmt w:val="decimal"/>
      <w:start w:val="4"/>
    </w:lvl>
  </w:abstractNum>
  <w:abstractNum w:abstractNumId="16">
    <w:nsid w:val="4353D0CD"/>
    <w:multiLevelType w:val="hybridMultilevel"/>
    <w:lvl w:ilvl="0">
      <w:lvlJc w:val="left"/>
      <w:lvlText w:val="%1."/>
      <w:numFmt w:val="decimal"/>
      <w:start w:val="6"/>
    </w:lvl>
  </w:abstractNum>
  <w:abstractNum w:abstractNumId="17">
    <w:nsid w:val="B03E0C6"/>
    <w:multiLevelType w:val="hybridMultilevel"/>
    <w:lvl w:ilvl="0">
      <w:lvlJc w:val="left"/>
      <w:lvlText w:val="%1."/>
      <w:numFmt w:val="decimal"/>
      <w:start w:val="7"/>
    </w:lvl>
  </w:abstractNum>
  <w:abstractNum w:abstractNumId="18">
    <w:nsid w:val="189A769B"/>
    <w:multiLevelType w:val="hybridMultilevel"/>
    <w:lvl w:ilvl="0">
      <w:lvlJc w:val="left"/>
      <w:lvlText w:val="%1."/>
      <w:numFmt w:val="decimal"/>
      <w:start w:val="8"/>
    </w:lvl>
  </w:abstractNum>
  <w:abstractNum w:abstractNumId="19">
    <w:nsid w:val="54E49EB4"/>
    <w:multiLevelType w:val="hybridMultilevel"/>
    <w:lvl w:ilvl="0">
      <w:lvlJc w:val="left"/>
      <w:lvlText w:val="%1."/>
      <w:numFmt w:val="decimal"/>
      <w:start w:val="9"/>
    </w:lvl>
  </w:abstractNum>
  <w:abstractNum w:abstractNumId="20">
    <w:nsid w:val="71F32454"/>
    <w:multiLevelType w:val="hybridMultilevel"/>
    <w:lvl w:ilvl="0">
      <w:lvlJc w:val="left"/>
      <w:lvlText w:val="%1."/>
      <w:numFmt w:val="decimal"/>
      <w:start w:val="10"/>
    </w:lvl>
  </w:abstractNum>
  <w:abstractNum w:abstractNumId="21">
    <w:nsid w:val="2CA88611"/>
    <w:multiLevelType w:val="hybridMultilevel"/>
    <w:lvl w:ilvl="0">
      <w:lvlJc w:val="left"/>
      <w:lvlText w:val="%1."/>
      <w:numFmt w:val="decimal"/>
      <w:start w:val="11"/>
    </w:lvl>
  </w:abstractNum>
  <w:abstractNum w:abstractNumId="22">
    <w:nsid w:val="836C40E"/>
    <w:multiLevelType w:val="hybridMultilevel"/>
    <w:lvl w:ilvl="0">
      <w:lvlJc w:val="left"/>
      <w:lvlText w:val="%1."/>
      <w:numFmt w:val="decimal"/>
      <w:start w:val="12"/>
    </w:lvl>
  </w:abstractNum>
  <w:abstractNum w:abstractNumId="23">
    <w:nsid w:val="2901D82"/>
    <w:multiLevelType w:val="hybridMultilevel"/>
    <w:lvl w:ilvl="0">
      <w:lvlJc w:val="left"/>
      <w:lvlText w:val="%1."/>
      <w:numFmt w:val="decimal"/>
      <w:start w:val="13"/>
    </w:lvl>
  </w:abstractNum>
  <w:abstractNum w:abstractNumId="24">
    <w:nsid w:val="3A95F874"/>
    <w:multiLevelType w:val="hybridMultilevel"/>
    <w:lvl w:ilvl="0">
      <w:lvlJc w:val="left"/>
      <w:lvlText w:val="%1."/>
      <w:numFmt w:val="decimal"/>
      <w:start w:val="14"/>
    </w:lvl>
  </w:abstractNum>
  <w:abstractNum w:abstractNumId="25">
    <w:nsid w:val="8138641"/>
    <w:multiLevelType w:val="hybridMultilevel"/>
    <w:lvl w:ilvl="0">
      <w:lvlJc w:val="left"/>
      <w:lvlText w:val="%1."/>
      <w:numFmt w:val="decimal"/>
      <w:start w:val="15"/>
    </w:lvl>
  </w:abstractNum>
  <w:abstractNum w:abstractNumId="26">
    <w:nsid w:val="1E7FF521"/>
    <w:multiLevelType w:val="hybridMultilevel"/>
    <w:lvl w:ilvl="0">
      <w:lvlJc w:val="left"/>
      <w:lvlText w:val="%1."/>
      <w:numFmt w:val="decimal"/>
      <w:start w:val="17"/>
    </w:lvl>
  </w:abstractNum>
  <w:abstractNum w:abstractNumId="27">
    <w:nsid w:val="7C3DBD3D"/>
    <w:multiLevelType w:val="hybridMultilevel"/>
    <w:lvl w:ilvl="0">
      <w:lvlJc w:val="left"/>
      <w:lvlText w:val="%1."/>
      <w:numFmt w:val="decimal"/>
      <w:start w:val="18"/>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upperLetter"/>
      <w:start w:val="7"/>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jpe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jpe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jpeg"/><Relationship Id="rId156" Type="http://schemas.openxmlformats.org/officeDocument/2006/relationships/image" Target="media/image116.png"/><Relationship Id="rId157" Type="http://schemas.openxmlformats.org/officeDocument/2006/relationships/image" Target="media/image117.png"/><Relationship Id="rId110" Type="http://schemas.openxmlformats.org/officeDocument/2006/relationships/hyperlink" Target="http://www.sec.gov/Archives/edgar/data/875582/000110465909023948/a09-9916_1ex3d1.htm" TargetMode="External"/><Relationship Id="rId111" Type="http://schemas.openxmlformats.org/officeDocument/2006/relationships/hyperlink" Target="http://www.sec.gov/Archives/edgar/data/875582/000117184318000379/exh_31.htm" TargetMode="External"/><Relationship Id="rId112" Type="http://schemas.openxmlformats.org/officeDocument/2006/relationships/hyperlink" Target="http://www.sec.gov/Archives/edgar/data/875582/000117184319000517/exh_31.htm" TargetMode="External"/><Relationship Id="rId113" Type="http://schemas.openxmlformats.org/officeDocument/2006/relationships/hyperlink" Target="http://www.sec.gov/Archives/edgar/data/875582/000110465908072542/a08-29098_1ex3d1.htm" TargetMode="External"/><Relationship Id="rId114" Type="http://schemas.openxmlformats.org/officeDocument/2006/relationships/hyperlink" Target="http://www.sec.gov/Archives/edgar/data/875582/000117184319000517/exh_101.htm" TargetMode="External"/><Relationship Id="rId115" Type="http://schemas.openxmlformats.org/officeDocument/2006/relationships/hyperlink" Target="http://www.sec.gov/Archives/edgar/data/875582/000117184319000517/exh_102.htm" TargetMode="External"/><Relationship Id="rId116" Type="http://schemas.openxmlformats.org/officeDocument/2006/relationships/hyperlink" Target="http://www.sec.gov/Archives/edgar/data/875582/000117184319000517/exh_103.htm" TargetMode="External"/><Relationship Id="rId117" Type="http://schemas.openxmlformats.org/officeDocument/2006/relationships/hyperlink" Target="http://www.sec.gov/Archives/edgar/data/875582/000110465911002506/a11-4417_1ex10d1.htm" TargetMode="External"/><Relationship Id="rId118" Type="http://schemas.openxmlformats.org/officeDocument/2006/relationships/hyperlink" Target="http://www.sec.gov/Archives/edgar/data/875582/000110465911002506/a11-4417_1ex10d2.htm" TargetMode="External"/><Relationship Id="rId119" Type="http://schemas.openxmlformats.org/officeDocument/2006/relationships/hyperlink" Target="http://www.sec.gov/Archives/edgar/data/875582/000110465911002506/a11-4417_1ex10d3.htm" TargetMode="External"/><Relationship Id="rId120" Type="http://schemas.openxmlformats.org/officeDocument/2006/relationships/hyperlink" Target="http://www.sec.gov/Archives/edgar/data/875582/000110465911002506/a11-4417_1ex10d4.htm" TargetMode="External"/><Relationship Id="rId121" Type="http://schemas.openxmlformats.org/officeDocument/2006/relationships/hyperlink" Target="http://www.sec.gov/Archives/edgar/data/875582/000120677406002384/nt110590ex1011.htm" TargetMode="External"/><Relationship Id="rId122" Type="http://schemas.openxmlformats.org/officeDocument/2006/relationships/hyperlink" Target="http://www.sec.gov/Archives/edgar/data/875582/000117184315006334/exh_106.htm" TargetMode="External"/><Relationship Id="rId123" Type="http://schemas.openxmlformats.org/officeDocument/2006/relationships/hyperlink" Target="http://www.sec.gov/Archives/edgar/data/875582/000110465908072542/a08-29098_1ex10d1.htm" TargetMode="External"/><Relationship Id="rId124" Type="http://schemas.openxmlformats.org/officeDocument/2006/relationships/hyperlink" Target="http://www.sec.gov/Archives/edgar/data/875582/000110465909043033/a09-18139_1ex10d2.htm" TargetMode="External"/><Relationship Id="rId125" Type="http://schemas.openxmlformats.org/officeDocument/2006/relationships/hyperlink" Target="http://www.sec.gov/Archives/edgar/data/875582/000117184318007912/exh_109.htm" TargetMode="External"/><Relationship Id="rId126" Type="http://schemas.openxmlformats.org/officeDocument/2006/relationships/hyperlink" Target="http://www.sec.gov/Archives/edgar/data/875582/000117184311003555/exh_1013.htm" TargetMode="External"/><Relationship Id="rId127" Type="http://schemas.openxmlformats.org/officeDocument/2006/relationships/hyperlink" Target="http://www.sec.gov/Archives/edgar/data/875582/000117184311003555/exh_1014.htm" TargetMode="External"/><Relationship Id="rId128" Type="http://schemas.openxmlformats.org/officeDocument/2006/relationships/hyperlink" Target="http://www.sec.gov/Archives/edgar/data/875582/000117184311003555/exh_1015.htm" TargetMode="External"/><Relationship Id="rId129" Type="http://schemas.openxmlformats.org/officeDocument/2006/relationships/hyperlink" Target="http://www.sec.gov/Archives/edgar/data/875582/000117184311003555/exh_1016.htm" TargetMode="External"/><Relationship Id="rId130" Type="http://schemas.openxmlformats.org/officeDocument/2006/relationships/hyperlink" Target="http://www.sec.gov/Archives/edgar/data/875582/000110465911001232/a11-3475_1ex10d2.htm" TargetMode="External"/><Relationship Id="rId131" Type="http://schemas.openxmlformats.org/officeDocument/2006/relationships/hyperlink" Target="http://www.sec.gov/Archives/edgar/data/875582/000110465911001232/a11-3475_1ex10d6.htm" TargetMode="External"/><Relationship Id="rId132" Type="http://schemas.openxmlformats.org/officeDocument/2006/relationships/hyperlink" Target="http://www.sec.gov/Archives/edgar/data/875582/000117184312000110/exh_106.htm" TargetMode="External"/><Relationship Id="rId133" Type="http://schemas.openxmlformats.org/officeDocument/2006/relationships/hyperlink" Target="http://www.sec.gov/Archives/edgar/data/875582/000117184313000136/exh_101.htm" TargetMode="External"/><Relationship Id="rId134" Type="http://schemas.openxmlformats.org/officeDocument/2006/relationships/hyperlink" Target="http://www.sec.gov/Archives/edgar/data/875582/000117184314001659/exh_101.htm" TargetMode="External"/><Relationship Id="rId135" Type="http://schemas.openxmlformats.org/officeDocument/2006/relationships/hyperlink" Target="http://www.sec.gov/Archives/edgar/data/875582/000117184315001899/exh_101.htm" TargetMode="External"/><Relationship Id="rId136" Type="http://schemas.openxmlformats.org/officeDocument/2006/relationships/hyperlink" Target="http://www.sec.gov/Archives/edgar/data/875582/000117184316009098/exh_101.htm" TargetMode="External"/><Relationship Id="rId137" Type="http://schemas.openxmlformats.org/officeDocument/2006/relationships/hyperlink" Target="http://www.sec.gov/Archives/edgar/data/875582/000117184317000251/exh_101.htm" TargetMode="External"/><Relationship Id="rId138" Type="http://schemas.openxmlformats.org/officeDocument/2006/relationships/hyperlink" Target="http://www.sec.gov/Archives/edgar/data/875582/000117184318000341/exh_101.htm" TargetMode="External"/><Relationship Id="rId139" Type="http://schemas.openxmlformats.org/officeDocument/2006/relationships/hyperlink" Target="http://www.sec.gov/Archives/edgar/data/875582/000117184319000202/exh_101.htm" TargetMode="External"/><Relationship Id="rId140" Type="http://schemas.openxmlformats.org/officeDocument/2006/relationships/hyperlink" Target="http://www.sec.gov/Archives/edgar/data/875582/000117184314003246/exh_101.htm" TargetMode="External"/><Relationship Id="rId141" Type="http://schemas.openxmlformats.org/officeDocument/2006/relationships/hyperlink" Target="http://www.sec.gov/Archives/edgar/data/875582/000117184317000251/exh_102.htm" TargetMode="External"/><Relationship Id="rId142" Type="http://schemas.openxmlformats.org/officeDocument/2006/relationships/hyperlink" Target="http://www.sec.gov/Archives/edgar/data/875582/000120677404001691/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2019-12-28T01:40:56Z</dcterms:created>
  <dcterms:modified xsi:type="dcterms:W3CDTF">2019-12-28T01:40:56Z</dcterms:modified>
</cp:coreProperties>
</file>