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______________________________</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4080" w:right="1580" w:hanging="4072"/>
        <w:spacing w:after="0" w:line="521" w:lineRule="auto"/>
        <w:tabs>
          <w:tab w:leader="none" w:pos="653"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November 30, 2014</w:t>
      </w:r>
    </w:p>
    <w:p>
      <w:pPr>
        <w:spacing w:after="0" w:line="1" w:lineRule="exact"/>
        <w:rPr>
          <w:sz w:val="24"/>
          <w:szCs w:val="24"/>
          <w:color w:val="auto"/>
        </w:rPr>
      </w:pPr>
    </w:p>
    <w:p>
      <w:pPr>
        <w:ind w:left="3280" w:right="1560" w:hanging="3272"/>
        <w:spacing w:after="0" w:line="532" w:lineRule="auto"/>
        <w:tabs>
          <w:tab w:leader="none" w:pos="658"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________________ to __________________.</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001-11038</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301" w:right="279" w:bottom="1440" w:gutter="0" w:footer="0" w:header="0"/>
        </w:sectPr>
      </w:pPr>
    </w:p>
    <w:p>
      <w:pPr>
        <w:spacing w:after="0" w:line="232"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41-0857886</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40" w:space="720"/>
            <w:col w:w="4120"/>
          </w:cols>
          <w:pgMar w:left="240" w:top="301" w:right="279" w:bottom="1440" w:gutter="0" w:footer="0" w:header="0"/>
          <w:type w:val="continuous"/>
        </w:sectPr>
      </w:pP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4201 Woodland Road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P.O. Box 69</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Circle Pines, Minnesota 55014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(763) 225-6600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208"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301" w:right="279" w:bottom="1440" w:gutter="0" w:footer="0" w:header="0"/>
          <w:type w:val="continuous"/>
        </w:sectPr>
      </w:pP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(Do not check if a smaller reporting company)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7060" w:space="720"/>
            <w:col w:w="3600"/>
          </w:cols>
          <w:pgMar w:left="240" w:top="301" w:right="279" w:bottom="1440" w:gutter="0" w:footer="0" w:header="0"/>
          <w:type w:val="continuous"/>
        </w:sectPr>
      </w:pPr>
    </w:p>
    <w:p>
      <w:pPr>
        <w:spacing w:after="0" w:line="34" w:lineRule="exact"/>
        <w:rPr>
          <w:sz w:val="24"/>
          <w:szCs w:val="24"/>
          <w:color w:val="auto"/>
        </w:rPr>
      </w:pPr>
    </w:p>
    <w:p>
      <w:pPr>
        <w:ind w:left="340"/>
        <w:spacing w:after="0"/>
        <w:tabs>
          <w:tab w:leader="none" w:pos="86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YES o  NO x</w:t>
      </w:r>
    </w:p>
    <w:p>
      <w:pPr>
        <w:spacing w:after="0" w:line="25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January 5, 2015, there were 4,521,883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01"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30, 2014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40" w:type="dxa"/>
            <w:vAlign w:val="bottom"/>
            <w:gridSpan w:val="8"/>
          </w:tcPr>
          <w:p>
            <w:pPr>
              <w:jc w:val="center"/>
              <w:ind w:right="2880"/>
              <w:spacing w:after="0"/>
              <w:rPr>
                <w:sz w:val="20"/>
                <w:szCs w:val="20"/>
                <w:color w:val="auto"/>
              </w:rPr>
            </w:pPr>
            <w:r>
              <w:rPr>
                <w:rFonts w:ascii="Arial" w:cs="Arial" w:eastAsia="Arial" w:hAnsi="Arial"/>
                <w:sz w:val="18"/>
                <w:szCs w:val="18"/>
                <w:b w:val="1"/>
                <w:bCs w:val="1"/>
                <w:color w:val="auto"/>
                <w:w w:val="98"/>
              </w:rPr>
              <w:t>TABLE OF CONTENTS</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900" w:type="dxa"/>
            <w:vAlign w:val="bottom"/>
            <w:gridSpan w:val="5"/>
          </w:tcPr>
          <w:p>
            <w:pPr>
              <w:spacing w:after="0"/>
              <w:rPr>
                <w:sz w:val="20"/>
                <w:szCs w:val="20"/>
                <w:color w:val="auto"/>
              </w:rPr>
            </w:pPr>
            <w:r>
              <w:rPr>
                <w:rFonts w:ascii="Arial" w:cs="Arial" w:eastAsia="Arial" w:hAnsi="Arial"/>
                <w:sz w:val="18"/>
                <w:szCs w:val="18"/>
                <w:b w:val="1"/>
                <w:bCs w:val="1"/>
                <w:color w:val="auto"/>
                <w:w w:val="88"/>
              </w:rPr>
              <w:t>Description</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Page</w:t>
            </w:r>
          </w:p>
        </w:tc>
      </w:tr>
      <w:tr>
        <w:trPr>
          <w:trHeight w:val="439"/>
        </w:trPr>
        <w:tc>
          <w:tcPr>
            <w:tcW w:w="640" w:type="dxa"/>
            <w:vAlign w:val="bottom"/>
            <w:tcBorders>
              <w:top w:val="single" w:sz="8" w:color="auto"/>
            </w:tcBorders>
            <w:gridSpan w:val="3"/>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PART I.</w:t>
              </w:r>
            </w:hyperlink>
          </w:p>
        </w:tc>
        <w:tc>
          <w:tcPr>
            <w:tcW w:w="260" w:type="dxa"/>
            <w:vAlign w:val="bottom"/>
            <w:tcBorders>
              <w:top w:val="single" w:sz="8" w:color="auto"/>
            </w:tcBorders>
            <w:gridSpan w:val="2"/>
          </w:tcPr>
          <w:p>
            <w:pPr>
              <w:spacing w:after="0"/>
              <w:rPr>
                <w:sz w:val="24"/>
                <w:szCs w:val="24"/>
                <w:color w:val="auto"/>
              </w:rPr>
            </w:pPr>
          </w:p>
        </w:tc>
        <w:tc>
          <w:tcPr>
            <w:tcW w:w="260" w:type="dxa"/>
            <w:vAlign w:val="bottom"/>
          </w:tcPr>
          <w:p>
            <w:pPr>
              <w:spacing w:after="0"/>
              <w:rPr>
                <w:sz w:val="24"/>
                <w:szCs w:val="24"/>
                <w:color w:val="auto"/>
              </w:rPr>
            </w:pPr>
          </w:p>
        </w:tc>
        <w:tc>
          <w:tcPr>
            <w:tcW w:w="9620" w:type="dxa"/>
            <w:vAlign w:val="bottom"/>
            <w:gridSpan w:val="19"/>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20" w:type="dxa"/>
            <w:vAlign w:val="bottom"/>
            <w:tcBorders>
              <w:top w:val="single" w:sz="8" w:color="0000EE"/>
            </w:tcBorders>
            <w:gridSpan w:val="2"/>
          </w:tcPr>
          <w:p>
            <w:pPr>
              <w:spacing w:after="0"/>
              <w:rPr>
                <w:sz w:val="24"/>
                <w:szCs w:val="24"/>
                <w:color w:val="auto"/>
              </w:rPr>
            </w:pPr>
          </w:p>
        </w:tc>
        <w:tc>
          <w:tcPr>
            <w:tcW w:w="520" w:type="dxa"/>
            <w:vAlign w:val="bottom"/>
            <w:gridSpan w:val="3"/>
          </w:tcPr>
          <w:p>
            <w:pPr>
              <w:spacing w:after="0"/>
              <w:rPr>
                <w:sz w:val="24"/>
                <w:szCs w:val="24"/>
                <w:color w:val="auto"/>
              </w:rPr>
            </w:pPr>
          </w:p>
        </w:tc>
        <w:tc>
          <w:tcPr>
            <w:tcW w:w="2380" w:type="dxa"/>
            <w:vAlign w:val="bottom"/>
            <w:tcBorders>
              <w:top w:val="single" w:sz="8" w:color="0000EE"/>
            </w:tcBorders>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7240" w:type="dxa"/>
            <w:vAlign w:val="bottom"/>
            <w:gridSpan w:val="8"/>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380" w:type="dxa"/>
            <w:vAlign w:val="bottom"/>
            <w:gridSpan w:val="15"/>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Balance Sheets as of November 30, 2014 (unaudited) and August 31, 2014</w:t>
              </w:r>
            </w:hyperlink>
          </w:p>
        </w:tc>
        <w:tc>
          <w:tcPr>
            <w:tcW w:w="3240" w:type="dxa"/>
            <w:vAlign w:val="bottom"/>
            <w:gridSpan w:val="4"/>
          </w:tcPr>
          <w:p>
            <w:pPr>
              <w:spacing w:after="0"/>
              <w:rPr>
                <w:sz w:val="17"/>
                <w:szCs w:val="17"/>
                <w:color w:val="auto"/>
              </w:rPr>
            </w:pPr>
          </w:p>
        </w:tc>
        <w:tc>
          <w:tcPr>
            <w:tcW w:w="640" w:type="dxa"/>
            <w:vAlign w:val="bottom"/>
            <w:gridSpan w:val="6"/>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960" w:type="dxa"/>
            <w:vAlign w:val="bottom"/>
            <w:gridSpan w:val="17"/>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(unaudited) for the Three Months Ended November 30, 2014 and 2013</w:t>
              </w:r>
            </w:hyperlink>
          </w:p>
        </w:tc>
        <w:tc>
          <w:tcPr>
            <w:tcW w:w="1660" w:type="dxa"/>
            <w:vAlign w:val="bottom"/>
            <w:gridSpan w:val="2"/>
          </w:tcPr>
          <w:p>
            <w:pPr>
              <w:spacing w:after="0"/>
              <w:rPr>
                <w:sz w:val="17"/>
                <w:szCs w:val="17"/>
                <w:color w:val="auto"/>
              </w:rPr>
            </w:pPr>
          </w:p>
        </w:tc>
        <w:tc>
          <w:tcPr>
            <w:tcW w:w="640" w:type="dxa"/>
            <w:vAlign w:val="bottom"/>
            <w:gridSpan w:val="6"/>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20" w:type="dxa"/>
            <w:vAlign w:val="bottom"/>
            <w:gridSpan w:val="19"/>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Consolidated Statements of Comprehensive Income (Loss) (unaudited) for the Three Months Ended November 30, 2014 and 2013</w:t>
              </w:r>
            </w:hyperlink>
          </w:p>
        </w:tc>
        <w:tc>
          <w:tcPr>
            <w:tcW w:w="640" w:type="dxa"/>
            <w:vAlign w:val="bottom"/>
            <w:gridSpan w:val="6"/>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960" w:type="dxa"/>
            <w:vAlign w:val="bottom"/>
            <w:gridSpan w:val="17"/>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 (unaudited) for the Three Months Ended November 30, 2014 and 2013</w:t>
              </w:r>
            </w:hyperlink>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gridSpan w:val="6"/>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2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960" w:type="dxa"/>
            <w:vAlign w:val="bottom"/>
            <w:gridSpan w:val="1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1660" w:type="dxa"/>
            <w:vAlign w:val="bottom"/>
            <w:gridSpan w:val="2"/>
          </w:tcPr>
          <w:p>
            <w:pPr>
              <w:spacing w:after="0"/>
              <w:rPr>
                <w:sz w:val="17"/>
                <w:szCs w:val="17"/>
                <w:color w:val="auto"/>
              </w:rPr>
            </w:pPr>
          </w:p>
        </w:tc>
        <w:tc>
          <w:tcPr>
            <w:tcW w:w="640" w:type="dxa"/>
            <w:vAlign w:val="bottom"/>
            <w:gridSpan w:val="6"/>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5-13</w:t>
              </w:r>
            </w:hyperlink>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Item 2.</w:t>
              </w:r>
            </w:hyperlink>
          </w:p>
        </w:tc>
        <w:tc>
          <w:tcPr>
            <w:tcW w:w="520" w:type="dxa"/>
            <w:vAlign w:val="bottom"/>
            <w:gridSpan w:val="3"/>
          </w:tcPr>
          <w:p>
            <w:pPr>
              <w:spacing w:after="0"/>
              <w:rPr>
                <w:sz w:val="17"/>
                <w:szCs w:val="17"/>
                <w:color w:val="auto"/>
              </w:rPr>
            </w:pP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316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86"/>
              </w:rPr>
            </w:pPr>
            <w:hyperlink w:anchor="page17">
              <w:r>
                <w:rPr>
                  <w:rFonts w:ascii="Arial" w:cs="Arial" w:eastAsia="Arial" w:hAnsi="Arial"/>
                  <w:sz w:val="18"/>
                  <w:szCs w:val="18"/>
                  <w:color w:val="0000EE"/>
                  <w:w w:val="86"/>
                </w:rPr>
                <w:t>14-26</w:t>
              </w:r>
            </w:hyperlink>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Item 3.</w:t>
              </w:r>
            </w:hyperlink>
          </w:p>
        </w:tc>
        <w:tc>
          <w:tcPr>
            <w:tcW w:w="620" w:type="dxa"/>
            <w:vAlign w:val="bottom"/>
            <w:gridSpan w:val="4"/>
          </w:tcPr>
          <w:p>
            <w:pPr>
              <w:spacing w:after="0"/>
              <w:rPr>
                <w:sz w:val="17"/>
                <w:szCs w:val="17"/>
                <w:color w:val="auto"/>
              </w:rPr>
            </w:pPr>
          </w:p>
        </w:tc>
        <w:tc>
          <w:tcPr>
            <w:tcW w:w="9620" w:type="dxa"/>
            <w:vAlign w:val="bottom"/>
            <w:gridSpan w:val="1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640" w:type="dxa"/>
            <w:vAlign w:val="bottom"/>
            <w:gridSpan w:val="6"/>
          </w:tcPr>
          <w:p>
            <w:pPr>
              <w:jc w:val="right"/>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26</w:t>
              </w:r>
            </w:hyperlink>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4.</w:t>
              </w:r>
            </w:hyperlink>
          </w:p>
        </w:tc>
        <w:tc>
          <w:tcPr>
            <w:tcW w:w="20" w:type="dxa"/>
            <w:vAlign w:val="bottom"/>
            <w:tcBorders>
              <w:top w:val="single" w:sz="8" w:color="0000EE"/>
            </w:tcBorders>
          </w:tcPr>
          <w:p>
            <w:pPr>
              <w:spacing w:after="0"/>
              <w:rPr>
                <w:sz w:val="17"/>
                <w:szCs w:val="17"/>
                <w:color w:val="auto"/>
              </w:rPr>
            </w:pPr>
          </w:p>
        </w:tc>
        <w:tc>
          <w:tcPr>
            <w:tcW w:w="620" w:type="dxa"/>
            <w:vAlign w:val="bottom"/>
            <w:gridSpan w:val="4"/>
          </w:tcPr>
          <w:p>
            <w:pPr>
              <w:spacing w:after="0"/>
              <w:rPr>
                <w:sz w:val="17"/>
                <w:szCs w:val="17"/>
                <w:color w:val="auto"/>
              </w:rPr>
            </w:pPr>
          </w:p>
        </w:tc>
        <w:tc>
          <w:tcPr>
            <w:tcW w:w="43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5320" w:type="dxa"/>
            <w:vAlign w:val="bottom"/>
            <w:gridSpan w:val="6"/>
          </w:tcPr>
          <w:p>
            <w:pPr>
              <w:spacing w:after="0"/>
              <w:rPr>
                <w:sz w:val="17"/>
                <w:szCs w:val="17"/>
                <w:color w:val="auto"/>
              </w:rPr>
            </w:pPr>
          </w:p>
        </w:tc>
        <w:tc>
          <w:tcPr>
            <w:tcW w:w="460" w:type="dxa"/>
            <w:vAlign w:val="bottom"/>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27</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2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60" w:type="dxa"/>
            <w:vAlign w:val="bottom"/>
            <w:gridSpan w:val="6"/>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w:t>
              </w:r>
            </w:hyperlink>
          </w:p>
        </w:tc>
        <w:tc>
          <w:tcPr>
            <w:tcW w:w="9620" w:type="dxa"/>
            <w:vAlign w:val="bottom"/>
            <w:gridSpan w:val="19"/>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OTHER INFORMATION</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Item 1.</w:t>
              </w:r>
            </w:hyperlink>
          </w:p>
        </w:tc>
        <w:tc>
          <w:tcPr>
            <w:tcW w:w="160" w:type="dxa"/>
            <w:vAlign w:val="bottom"/>
            <w:tcBorders>
              <w:top w:val="single" w:sz="8" w:color="0000EE"/>
            </w:tcBorders>
            <w:gridSpan w:val="2"/>
          </w:tcPr>
          <w:p>
            <w:pPr>
              <w:spacing w:after="0"/>
              <w:rPr>
                <w:sz w:val="24"/>
                <w:szCs w:val="24"/>
                <w:color w:val="auto"/>
              </w:rPr>
            </w:pPr>
          </w:p>
        </w:tc>
        <w:tc>
          <w:tcPr>
            <w:tcW w:w="460" w:type="dxa"/>
            <w:vAlign w:val="bottom"/>
            <w:gridSpan w:val="2"/>
          </w:tcPr>
          <w:p>
            <w:pPr>
              <w:spacing w:after="0"/>
              <w:rPr>
                <w:sz w:val="24"/>
                <w:szCs w:val="24"/>
                <w:color w:val="auto"/>
              </w:rPr>
            </w:pPr>
          </w:p>
        </w:tc>
        <w:tc>
          <w:tcPr>
            <w:tcW w:w="1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24"/>
                <w:szCs w:val="24"/>
                <w:color w:val="auto"/>
              </w:rPr>
            </w:pPr>
          </w:p>
        </w:tc>
        <w:tc>
          <w:tcPr>
            <w:tcW w:w="7600" w:type="dxa"/>
            <w:vAlign w:val="bottom"/>
            <w:gridSpan w:val="10"/>
          </w:tcPr>
          <w:p>
            <w:pPr>
              <w:spacing w:after="0"/>
              <w:rPr>
                <w:sz w:val="24"/>
                <w:szCs w:val="24"/>
                <w:color w:val="auto"/>
              </w:rPr>
            </w:pPr>
          </w:p>
        </w:tc>
        <w:tc>
          <w:tcPr>
            <w:tcW w:w="46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28</w:t>
              </w:r>
            </w:hyperlink>
          </w:p>
        </w:tc>
      </w:tr>
      <w:tr>
        <w:trPr>
          <w:trHeight w:val="196"/>
        </w:trPr>
        <w:tc>
          <w:tcPr>
            <w:tcW w:w="1160" w:type="dxa"/>
            <w:vAlign w:val="bottom"/>
            <w:gridSpan w:val="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1A.</w:t>
              </w:r>
            </w:hyperlink>
          </w:p>
        </w:tc>
        <w:tc>
          <w:tcPr>
            <w:tcW w:w="9620" w:type="dxa"/>
            <w:vAlign w:val="bottom"/>
            <w:gridSpan w:val="19"/>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640" w:type="dxa"/>
            <w:vAlign w:val="bottom"/>
            <w:gridSpan w:val="6"/>
          </w:tcPr>
          <w:p>
            <w:pPr>
              <w:jc w:val="right"/>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r>
      <w:tr>
        <w:trPr>
          <w:trHeight w:val="20"/>
        </w:trPr>
        <w:tc>
          <w:tcPr>
            <w:tcW w:w="640" w:type="dxa"/>
            <w:vAlign w:val="bottom"/>
            <w:gridSpan w:val="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280" w:type="dxa"/>
            <w:vAlign w:val="bottom"/>
            <w:gridSpan w:val="5"/>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Item 2.</w:t>
              </w:r>
            </w:hyperlink>
          </w:p>
        </w:tc>
        <w:tc>
          <w:tcPr>
            <w:tcW w:w="100" w:type="dxa"/>
            <w:vAlign w:val="bottom"/>
          </w:tcPr>
          <w:p>
            <w:pPr>
              <w:spacing w:after="0"/>
              <w:rPr>
                <w:sz w:val="17"/>
                <w:szCs w:val="17"/>
                <w:color w:val="auto"/>
              </w:rPr>
            </w:pPr>
          </w:p>
        </w:tc>
        <w:tc>
          <w:tcPr>
            <w:tcW w:w="520" w:type="dxa"/>
            <w:vAlign w:val="bottom"/>
            <w:gridSpan w:val="3"/>
          </w:tcPr>
          <w:p>
            <w:pPr>
              <w:spacing w:after="0"/>
              <w:rPr>
                <w:sz w:val="17"/>
                <w:szCs w:val="17"/>
                <w:color w:val="auto"/>
              </w:rPr>
            </w:pPr>
          </w:p>
        </w:tc>
        <w:tc>
          <w:tcPr>
            <w:tcW w:w="9620" w:type="dxa"/>
            <w:vAlign w:val="bottom"/>
            <w:gridSpan w:val="19"/>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640" w:type="dxa"/>
            <w:vAlign w:val="bottom"/>
            <w:gridSpan w:val="6"/>
          </w:tcPr>
          <w:p>
            <w:pPr>
              <w:jc w:val="right"/>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r>
      <w:tr>
        <w:trPr>
          <w:trHeight w:val="196"/>
        </w:trPr>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Item 3.</w:t>
              </w:r>
            </w:hyperlink>
          </w:p>
        </w:tc>
        <w:tc>
          <w:tcPr>
            <w:tcW w:w="620" w:type="dxa"/>
            <w:vAlign w:val="bottom"/>
            <w:gridSpan w:val="4"/>
          </w:tcPr>
          <w:p>
            <w:pPr>
              <w:spacing w:after="0"/>
              <w:rPr>
                <w:sz w:val="17"/>
                <w:szCs w:val="17"/>
                <w:color w:val="auto"/>
              </w:rPr>
            </w:pPr>
          </w:p>
        </w:tc>
        <w:tc>
          <w:tcPr>
            <w:tcW w:w="43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Defaults Upon Senior Securities</w:t>
              </w:r>
            </w:hyperlink>
          </w:p>
        </w:tc>
        <w:tc>
          <w:tcPr>
            <w:tcW w:w="5280" w:type="dxa"/>
            <w:vAlign w:val="bottom"/>
            <w:gridSpan w:val="5"/>
          </w:tcPr>
          <w:p>
            <w:pPr>
              <w:spacing w:after="0"/>
              <w:rPr>
                <w:sz w:val="17"/>
                <w:szCs w:val="17"/>
                <w:color w:val="auto"/>
              </w:rPr>
            </w:pPr>
          </w:p>
        </w:tc>
        <w:tc>
          <w:tcPr>
            <w:tcW w:w="460" w:type="dxa"/>
            <w:vAlign w:val="bottom"/>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29</w:t>
              </w:r>
            </w:hyperlink>
          </w:p>
        </w:tc>
      </w:tr>
      <w:tr>
        <w:trPr>
          <w:trHeight w:val="196"/>
        </w:trPr>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Item 4.</w:t>
              </w:r>
            </w:hyperlink>
          </w:p>
        </w:tc>
        <w:tc>
          <w:tcPr>
            <w:tcW w:w="620" w:type="dxa"/>
            <w:vAlign w:val="bottom"/>
            <w:gridSpan w:val="4"/>
          </w:tcPr>
          <w:p>
            <w:pPr>
              <w:spacing w:after="0"/>
              <w:rPr>
                <w:sz w:val="17"/>
                <w:szCs w:val="17"/>
                <w:color w:val="auto"/>
              </w:rPr>
            </w:pPr>
          </w:p>
        </w:tc>
        <w:tc>
          <w:tcPr>
            <w:tcW w:w="23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7300" w:type="dxa"/>
            <w:vAlign w:val="bottom"/>
            <w:gridSpan w:val="9"/>
          </w:tcPr>
          <w:p>
            <w:pPr>
              <w:spacing w:after="0"/>
              <w:rPr>
                <w:sz w:val="17"/>
                <w:szCs w:val="17"/>
                <w:color w:val="auto"/>
              </w:rPr>
            </w:pPr>
          </w:p>
        </w:tc>
        <w:tc>
          <w:tcPr>
            <w:tcW w:w="460" w:type="dxa"/>
            <w:vAlign w:val="bottom"/>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29</w:t>
              </w:r>
            </w:hyperlink>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Item 5.</w:t>
              </w:r>
            </w:hyperlink>
          </w:p>
        </w:tc>
        <w:tc>
          <w:tcPr>
            <w:tcW w:w="620" w:type="dxa"/>
            <w:vAlign w:val="bottom"/>
            <w:gridSpan w:val="4"/>
          </w:tcPr>
          <w:p>
            <w:pPr>
              <w:spacing w:after="0"/>
              <w:rPr>
                <w:sz w:val="17"/>
                <w:szCs w:val="17"/>
                <w:color w:val="auto"/>
              </w:rPr>
            </w:pPr>
          </w:p>
        </w:tc>
        <w:tc>
          <w:tcPr>
            <w:tcW w:w="1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7860" w:type="dxa"/>
            <w:vAlign w:val="bottom"/>
            <w:gridSpan w:val="11"/>
          </w:tcPr>
          <w:p>
            <w:pPr>
              <w:spacing w:after="0"/>
              <w:rPr>
                <w:sz w:val="17"/>
                <w:szCs w:val="17"/>
                <w:color w:val="auto"/>
              </w:rPr>
            </w:pPr>
          </w:p>
        </w:tc>
        <w:tc>
          <w:tcPr>
            <w:tcW w:w="460" w:type="dxa"/>
            <w:vAlign w:val="bottom"/>
            <w:gridSpan w:val="4"/>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29</w:t>
              </w:r>
            </w:hyperlink>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Item 6.</w:t>
              </w:r>
            </w:hyperlink>
          </w:p>
        </w:tc>
        <w:tc>
          <w:tcPr>
            <w:tcW w:w="620" w:type="dxa"/>
            <w:vAlign w:val="bottom"/>
            <w:gridSpan w:val="4"/>
          </w:tcPr>
          <w:p>
            <w:pPr>
              <w:spacing w:after="0"/>
              <w:rPr>
                <w:sz w:val="17"/>
                <w:szCs w:val="17"/>
                <w:color w:val="auto"/>
              </w:rPr>
            </w:pPr>
          </w:p>
        </w:tc>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Exhibits</w:t>
              </w:r>
            </w:hyperlink>
          </w:p>
        </w:tc>
        <w:tc>
          <w:tcPr>
            <w:tcW w:w="9020" w:type="dxa"/>
            <w:vAlign w:val="bottom"/>
            <w:gridSpan w:val="16"/>
          </w:tcPr>
          <w:p>
            <w:pPr>
              <w:spacing w:after="0"/>
              <w:rPr>
                <w:sz w:val="17"/>
                <w:szCs w:val="17"/>
                <w:color w:val="auto"/>
              </w:rPr>
            </w:pPr>
          </w:p>
        </w:tc>
        <w:tc>
          <w:tcPr>
            <w:tcW w:w="460" w:type="dxa"/>
            <w:vAlign w:val="bottom"/>
            <w:gridSpan w:val="4"/>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29</w:t>
              </w:r>
            </w:hyperlink>
          </w:p>
        </w:tc>
      </w:tr>
      <w:tr>
        <w:trPr>
          <w:trHeight w:val="412"/>
        </w:trPr>
        <w:tc>
          <w:tcPr>
            <w:tcW w:w="1600" w:type="dxa"/>
            <w:vAlign w:val="bottom"/>
            <w:tcBorders>
              <w:bottom w:val="single" w:sz="8" w:color="0000EE"/>
            </w:tcBorders>
            <w:gridSpan w:val="8"/>
          </w:tcPr>
          <w:p>
            <w:pPr>
              <w:spacing w:after="0"/>
              <w:rPr>
                <w:rFonts w:ascii="Arial" w:cs="Arial" w:eastAsia="Arial" w:hAnsi="Arial"/>
                <w:sz w:val="18"/>
                <w:szCs w:val="18"/>
                <w:b w:val="1"/>
                <w:bCs w:val="1"/>
                <w:color w:val="0000EE"/>
                <w:w w:val="97"/>
              </w:rPr>
            </w:pPr>
            <w:hyperlink w:anchor="page33">
              <w:r>
                <w:rPr>
                  <w:rFonts w:ascii="Arial" w:cs="Arial" w:eastAsia="Arial" w:hAnsi="Arial"/>
                  <w:sz w:val="18"/>
                  <w:szCs w:val="18"/>
                  <w:b w:val="1"/>
                  <w:bCs w:val="1"/>
                  <w:color w:val="0000EE"/>
                  <w:w w:val="97"/>
                </w:rPr>
                <w:t>SIGNATURE PAGE</w:t>
              </w:r>
            </w:hyperlink>
          </w:p>
        </w:tc>
        <w:tc>
          <w:tcPr>
            <w:tcW w:w="9180" w:type="dxa"/>
            <w:vAlign w:val="bottom"/>
            <w:gridSpan w:val="17"/>
          </w:tcPr>
          <w:p>
            <w:pPr>
              <w:spacing w:after="0"/>
              <w:rPr>
                <w:sz w:val="24"/>
                <w:szCs w:val="24"/>
                <w:color w:val="auto"/>
              </w:rPr>
            </w:pPr>
          </w:p>
        </w:tc>
        <w:tc>
          <w:tcPr>
            <w:tcW w:w="46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30</w:t>
              </w:r>
            </w:hyperlink>
          </w:p>
        </w:tc>
      </w:tr>
      <w:tr>
        <w:trPr>
          <w:trHeight w:val="412"/>
        </w:trPr>
        <w:tc>
          <w:tcPr>
            <w:tcW w:w="10780" w:type="dxa"/>
            <w:vAlign w:val="bottom"/>
            <w:gridSpan w:val="25"/>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EXHIBIT INDEX</w:t>
              </w:r>
            </w:hyperlink>
          </w:p>
        </w:tc>
        <w:tc>
          <w:tcPr>
            <w:tcW w:w="640" w:type="dxa"/>
            <w:vAlign w:val="bottom"/>
            <w:gridSpan w:val="6"/>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r>
      <w:tr>
        <w:trPr>
          <w:trHeight w:val="237"/>
        </w:trPr>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140" w:type="dxa"/>
            <w:vAlign w:val="bottom"/>
            <w:gridSpan w:val="14"/>
          </w:tcPr>
          <w:p>
            <w:pPr>
              <w:jc w:val="right"/>
              <w:ind w:right="1060"/>
              <w:spacing w:after="0"/>
              <w:rPr>
                <w:sz w:val="20"/>
                <w:szCs w:val="20"/>
                <w:color w:val="auto"/>
              </w:rPr>
            </w:pPr>
            <w:r>
              <w:rPr>
                <w:rFonts w:ascii="Arial" w:cs="Arial" w:eastAsia="Arial" w:hAnsi="Arial"/>
                <w:sz w:val="18"/>
                <w:szCs w:val="18"/>
                <w:color w:val="auto"/>
              </w:rPr>
              <w:t>_________________</w:t>
            </w: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r>
    </w:tbl>
    <w:p>
      <w:pPr>
        <w:spacing w:after="0" w:line="229"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 Forward-Looking Statements.”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color w:val="auto"/>
        </w:rPr>
        <w:t>_________________</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As used in this report, references to “NTIC,” the “Company,” “we,” “our” or “us,” unless the context otherwise requires, refer to Northern Technologies International Corporation and its wholly owned subsidiaries, NTI Facilities, Inc. and Northern Technologies Holding Company, LLC, and its majority owned subsidiaries, Zerust Prevenção de Corrosão S.A., NTI Asean LLC and Natur-Tec India Private Limited, all of which are consolidated on NTIC’s consolidated financial statements.</w:t>
      </w:r>
    </w:p>
    <w:p>
      <w:pPr>
        <w:spacing w:after="0" w:line="21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i w:val="1"/>
          <w:iCs w:val="1"/>
          <w:color w:val="auto"/>
        </w:rPr>
        <w:t>NTIC’s consolidated financial statements do not include the accounts of any of its joint ventures. Except as otherwise indicated, references in this report to NTIC’s joint ventures do not include: (1) NTIC’s majority owned Brazilian subsidiary, Zerust Prevenção de Corrosão S.A.; (2) NTIC’s majority owned subsidiary, NTI Asean LLC, which is a holding company that holds investments in eight entities that operate in the Association of Southeast Asian Nations (ASEAN) region, including the following countries: China, Indonesia, Korea, Malaysia, Philippines, Singapore, Taiwan and Thailand; or (3) NTIC’s majority owned subsidiary, Northern Technologies India Private Limited, in India.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“Zerust Brazil” refer to NTIC’s majority owned Brazilian subsidiary, Zerust Prevenção de Corrosão S.A.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“NTI Asean” refer to NTIC’s majority owned holding company subsidiary, NTI Asean LLC.</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 used in this report, references to “Natur-Tec India” refer to NTIC’s recently formed majority owned subsidiary in India, Natur-Tec India Private Limited.</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 used in this report, references to “EXCOR” refer to NTIC’s joint venture in Germany, Excor Korrosionsschutz – Technologien und Produkte GmbH.</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“NTIC China” refer to NTIC’s newly formed wholly owned subsidiary in China, NTIC (Shanghai) Co.,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28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360" w:type="dxa"/>
            <w:vAlign w:val="bottom"/>
          </w:tcPr>
          <w:p>
            <w:pPr>
              <w:ind w:left="22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8280" w:type="dxa"/>
            <w:vAlign w:val="bottom"/>
            <w:gridSpan w:val="3"/>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8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SHEETS AS OF NOVEMBER 30, 2014 (UNAUDITED)</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80" w:type="dxa"/>
            <w:vAlign w:val="bottom"/>
            <w:gridSpan w:val="3"/>
          </w:tcPr>
          <w:p>
            <w:pPr>
              <w:spacing w:after="0"/>
              <w:rPr>
                <w:sz w:val="20"/>
                <w:szCs w:val="20"/>
                <w:color w:val="auto"/>
              </w:rPr>
            </w:pPr>
            <w:r>
              <w:rPr>
                <w:rFonts w:ascii="Arial" w:cs="Arial" w:eastAsia="Arial" w:hAnsi="Arial"/>
                <w:sz w:val="18"/>
                <w:szCs w:val="18"/>
                <w:b w:val="1"/>
                <w:bCs w:val="1"/>
                <w:color w:val="auto"/>
              </w:rPr>
              <w:t>AND AUGUST 31, 2014 (AUDITED)</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73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700" w:type="dxa"/>
            <w:vAlign w:val="bottom"/>
            <w:gridSpan w:val="3"/>
          </w:tcPr>
          <w:p>
            <w:pPr>
              <w:ind w:left="120"/>
              <w:spacing w:after="0"/>
              <w:rPr>
                <w:sz w:val="20"/>
                <w:szCs w:val="20"/>
                <w:color w:val="auto"/>
              </w:rPr>
            </w:pPr>
            <w:r>
              <w:rPr>
                <w:rFonts w:ascii="Arial" w:cs="Arial" w:eastAsia="Arial" w:hAnsi="Arial"/>
                <w:sz w:val="18"/>
                <w:szCs w:val="18"/>
                <w:b w:val="1"/>
                <w:bCs w:val="1"/>
                <w:color w:val="auto"/>
                <w:w w:val="95"/>
              </w:rPr>
              <w:t>November 30, 2014</w:t>
            </w:r>
          </w:p>
        </w:tc>
        <w:tc>
          <w:tcPr>
            <w:tcW w:w="1460" w:type="dxa"/>
            <w:vAlign w:val="bottom"/>
            <w:gridSpan w:val="4"/>
          </w:tcPr>
          <w:p>
            <w:pPr>
              <w:ind w:left="120"/>
              <w:spacing w:after="0"/>
              <w:rPr>
                <w:sz w:val="20"/>
                <w:szCs w:val="20"/>
                <w:color w:val="auto"/>
              </w:rPr>
            </w:pPr>
            <w:r>
              <w:rPr>
                <w:rFonts w:ascii="Arial" w:cs="Arial" w:eastAsia="Arial" w:hAnsi="Arial"/>
                <w:sz w:val="18"/>
                <w:szCs w:val="18"/>
                <w:b w:val="1"/>
                <w:bCs w:val="1"/>
                <w:color w:val="auto"/>
                <w:w w:val="96"/>
              </w:rPr>
              <w:t>August 31,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1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2,598,739</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2,477,017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40"/>
              <w:spacing w:after="0"/>
              <w:rPr>
                <w:sz w:val="20"/>
                <w:szCs w:val="20"/>
                <w:color w:val="auto"/>
              </w:rPr>
            </w:pPr>
            <w:r>
              <w:rPr>
                <w:rFonts w:ascii="Arial" w:cs="Arial" w:eastAsia="Arial" w:hAnsi="Arial"/>
                <w:sz w:val="18"/>
                <w:szCs w:val="18"/>
                <w:color w:val="auto"/>
              </w:rPr>
              <w:t>Available for sale securities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4,024,599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5,519,766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Receivables:</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gridSpan w:val="2"/>
          </w:tcPr>
          <w:p>
            <w:pPr>
              <w:ind w:left="600"/>
              <w:spacing w:after="0" w:line="201" w:lineRule="exact"/>
              <w:rPr>
                <w:sz w:val="20"/>
                <w:szCs w:val="20"/>
                <w:color w:val="auto"/>
              </w:rPr>
            </w:pPr>
            <w:r>
              <w:rPr>
                <w:rFonts w:ascii="Arial" w:cs="Arial" w:eastAsia="Arial" w:hAnsi="Arial"/>
                <w:sz w:val="18"/>
                <w:szCs w:val="18"/>
                <w:color w:val="auto"/>
                <w:w w:val="94"/>
              </w:rPr>
              <w:t>Trade excluding joint ventures, less allowance for doubtful accounts of $40,000 at November 30, 2014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gridSpan w:val="2"/>
          </w:tcPr>
          <w:p>
            <w:pPr>
              <w:ind w:left="760"/>
              <w:spacing w:after="0"/>
              <w:rPr>
                <w:sz w:val="20"/>
                <w:szCs w:val="20"/>
                <w:color w:val="auto"/>
              </w:rPr>
            </w:pPr>
            <w:r>
              <w:rPr>
                <w:rFonts w:ascii="Arial" w:cs="Arial" w:eastAsia="Arial" w:hAnsi="Arial"/>
                <w:sz w:val="18"/>
                <w:szCs w:val="18"/>
                <w:color w:val="auto"/>
              </w:rPr>
              <w:t>and August 31, 2014, respectively</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3,350,630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3,596,247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Trade joint ventures</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552,714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951,286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600"/>
              <w:spacing w:after="0"/>
              <w:rPr>
                <w:sz w:val="20"/>
                <w:szCs w:val="20"/>
                <w:color w:val="auto"/>
              </w:rPr>
            </w:pPr>
            <w:r>
              <w:rPr>
                <w:rFonts w:ascii="Arial" w:cs="Arial" w:eastAsia="Arial" w:hAnsi="Arial"/>
                <w:sz w:val="18"/>
                <w:szCs w:val="18"/>
                <w:color w:val="auto"/>
              </w:rPr>
              <w:t>Fees for services provided to joint ventures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2,769,231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2,612,899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139,606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4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5,640,028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5,961,399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755,454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411,226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4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789,364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789,364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20,620,365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22,319,966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6,803,143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6,477,987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40"/>
              <w:spacing w:after="0"/>
              <w:rPr>
                <w:sz w:val="20"/>
                <w:szCs w:val="20"/>
                <w:color w:val="auto"/>
              </w:rPr>
            </w:pPr>
            <w:r>
              <w:rPr>
                <w:rFonts w:ascii="Arial" w:cs="Arial" w:eastAsia="Arial" w:hAnsi="Arial"/>
                <w:sz w:val="18"/>
                <w:szCs w:val="18"/>
                <w:color w:val="auto"/>
              </w:rPr>
              <w:t>Investments in joint ventures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23,302,301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22,961,989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943,279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943,279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40"/>
              <w:spacing w:after="0"/>
              <w:rPr>
                <w:sz w:val="20"/>
                <w:szCs w:val="20"/>
                <w:color w:val="auto"/>
              </w:rPr>
            </w:pPr>
            <w:r>
              <w:rPr>
                <w:rFonts w:ascii="Arial" w:cs="Arial" w:eastAsia="Arial" w:hAnsi="Arial"/>
                <w:sz w:val="18"/>
                <w:szCs w:val="18"/>
                <w:color w:val="auto"/>
              </w:rPr>
              <w:t>Patents and trademarks, net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1,228,181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1,197,700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7"/>
              </w:rPr>
              <w:t>Other</w:t>
            </w:r>
          </w:p>
        </w:tc>
        <w:tc>
          <w:tcPr>
            <w:tcW w:w="7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150,733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156,854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gridSpan w:val="2"/>
          </w:tcPr>
          <w:p>
            <w:pPr>
              <w:ind w:left="580"/>
              <w:spacing w:after="0"/>
              <w:rPr>
                <w:sz w:val="20"/>
                <w:szCs w:val="20"/>
                <w:color w:val="auto"/>
              </w:rPr>
            </w:pPr>
            <w:r>
              <w:rPr>
                <w:rFonts w:ascii="Arial" w:cs="Arial" w:eastAsia="Arial" w:hAnsi="Arial"/>
                <w:sz w:val="18"/>
                <w:szCs w:val="18"/>
                <w:color w:val="auto"/>
              </w:rPr>
              <w:t>Total other assets</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25,624,494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25,259,822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7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assets</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53,048,002</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54,057,775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1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2,139,655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2,225,029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4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Payroll and related benefits</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1,032,766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1,847,246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600"/>
              <w:spacing w:after="0"/>
              <w:rPr>
                <w:sz w:val="20"/>
                <w:szCs w:val="20"/>
                <w:color w:val="auto"/>
              </w:rPr>
            </w:pPr>
            <w:r>
              <w:rPr>
                <w:rFonts w:ascii="Arial" w:cs="Arial" w:eastAsia="Arial" w:hAnsi="Arial"/>
                <w:sz w:val="18"/>
                <w:szCs w:val="18"/>
                <w:color w:val="auto"/>
              </w:rPr>
              <w:t>Deferred joint venture royalties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288,000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102,614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3,563,035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4,466,655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120"/>
              <w:spacing w:after="0"/>
              <w:rPr>
                <w:sz w:val="20"/>
                <w:szCs w:val="20"/>
                <w:color w:val="auto"/>
              </w:rPr>
            </w:pPr>
            <w:r>
              <w:rPr>
                <w:rFonts w:ascii="Arial" w:cs="Arial" w:eastAsia="Arial" w:hAnsi="Arial"/>
                <w:sz w:val="18"/>
                <w:szCs w:val="18"/>
                <w:color w:val="auto"/>
              </w:rPr>
              <w:t>COMMITMENTS AND CONTINGENCIES (Note 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rPr>
              <w:t>EQUITY:</w:t>
            </w:r>
          </w:p>
        </w:tc>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gridSpan w:val="2"/>
          </w:tcPr>
          <w:p>
            <w:pPr>
              <w:ind w:left="440"/>
              <w:spacing w:after="0" w:line="201" w:lineRule="exact"/>
              <w:rPr>
                <w:sz w:val="20"/>
                <w:szCs w:val="20"/>
                <w:color w:val="auto"/>
              </w:rPr>
            </w:pPr>
            <w:r>
              <w:rPr>
                <w:rFonts w:ascii="Arial" w:cs="Arial" w:eastAsia="Arial" w:hAnsi="Arial"/>
                <w:sz w:val="18"/>
                <w:szCs w:val="18"/>
                <w:color w:val="auto"/>
                <w:w w:val="90"/>
              </w:rPr>
              <w:t>Common stock, $0.02 par value per share; authorized 10,000,000 shares; issued and outstanding 4,521,883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gridSpan w:val="2"/>
          </w:tcPr>
          <w:p>
            <w:pPr>
              <w:ind w:left="600"/>
              <w:spacing w:after="0"/>
              <w:rPr>
                <w:sz w:val="20"/>
                <w:szCs w:val="20"/>
                <w:color w:val="auto"/>
              </w:rPr>
            </w:pPr>
            <w:r>
              <w:rPr>
                <w:rFonts w:ascii="Arial" w:cs="Arial" w:eastAsia="Arial" w:hAnsi="Arial"/>
                <w:sz w:val="18"/>
                <w:szCs w:val="18"/>
                <w:color w:val="auto"/>
              </w:rPr>
              <w:t>and 4,504,552, respectively</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90,438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90,092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12,942,167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12,676,546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4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33,741,565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32,733,300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(loss) income</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(951,151)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253,925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3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45,823,019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45,753,863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3,661,948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3,837,257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36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49,484,967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49,591,120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53,048,002</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54,057,775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4" w:name="page5"/>
    <w:bookmarkEnd w:id="4"/>
    <w:p>
      <w:pPr>
        <w:ind w:right="4140"/>
        <w:spacing w:after="0" w:line="266"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OPERATIONS (UNAUDITED) FOR THE THREE MONTHS ENDED NOVEMBER 30,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w w:val="92"/>
              </w:rPr>
              <w:t>Three Months Ended</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w w:val="95"/>
              </w:rPr>
              <w:t>November 30, 2014</w:t>
            </w:r>
          </w:p>
        </w:tc>
        <w:tc>
          <w:tcPr>
            <w:tcW w:w="1580" w:type="dxa"/>
            <w:vAlign w:val="bottom"/>
            <w:gridSpan w:val="3"/>
          </w:tcPr>
          <w:p>
            <w:pPr>
              <w:ind w:left="100"/>
              <w:spacing w:after="0"/>
              <w:rPr>
                <w:sz w:val="20"/>
                <w:szCs w:val="20"/>
                <w:color w:val="auto"/>
              </w:rPr>
            </w:pPr>
            <w:r>
              <w:rPr>
                <w:rFonts w:ascii="Arial" w:cs="Arial" w:eastAsia="Arial" w:hAnsi="Arial"/>
                <w:sz w:val="18"/>
                <w:szCs w:val="18"/>
                <w:b w:val="1"/>
                <w:bCs w:val="1"/>
                <w:color w:val="auto"/>
                <w:w w:val="89"/>
              </w:rPr>
              <w:t>November 30, 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80"/>
              <w:spacing w:after="0"/>
              <w:rPr>
                <w:sz w:val="20"/>
                <w:szCs w:val="20"/>
                <w:color w:val="auto"/>
              </w:rPr>
            </w:pPr>
            <w:r>
              <w:rPr>
                <w:rFonts w:ascii="Arial" w:cs="Arial" w:eastAsia="Arial" w:hAnsi="Arial"/>
                <w:sz w:val="18"/>
                <w:szCs w:val="18"/>
                <w:color w:val="auto"/>
              </w:rPr>
              <w:t>Net sales, excluding joint ventures</w:t>
            </w:r>
          </w:p>
        </w:tc>
        <w:tc>
          <w:tcPr>
            <w:tcW w:w="164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6,480,991</w:t>
            </w:r>
          </w:p>
        </w:tc>
        <w:tc>
          <w:tcPr>
            <w:tcW w:w="8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5,605,018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sales, to joint ventures</w:t>
            </w:r>
          </w:p>
        </w:tc>
        <w:tc>
          <w:tcPr>
            <w:tcW w:w="12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733,104</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704,082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Pr>
          <w:p>
            <w:pPr>
              <w:ind w:left="560"/>
              <w:spacing w:after="0"/>
              <w:rPr>
                <w:sz w:val="20"/>
                <w:szCs w:val="20"/>
                <w:color w:val="auto"/>
              </w:rPr>
            </w:pPr>
            <w:r>
              <w:rPr>
                <w:rFonts w:ascii="Arial" w:cs="Arial" w:eastAsia="Arial" w:hAnsi="Arial"/>
                <w:sz w:val="18"/>
                <w:szCs w:val="18"/>
                <w:color w:val="auto"/>
              </w:rPr>
              <w:t>Total net sales</w:t>
            </w: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7,214,095</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6,309,100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00"/>
              <w:spacing w:after="0"/>
              <w:rPr>
                <w:sz w:val="20"/>
                <w:szCs w:val="20"/>
                <w:color w:val="auto"/>
              </w:rPr>
            </w:pPr>
            <w:r>
              <w:rPr>
                <w:rFonts w:ascii="Arial" w:cs="Arial" w:eastAsia="Arial" w:hAnsi="Arial"/>
                <w:sz w:val="18"/>
                <w:szCs w:val="18"/>
                <w:color w:val="auto"/>
              </w:rPr>
              <w:t>Cost of goods sold</w:t>
            </w:r>
          </w:p>
        </w:tc>
        <w:tc>
          <w:tcPr>
            <w:tcW w:w="1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4,806,611</w:t>
            </w: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89"/>
              </w:rPr>
              <w:t>4,158,031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Gross profit</w:t>
            </w: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2,407,484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2,151,069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JOINT VENTURE OPERATIONS:</w:t>
            </w: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60"/>
              <w:spacing w:after="0"/>
              <w:rPr>
                <w:sz w:val="20"/>
                <w:szCs w:val="20"/>
                <w:color w:val="auto"/>
              </w:rPr>
            </w:pPr>
            <w:r>
              <w:rPr>
                <w:rFonts w:ascii="Arial" w:cs="Arial" w:eastAsia="Arial" w:hAnsi="Arial"/>
                <w:sz w:val="18"/>
                <w:szCs w:val="18"/>
                <w:color w:val="auto"/>
              </w:rPr>
              <w:t>Equity in income of joint ventures</w:t>
            </w: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1,606,683</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1,427,748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Fees for services provided to joint ventures</w:t>
            </w:r>
          </w:p>
        </w:tc>
        <w:tc>
          <w:tcPr>
            <w:tcW w:w="12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2,133,670</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2,109,648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Pr>
          <w:p>
            <w:pPr>
              <w:ind w:left="560"/>
              <w:spacing w:after="0"/>
              <w:rPr>
                <w:sz w:val="20"/>
                <w:szCs w:val="20"/>
                <w:color w:val="auto"/>
              </w:rPr>
            </w:pPr>
            <w:r>
              <w:rPr>
                <w:rFonts w:ascii="Arial" w:cs="Arial" w:eastAsia="Arial" w:hAnsi="Arial"/>
                <w:sz w:val="18"/>
                <w:szCs w:val="18"/>
                <w:color w:val="auto"/>
              </w:rPr>
              <w:t>Total joint venture operations</w:t>
            </w: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3,740,353</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3,537,396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Selling expenses</w:t>
            </w: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1,394,887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1,318,886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60"/>
              <w:spacing w:after="0"/>
              <w:rPr>
                <w:sz w:val="20"/>
                <w:szCs w:val="20"/>
                <w:color w:val="auto"/>
              </w:rPr>
            </w:pPr>
            <w:r>
              <w:rPr>
                <w:rFonts w:ascii="Arial" w:cs="Arial" w:eastAsia="Arial" w:hAnsi="Arial"/>
                <w:sz w:val="18"/>
                <w:szCs w:val="18"/>
                <w:color w:val="auto"/>
              </w:rPr>
              <w:t>General and administrative expenses</w:t>
            </w: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1,538,262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1,387,496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Expenses incurred in support of joint ventures</w:t>
            </w: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527,117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329,264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tcPr>
          <w:p>
            <w:pPr>
              <w:ind w:left="260"/>
              <w:spacing w:after="0"/>
              <w:rPr>
                <w:sz w:val="20"/>
                <w:szCs w:val="20"/>
                <w:color w:val="auto"/>
              </w:rPr>
            </w:pPr>
            <w:r>
              <w:rPr>
                <w:rFonts w:ascii="Arial" w:cs="Arial" w:eastAsia="Arial" w:hAnsi="Arial"/>
                <w:sz w:val="18"/>
                <w:szCs w:val="18"/>
                <w:color w:val="auto"/>
              </w:rPr>
              <w:t>Research and development expenses</w:t>
            </w:r>
          </w:p>
        </w:tc>
        <w:tc>
          <w:tcPr>
            <w:tcW w:w="1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1,049,913</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89"/>
              </w:rPr>
              <w:t>1,138,520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operating expenses</w:t>
            </w: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4,510,179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4,174,166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1,637,658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1,514,299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15,127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INTEREST EXPENSE</w:t>
            </w:r>
          </w:p>
        </w:tc>
        <w:tc>
          <w:tcPr>
            <w:tcW w:w="1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(5,005)</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(13,670)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1,647,780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1,502,418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INCOME TAX EXPENSE</w:t>
            </w:r>
          </w:p>
        </w:tc>
        <w:tc>
          <w:tcPr>
            <w:tcW w:w="1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183,684</w:t>
            </w: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198,000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1,464,096</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1,304,418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455,831</w:t>
            </w: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445,832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NET INCOME ATTRIBUTABLE TO NTIC</w:t>
            </w:r>
          </w:p>
        </w:tc>
        <w:tc>
          <w:tcPr>
            <w:tcW w:w="164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1,008,265</w:t>
            </w:r>
          </w:p>
        </w:tc>
        <w:tc>
          <w:tcPr>
            <w:tcW w:w="8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858,586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NET INCOME ATTRIBUTABLE TO NTIC PER COMMON SHARE:</w:t>
            </w: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6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0.22</w:t>
            </w: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Arial" w:cs="Arial" w:eastAsia="Arial" w:hAnsi="Arial"/>
                <w:sz w:val="18"/>
                <w:szCs w:val="18"/>
                <w:color w:val="auto"/>
              </w:rPr>
              <w:t>Diluted</w:t>
            </w:r>
          </w:p>
        </w:tc>
        <w:tc>
          <w:tcPr>
            <w:tcW w:w="164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0.22</w:t>
            </w:r>
          </w:p>
        </w:tc>
        <w:tc>
          <w:tcPr>
            <w:tcW w:w="8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WEIGHTED AVERAGE COMMON SHARES ASSUMED OUTSTANDING:</w:t>
            </w: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4,518,973</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4,434,770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Arial" w:cs="Arial" w:eastAsia="Arial" w:hAnsi="Arial"/>
                <w:sz w:val="18"/>
                <w:szCs w:val="18"/>
                <w:color w:val="auto"/>
              </w:rPr>
              <w:t>Diluted</w:t>
            </w:r>
          </w:p>
        </w:tc>
        <w:tc>
          <w:tcPr>
            <w:tcW w:w="1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4,659,621</w:t>
            </w: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89"/>
              </w:rPr>
              <w:t>4,552,669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ind w:right="4140"/>
        <w:spacing w:after="0" w:line="266"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COMPRENSIVE INCOME (LOSS) (UNAUDITED) FOR THE THREE MONTHS ENDED NOVEMBER 30,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920" w:type="dxa"/>
            <w:vAlign w:val="bottom"/>
          </w:tcPr>
          <w:p>
            <w:pPr>
              <w:spacing w:after="0"/>
              <w:rPr>
                <w:sz w:val="16"/>
                <w:szCs w:val="16"/>
                <w:color w:val="auto"/>
              </w:rPr>
            </w:pPr>
          </w:p>
        </w:tc>
        <w:tc>
          <w:tcPr>
            <w:tcW w:w="11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8"/>
              </w:rPr>
              <w:t>November 30,</w:t>
            </w:r>
          </w:p>
        </w:tc>
        <w:tc>
          <w:tcPr>
            <w:tcW w:w="120" w:type="dxa"/>
            <w:vAlign w:val="bottom"/>
          </w:tcPr>
          <w:p>
            <w:pPr>
              <w:spacing w:after="0"/>
              <w:rPr>
                <w:sz w:val="16"/>
                <w:szCs w:val="16"/>
                <w:color w:val="auto"/>
              </w:rPr>
            </w:pPr>
          </w:p>
        </w:tc>
        <w:tc>
          <w:tcPr>
            <w:tcW w:w="11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8"/>
              </w:rPr>
              <w:t>November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1,464,096</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1,304,418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OTHER COMPREHENSIVE (LOSS) INCOME – FOREIGN CURRENCY TRANSLATION ADJUSTMENT</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(1,276,216)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521,573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187,880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1,825,991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384,691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458,599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COMPREHENSIVE (LOSS) INCOME ATTRIBUTABLE TO NTIC</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(196,811)</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1,367,392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 w:name="page7"/>
    <w:bookmarkEnd w:id="6"/>
    <w:p>
      <w:pPr>
        <w:ind w:right="4140"/>
        <w:spacing w:after="0" w:line="266"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CASH FLOWS (UNAUDITED) THREE MONTHS ENDED NOVEMBER 30,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920" w:type="dxa"/>
            <w:vAlign w:val="bottom"/>
          </w:tcPr>
          <w:p>
            <w:pPr>
              <w:spacing w:after="0"/>
              <w:rPr>
                <w:sz w:val="16"/>
                <w:szCs w:val="16"/>
                <w:color w:val="auto"/>
              </w:rPr>
            </w:pPr>
          </w:p>
        </w:tc>
        <w:tc>
          <w:tcPr>
            <w:tcW w:w="11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8"/>
              </w:rPr>
              <w:t>November 30,</w:t>
            </w:r>
          </w:p>
        </w:tc>
        <w:tc>
          <w:tcPr>
            <w:tcW w:w="120" w:type="dxa"/>
            <w:vAlign w:val="bottom"/>
          </w:tcPr>
          <w:p>
            <w:pPr>
              <w:spacing w:after="0"/>
              <w:rPr>
                <w:sz w:val="16"/>
                <w:szCs w:val="16"/>
                <w:color w:val="auto"/>
              </w:rPr>
            </w:pPr>
          </w:p>
        </w:tc>
        <w:tc>
          <w:tcPr>
            <w:tcW w:w="11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8"/>
              </w:rPr>
              <w:t>November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1,464,096</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1,304,418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143,897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127,927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Depreciation expense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117,690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500"/>
              <w:spacing w:after="0"/>
              <w:rPr>
                <w:sz w:val="20"/>
                <w:szCs w:val="20"/>
                <w:color w:val="auto"/>
              </w:rPr>
            </w:pPr>
            <w:r>
              <w:rPr>
                <w:rFonts w:ascii="Arial" w:cs="Arial" w:eastAsia="Arial" w:hAnsi="Arial"/>
                <w:sz w:val="18"/>
                <w:szCs w:val="18"/>
                <w:color w:val="auto"/>
              </w:rPr>
              <w:t>Amortization expense</w:t>
            </w:r>
          </w:p>
        </w:tc>
        <w:tc>
          <w:tcPr>
            <w:tcW w:w="2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21,916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on disposal of assets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500"/>
              <w:spacing w:after="0"/>
              <w:rPr>
                <w:sz w:val="20"/>
                <w:szCs w:val="20"/>
                <w:color w:val="auto"/>
              </w:rPr>
            </w:pPr>
            <w:r>
              <w:rPr>
                <w:rFonts w:ascii="Arial" w:cs="Arial" w:eastAsia="Arial" w:hAnsi="Arial"/>
                <w:sz w:val="18"/>
                <w:szCs w:val="18"/>
                <w:color w:val="auto"/>
              </w:rPr>
              <w:t>Loss on impairment of joint venture</w:t>
            </w:r>
          </w:p>
        </w:tc>
        <w:tc>
          <w:tcPr>
            <w:tcW w:w="2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Equity in income from joint ventures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(1,606,683)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rPr>
              <w:t>Increase in allowance for doubtful accounts</w:t>
            </w:r>
          </w:p>
        </w:tc>
        <w:tc>
          <w:tcPr>
            <w:tcW w:w="2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current assets and liabilities: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660"/>
              <w:spacing w:after="0"/>
              <w:rPr>
                <w:sz w:val="20"/>
                <w:szCs w:val="20"/>
                <w:color w:val="auto"/>
              </w:rPr>
            </w:pPr>
            <w:r>
              <w:rPr>
                <w:rFonts w:ascii="Arial" w:cs="Arial" w:eastAsia="Arial" w:hAnsi="Arial"/>
                <w:sz w:val="18"/>
                <w:szCs w:val="18"/>
                <w:color w:val="auto"/>
              </w:rPr>
              <w:t>Receivables: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Trade, excluding joint ventures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163,824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820"/>
              <w:spacing w:after="0"/>
              <w:rPr>
                <w:sz w:val="20"/>
                <w:szCs w:val="20"/>
                <w:color w:val="auto"/>
              </w:rPr>
            </w:pPr>
            <w:r>
              <w:rPr>
                <w:rFonts w:ascii="Arial" w:cs="Arial" w:eastAsia="Arial" w:hAnsi="Arial"/>
                <w:sz w:val="18"/>
                <w:szCs w:val="18"/>
                <w:color w:val="auto"/>
              </w:rPr>
              <w:t>Trade, joint ventures</w:t>
            </w:r>
          </w:p>
        </w:tc>
        <w:tc>
          <w:tcPr>
            <w:tcW w:w="2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398,572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112,869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Fees for services provided to joint ventures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82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(154,937)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52,837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276,298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680"/>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(338,643)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546,639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680"/>
              <w:spacing w:after="0"/>
              <w:rPr>
                <w:sz w:val="20"/>
                <w:szCs w:val="20"/>
                <w:color w:val="auto"/>
              </w:rPr>
            </w:pPr>
            <w:r>
              <w:rPr>
                <w:rFonts w:ascii="Arial" w:cs="Arial" w:eastAsia="Arial" w:hAnsi="Arial"/>
                <w:sz w:val="18"/>
                <w:szCs w:val="18"/>
                <w:color w:val="auto"/>
              </w:rPr>
              <w:t>Income tax payable</w:t>
            </w:r>
          </w:p>
        </w:tc>
        <w:tc>
          <w:tcPr>
            <w:tcW w:w="2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10,821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(804,762)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203,699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Pr>
          <w:p>
            <w:pPr>
              <w:ind w:left="82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(469,762)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received from joint ventures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85,641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Additions to property and equipment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(470,711)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the sale of available for sale securities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1,495,167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Additions to patents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(52,397)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1,057,700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Repayment of note payable</w:t>
            </w:r>
          </w:p>
        </w:tc>
        <w:tc>
          <w:tcPr>
            <w:tcW w:w="2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 received by non-controlling interest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Proceeds from employee stock purchase plan</w:t>
            </w:r>
          </w:p>
        </w:tc>
        <w:tc>
          <w:tcPr>
            <w:tcW w:w="2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22,620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99,450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Pr>
          <w:p>
            <w:pPr>
              <w:ind w:left="820"/>
              <w:spacing w:after="0"/>
              <w:rPr>
                <w:sz w:val="20"/>
                <w:szCs w:val="20"/>
                <w:color w:val="auto"/>
              </w:rPr>
            </w:pPr>
            <w:r>
              <w:rPr>
                <w:rFonts w:ascii="Arial" w:cs="Arial" w:eastAsia="Arial" w:hAnsi="Arial"/>
                <w:sz w:val="18"/>
                <w:szCs w:val="18"/>
                <w:color w:val="auto"/>
              </w:rPr>
              <w:t>Net cash (used in) provided by financing activities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(437,930)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121,722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2,477,017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4,314,258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2,598,739</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3,907,371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920" w:type="dxa"/>
            <w:vAlign w:val="bottom"/>
            <w:vMerge w:val="restart"/>
          </w:tcPr>
          <w:p>
            <w:pPr>
              <w:jc w:val="center"/>
              <w:ind w:left="2370"/>
              <w:spacing w:after="0"/>
              <w:rPr>
                <w:sz w:val="20"/>
                <w:szCs w:val="20"/>
                <w:color w:val="auto"/>
              </w:rPr>
            </w:pPr>
            <w:r>
              <w:rPr>
                <w:rFonts w:ascii="Arial" w:cs="Arial" w:eastAsia="Arial" w:hAnsi="Arial"/>
                <w:sz w:val="18"/>
                <w:szCs w:val="18"/>
                <w:color w:val="auto"/>
                <w:w w:val="88"/>
              </w:rPr>
              <w:t>See notes to consolidated financial statements.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9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8940" w:type="dxa"/>
            <w:vAlign w:val="bottom"/>
            <w:gridSpan w:val="2"/>
          </w:tcPr>
          <w:p>
            <w:pPr>
              <w:jc w:val="right"/>
              <w:ind w:right="309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9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ind w:right="4140"/>
        <w:spacing w:after="0" w:line="282" w:lineRule="auto"/>
        <w:rPr>
          <w:sz w:val="20"/>
          <w:szCs w:val="20"/>
          <w:color w:val="auto"/>
        </w:rPr>
      </w:pPr>
      <w:r>
        <w:rPr>
          <w:rFonts w:ascii="Arial" w:cs="Arial" w:eastAsia="Arial" w:hAnsi="Arial"/>
          <w:sz w:val="18"/>
          <w:szCs w:val="18"/>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8"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November 30, 2014 and August 31, 2014 and the results of their operations for the three months ended November 30, 2014 and 2013 and their cash flows for the three months ended November 30, 2014 and 2013, in conformity with accounting principles generally accepted in the United States of America (U.S. GAAP).</w:t>
      </w:r>
    </w:p>
    <w:p>
      <w:pPr>
        <w:spacing w:after="0" w:line="215" w:lineRule="exact"/>
        <w:rPr>
          <w:sz w:val="20"/>
          <w:szCs w:val="20"/>
          <w:color w:val="auto"/>
        </w:rPr>
      </w:pPr>
    </w:p>
    <w:p>
      <w:pPr>
        <w:jc w:val="both"/>
        <w:ind w:right="860"/>
        <w:spacing w:after="0" w:line="312" w:lineRule="auto"/>
        <w:rPr>
          <w:sz w:val="20"/>
          <w:szCs w:val="20"/>
          <w:color w:val="auto"/>
        </w:rPr>
      </w:pPr>
      <w:r>
        <w:rPr>
          <w:rFonts w:ascii="Arial" w:cs="Arial" w:eastAsia="Arial" w:hAnsi="Arial"/>
          <w:sz w:val="16"/>
          <w:szCs w:val="16"/>
          <w:color w:val="auto"/>
        </w:rPr>
        <w:t>These consolidated financial statements should be read in conjunction with the consolidated financial statements and related notes contained in the Company’s annual report on Form 10-K for the fiscal year ended August 31, 2014. These consolidated financial statements also should be read in conjunction with the “Management’s Discussion and Analysis of Financial Condition and Results of Operations” section appearing in this report.</w:t>
      </w:r>
    </w:p>
    <w:p>
      <w:pPr>
        <w:spacing w:after="0" w:line="17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Operating results for the three months ended November 30, 2014 are not necessarily indicative of the results that may be expected for the full fiscal year ending August 31, 2015.</w:t>
      </w:r>
    </w:p>
    <w:p>
      <w:pPr>
        <w:spacing w:after="0" w:line="1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evaluates events occurring after the date of the consolidated financial statements requiring recording or disclosure in the consolidated financial statements.</w:t>
      </w:r>
    </w:p>
    <w:p>
      <w:pPr>
        <w:spacing w:after="0" w:line="193"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w:t>
      </w:r>
    </w:p>
    <w:p>
      <w:pPr>
        <w:spacing w:after="0" w:line="25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May 2014, the Financial Accounting Standards Board (FASB) issued revised guidance on revenue recognition. The standard provides a single revenue recognition model which is intended to improve comparability over a range of industries, companies and geographical boundaries and will also result in enhanced disclosures. The changes are effective for the Company’s fiscal year ended August 31, 2017, and interim periods within that year. The Company is currently reviewing the revised guidance and assessing the potential impact on its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3.</w:t>
            </w:r>
          </w:p>
        </w:tc>
        <w:tc>
          <w:tcPr>
            <w:tcW w:w="5200" w:type="dxa"/>
            <w:vAlign w:val="bottom"/>
          </w:tcPr>
          <w:p>
            <w:pPr>
              <w:ind w:left="240"/>
              <w:spacing w:after="0"/>
              <w:rPr>
                <w:sz w:val="20"/>
                <w:szCs w:val="20"/>
                <w:color w:val="auto"/>
              </w:rPr>
            </w:pPr>
            <w:r>
              <w:rPr>
                <w:rFonts w:ascii="Arial" w:cs="Arial" w:eastAsia="Arial" w:hAnsi="Arial"/>
                <w:sz w:val="18"/>
                <w:szCs w:val="18"/>
                <w:b w:val="1"/>
                <w:bCs w:val="1"/>
                <w:color w:val="auto"/>
              </w:rPr>
              <w:t>INVENTORIES</w:t>
            </w:r>
          </w:p>
        </w:tc>
        <w:tc>
          <w:tcPr>
            <w:tcW w:w="2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9"/>
        </w:trPr>
        <w:tc>
          <w:tcPr>
            <w:tcW w:w="560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2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59"/>
        </w:trPr>
        <w:tc>
          <w:tcPr>
            <w:tcW w:w="4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89"/>
              </w:rPr>
              <w:t>November 30, 2014</w:t>
            </w:r>
          </w:p>
        </w:tc>
        <w:tc>
          <w:tcPr>
            <w:tcW w:w="1440" w:type="dxa"/>
            <w:vAlign w:val="bottom"/>
            <w:gridSpan w:val="3"/>
          </w:tcPr>
          <w:p>
            <w:pPr>
              <w:ind w:left="120"/>
              <w:spacing w:after="0"/>
              <w:rPr>
                <w:sz w:val="20"/>
                <w:szCs w:val="20"/>
                <w:color w:val="auto"/>
              </w:rPr>
            </w:pPr>
            <w:r>
              <w:rPr>
                <w:rFonts w:ascii="Arial" w:cs="Arial" w:eastAsia="Arial" w:hAnsi="Arial"/>
                <w:sz w:val="18"/>
                <w:szCs w:val="18"/>
                <w:b w:val="1"/>
                <w:bCs w:val="1"/>
                <w:color w:val="auto"/>
                <w:w w:val="94"/>
              </w:rPr>
              <w:t>August 31, 2014</w:t>
            </w:r>
          </w:p>
        </w:tc>
      </w:tr>
      <w:tr>
        <w:trPr>
          <w:trHeight w:val="20"/>
        </w:trPr>
        <w:tc>
          <w:tcPr>
            <w:tcW w:w="4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10"/>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28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1,318,661</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1,242,649</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28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4,321,367</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4,718,750</w:t>
            </w:r>
          </w:p>
        </w:tc>
      </w:tr>
      <w:tr>
        <w:trPr>
          <w:trHeight w:val="230"/>
        </w:trPr>
        <w:tc>
          <w:tcPr>
            <w:tcW w:w="400" w:type="dxa"/>
            <w:vAlign w:val="bottom"/>
            <w:shd w:val="clear" w:color="auto" w:fill="CCEEFF"/>
          </w:tcPr>
          <w:p>
            <w:pPr>
              <w:spacing w:after="0"/>
              <w:rPr>
                <w:sz w:val="20"/>
                <w:szCs w:val="20"/>
                <w:color w:val="auto"/>
              </w:rPr>
            </w:pPr>
          </w:p>
        </w:tc>
        <w:tc>
          <w:tcPr>
            <w:tcW w:w="52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5,640,028</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5,961,399</w:t>
            </w: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Arial" w:cs="Arial" w:eastAsia="Arial" w:hAnsi="Arial"/>
                <w:sz w:val="18"/>
                <w:szCs w:val="18"/>
                <w:b w:val="1"/>
                <w:bCs w:val="1"/>
                <w:color w:val="auto"/>
              </w:rPr>
              <w:t>4.</w:t>
            </w:r>
          </w:p>
        </w:tc>
        <w:tc>
          <w:tcPr>
            <w:tcW w:w="8300" w:type="dxa"/>
            <w:vAlign w:val="bottom"/>
            <w:gridSpan w:val="2"/>
          </w:tcPr>
          <w:p>
            <w:pPr>
              <w:ind w:left="140"/>
              <w:spacing w:after="0"/>
              <w:rPr>
                <w:sz w:val="20"/>
                <w:szCs w:val="20"/>
                <w:color w:val="auto"/>
              </w:rPr>
            </w:pPr>
            <w:r>
              <w:rPr>
                <w:rFonts w:ascii="Arial" w:cs="Arial" w:eastAsia="Arial" w:hAnsi="Arial"/>
                <w:sz w:val="18"/>
                <w:szCs w:val="18"/>
                <w:b w:val="1"/>
                <w:bCs w:val="1"/>
                <w:color w:val="auto"/>
              </w:rPr>
              <w:t>PROPERTY AND EQUIPMENT, NET</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800" w:type="dxa"/>
            <w:vAlign w:val="bottom"/>
            <w:gridSpan w:val="3"/>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w w:val="95"/>
              </w:rPr>
              <w:t>November 30, 2014</w:t>
            </w:r>
          </w:p>
        </w:tc>
        <w:tc>
          <w:tcPr>
            <w:tcW w:w="1440" w:type="dxa"/>
            <w:vAlign w:val="bottom"/>
            <w:gridSpan w:val="3"/>
          </w:tcPr>
          <w:p>
            <w:pPr>
              <w:ind w:left="120"/>
              <w:spacing w:after="0"/>
              <w:rPr>
                <w:sz w:val="20"/>
                <w:szCs w:val="20"/>
                <w:color w:val="auto"/>
              </w:rPr>
            </w:pPr>
            <w:r>
              <w:rPr>
                <w:rFonts w:ascii="Arial" w:cs="Arial" w:eastAsia="Arial" w:hAnsi="Arial"/>
                <w:sz w:val="18"/>
                <w:szCs w:val="18"/>
                <w:b w:val="1"/>
                <w:bCs w:val="1"/>
                <w:color w:val="auto"/>
                <w:w w:val="94"/>
              </w:rPr>
              <w:t>August 31, 2014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7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0" w:type="dxa"/>
            <w:vAlign w:val="bottom"/>
          </w:tcPr>
          <w:p>
            <w:pPr>
              <w:spacing w:after="0"/>
              <w:rPr>
                <w:sz w:val="1"/>
                <w:szCs w:val="1"/>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Buildings and improvements</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5,938,436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5,695,268</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3,675,552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3,713,145</w:t>
            </w:r>
          </w:p>
        </w:tc>
        <w:tc>
          <w:tcPr>
            <w:tcW w:w="0" w:type="dxa"/>
            <w:vAlign w:val="bottom"/>
          </w:tcPr>
          <w:p>
            <w:pPr>
              <w:spacing w:after="0"/>
              <w:rPr>
                <w:sz w:val="1"/>
                <w:szCs w:val="1"/>
                <w:color w:val="auto"/>
              </w:rPr>
            </w:pPr>
          </w:p>
        </w:tc>
      </w:tr>
      <w:tr>
        <w:trPr>
          <w:trHeight w:val="210"/>
        </w:trPr>
        <w:tc>
          <w:tcPr>
            <w:tcW w:w="500" w:type="dxa"/>
            <w:vAlign w:val="bottom"/>
            <w:tcBorders>
              <w:top w:val="single" w:sz="8" w:color="CCEEFF"/>
            </w:tcBorders>
          </w:tcPr>
          <w:p>
            <w:pPr>
              <w:spacing w:after="0"/>
              <w:rPr>
                <w:sz w:val="18"/>
                <w:szCs w:val="18"/>
                <w:color w:val="auto"/>
              </w:rPr>
            </w:pPr>
          </w:p>
        </w:tc>
        <w:tc>
          <w:tcPr>
            <w:tcW w:w="79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9,924,353</w:t>
            </w: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9,718,778</w:t>
            </w:r>
          </w:p>
        </w:tc>
        <w:tc>
          <w:tcPr>
            <w:tcW w:w="0" w:type="dxa"/>
            <w:vAlign w:val="bottom"/>
          </w:tcPr>
          <w:p>
            <w:pPr>
              <w:spacing w:after="0"/>
              <w:rPr>
                <w:sz w:val="1"/>
                <w:szCs w:val="1"/>
                <w:color w:val="auto"/>
              </w:rPr>
            </w:pPr>
          </w:p>
        </w:tc>
      </w:tr>
      <w:tr>
        <w:trPr>
          <w:trHeight w:val="216"/>
        </w:trPr>
        <w:tc>
          <w:tcPr>
            <w:tcW w:w="8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(3,121,211)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(3,240,791)</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8300" w:type="dxa"/>
            <w:vAlign w:val="bottom"/>
            <w:gridSpan w:val="2"/>
          </w:tcPr>
          <w:p>
            <w:pPr>
              <w:ind w:left="79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6,803,143</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6,477,987</w:t>
            </w: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7900" w:type="dxa"/>
            <w:vAlign w:val="bottom"/>
            <w:vMerge w:val="restart"/>
          </w:tcPr>
          <w:p>
            <w:pPr>
              <w:jc w:val="right"/>
              <w:ind w:right="2550"/>
              <w:spacing w:after="0"/>
              <w:rPr>
                <w:sz w:val="20"/>
                <w:szCs w:val="20"/>
                <w:color w:val="auto"/>
              </w:rPr>
            </w:pPr>
            <w:r>
              <w:rPr>
                <w:rFonts w:ascii="Arial" w:cs="Arial" w:eastAsia="Arial" w:hAnsi="Arial"/>
                <w:sz w:val="18"/>
                <w:szCs w:val="18"/>
                <w:color w:val="auto"/>
              </w:rPr>
              <w:t>5</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500" w:type="dxa"/>
            <w:vAlign w:val="bottom"/>
          </w:tcPr>
          <w:p>
            <w:pPr>
              <w:spacing w:after="0"/>
              <w:rPr>
                <w:sz w:val="24"/>
                <w:szCs w:val="24"/>
                <w:color w:val="auto"/>
              </w:rPr>
            </w:pPr>
          </w:p>
        </w:tc>
        <w:tc>
          <w:tcPr>
            <w:tcW w:w="79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00" w:type="dxa"/>
            <w:vAlign w:val="bottom"/>
          </w:tcPr>
          <w:p>
            <w:pPr>
              <w:spacing w:after="0"/>
              <w:rPr>
                <w:sz w:val="9"/>
                <w:szCs w:val="9"/>
                <w:color w:val="auto"/>
              </w:rPr>
            </w:pPr>
          </w:p>
        </w:tc>
        <w:tc>
          <w:tcPr>
            <w:tcW w:w="7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0" w:type="dxa"/>
            <w:vAlign w:val="bottom"/>
            <w:shd w:val="clear" w:color="auto" w:fill="808080"/>
          </w:tcPr>
          <w:p>
            <w:pPr>
              <w:spacing w:after="0"/>
              <w:rPr>
                <w:sz w:val="5"/>
                <w:szCs w:val="5"/>
                <w:color w:val="auto"/>
              </w:rPr>
            </w:pPr>
          </w:p>
        </w:tc>
        <w:tc>
          <w:tcPr>
            <w:tcW w:w="790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5.</w:t>
            </w:r>
          </w:p>
        </w:tc>
        <w:tc>
          <w:tcPr>
            <w:tcW w:w="5780" w:type="dxa"/>
            <w:vAlign w:val="bottom"/>
          </w:tcPr>
          <w:p>
            <w:pPr>
              <w:ind w:left="240"/>
              <w:spacing w:after="0"/>
              <w:rPr>
                <w:sz w:val="20"/>
                <w:szCs w:val="20"/>
                <w:color w:val="auto"/>
              </w:rPr>
            </w:pPr>
            <w:r>
              <w:rPr>
                <w:rFonts w:ascii="Arial" w:cs="Arial" w:eastAsia="Arial" w:hAnsi="Arial"/>
                <w:sz w:val="18"/>
                <w:szCs w:val="18"/>
                <w:b w:val="1"/>
                <w:bCs w:val="1"/>
                <w:color w:val="auto"/>
              </w:rPr>
              <w:t>PATENTS AND TRADEMARKS, NET</w:t>
            </w:r>
          </w:p>
        </w:tc>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9"/>
        </w:trPr>
        <w:tc>
          <w:tcPr>
            <w:tcW w:w="6180" w:type="dxa"/>
            <w:vAlign w:val="bottom"/>
            <w:gridSpan w:val="2"/>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2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59"/>
        </w:trPr>
        <w:tc>
          <w:tcPr>
            <w:tcW w:w="40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w w:val="95"/>
              </w:rPr>
              <w:t>November 30, 2014</w:t>
            </w:r>
          </w:p>
        </w:tc>
        <w:tc>
          <w:tcPr>
            <w:tcW w:w="1440" w:type="dxa"/>
            <w:vAlign w:val="bottom"/>
            <w:gridSpan w:val="3"/>
          </w:tcPr>
          <w:p>
            <w:pPr>
              <w:ind w:left="120"/>
              <w:spacing w:after="0"/>
              <w:rPr>
                <w:sz w:val="20"/>
                <w:szCs w:val="20"/>
                <w:color w:val="auto"/>
              </w:rPr>
            </w:pPr>
            <w:r>
              <w:rPr>
                <w:rFonts w:ascii="Arial" w:cs="Arial" w:eastAsia="Arial" w:hAnsi="Arial"/>
                <w:sz w:val="18"/>
                <w:szCs w:val="18"/>
                <w:b w:val="1"/>
                <w:bCs w:val="1"/>
                <w:color w:val="auto"/>
                <w:w w:val="94"/>
              </w:rPr>
              <w:t>August 31, 2014</w:t>
            </w:r>
          </w:p>
        </w:tc>
      </w:tr>
      <w:tr>
        <w:trPr>
          <w:trHeight w:val="20"/>
        </w:trPr>
        <w:tc>
          <w:tcPr>
            <w:tcW w:w="4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10"/>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2,340,237</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2,287,840</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2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(1,112,056)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(1,090,140)</w:t>
            </w:r>
          </w:p>
        </w:tc>
      </w:tr>
      <w:tr>
        <w:trPr>
          <w:trHeight w:val="230"/>
        </w:trPr>
        <w:tc>
          <w:tcPr>
            <w:tcW w:w="400" w:type="dxa"/>
            <w:vAlign w:val="bottom"/>
            <w:shd w:val="clear" w:color="auto" w:fill="CCEEFF"/>
          </w:tcPr>
          <w:p>
            <w:pPr>
              <w:spacing w:after="0"/>
              <w:rPr>
                <w:sz w:val="20"/>
                <w:szCs w:val="20"/>
                <w:color w:val="auto"/>
              </w:rPr>
            </w:pPr>
          </w:p>
        </w:tc>
        <w:tc>
          <w:tcPr>
            <w:tcW w:w="578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1,228,181</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1,197,700</w:t>
            </w: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57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approximate $80,000 in each of the next five fiscal years.</w:t>
      </w:r>
    </w:p>
    <w:p>
      <w:pPr>
        <w:spacing w:after="0" w:line="204"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56" w:lineRule="exact"/>
        <w:rPr>
          <w:sz w:val="20"/>
          <w:szCs w:val="20"/>
          <w:color w:val="auto"/>
        </w:rPr>
      </w:pPr>
    </w:p>
    <w:p>
      <w:pPr>
        <w:ind w:right="620"/>
        <w:spacing w:after="0" w:line="302" w:lineRule="auto"/>
        <w:rPr>
          <w:sz w:val="20"/>
          <w:szCs w:val="20"/>
          <w:color w:val="auto"/>
        </w:rPr>
      </w:pPr>
      <w:r>
        <w:rPr>
          <w:rFonts w:ascii="Arial" w:cs="Arial" w:eastAsia="Arial" w:hAnsi="Arial"/>
          <w:sz w:val="16"/>
          <w:szCs w:val="16"/>
          <w:color w:val="auto"/>
        </w:rPr>
        <w:t>The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accounting principles generally accepted in the United States of America in all material respects. All material profits recorded on sales from the Company to its joint ventures have been eliminated for financial reporting purposes.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Financial information from the audited and unaudited financial statements of the Company’s joint venture in Germany, Excor Korrosionsschutz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Technologien und Produkte GmbH (EXCOR), joint venture in China and all of the Company’s other joint ventures, are summarized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9"/>
              </w:rPr>
              <w:t>At November 30, 2014</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10"/>
        </w:trPr>
        <w:tc>
          <w:tcPr>
            <w:tcW w:w="6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China</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$ 63,676,926</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5"/>
              </w:rPr>
              <w:t>$ 25,235,772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10,271,450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28,169,704</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Total assets</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67,341,357</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27,164,361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10,289,207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29,887,789</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18,187,978</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3,334,169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4,665,093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10,188,716</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2,497,563</w:t>
            </w:r>
          </w:p>
        </w:tc>
        <w:tc>
          <w:tcPr>
            <w:tcW w:w="1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868,779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1,628,784</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46,655,816</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23,830,192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4,755,335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18,070,289</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23,302,301</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11,915,098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2,377,668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9,009,535</w:t>
            </w:r>
          </w:p>
        </w:tc>
      </w:tr>
      <w:tr>
        <w:trPr>
          <w:trHeight w:val="202"/>
        </w:trPr>
        <w:tc>
          <w:tcPr>
            <w:tcW w:w="6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Northern Technologies International Corporation’s share of joint ventures’ undistributed</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$ 21,178,153</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5"/>
              </w:rPr>
              <w:t>$ 11,884,193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2,327,668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6,966,292</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At August 31, 2014</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10"/>
        </w:trPr>
        <w:tc>
          <w:tcPr>
            <w:tcW w:w="6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EXCOR</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China</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$ 61,491,957</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5"/>
              </w:rPr>
              <w:t>$ 24,361,157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9,774,680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27,356,120</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Total assets</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65,466,964</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26,652,165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9,793,803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29,020,996</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17,542,634</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3,512,143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4,438,380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9,592,111</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1,929,488</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868,377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1,061,111</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45,994,842</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23,140,022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4,487,046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18,367,775</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22,961,989</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11,570,013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2,243,524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9,148,452</w:t>
            </w:r>
          </w:p>
        </w:tc>
      </w:tr>
      <w:tr>
        <w:trPr>
          <w:trHeight w:val="202"/>
        </w:trPr>
        <w:tc>
          <w:tcPr>
            <w:tcW w:w="6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Northern Technologies International Corporation’s share of joint ventures’ undistributed</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$ 20,540,523</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5"/>
              </w:rPr>
              <w:t>$ 11,539,108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2,193,524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6,807,891</w:t>
            </w:r>
          </w:p>
        </w:tc>
      </w:tr>
      <w:tr>
        <w:trPr>
          <w:trHeight w:val="608"/>
        </w:trPr>
        <w:tc>
          <w:tcPr>
            <w:tcW w:w="6680" w:type="dxa"/>
            <w:vAlign w:val="bottom"/>
          </w:tcPr>
          <w:p>
            <w:pPr>
              <w:ind w:left="566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05"/>
        </w:trPr>
        <w:tc>
          <w:tcPr>
            <w:tcW w:w="6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61"/>
        </w:trPr>
        <w:tc>
          <w:tcPr>
            <w:tcW w:w="66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10"/>
          </w:tcPr>
          <w:p>
            <w:pPr>
              <w:jc w:val="right"/>
              <w:ind w:right="610"/>
              <w:spacing w:after="0"/>
              <w:rPr>
                <w:sz w:val="20"/>
                <w:szCs w:val="20"/>
                <w:color w:val="auto"/>
              </w:rPr>
            </w:pPr>
            <w:r>
              <w:rPr>
                <w:rFonts w:ascii="Arial" w:cs="Arial" w:eastAsia="Arial" w:hAnsi="Arial"/>
                <w:sz w:val="18"/>
                <w:szCs w:val="18"/>
                <w:b w:val="1"/>
                <w:bCs w:val="1"/>
                <w:color w:val="auto"/>
              </w:rPr>
              <w:t>Three Months Ended November 30, 2014</w:t>
            </w:r>
          </w:p>
        </w:tc>
      </w:tr>
      <w:tr>
        <w:trPr>
          <w:trHeight w:val="210"/>
        </w:trPr>
        <w:tc>
          <w:tcPr>
            <w:tcW w:w="6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EXCOR</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China</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29,120,852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9,524,270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3,735,457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15,861,125</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14,035,784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4,974,751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1,783,673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7,277,360</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3,184,570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1,956,191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265,648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962,731</w:t>
            </w: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w w:val="93"/>
              </w:rPr>
              <w:t>Northern Technologies International Corporation’s share of equity in income of joint ventures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1,606,683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978,096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132,824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495,763</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gridSpan w:val="10"/>
          </w:tcPr>
          <w:p>
            <w:pPr>
              <w:jc w:val="right"/>
              <w:ind w:right="630"/>
              <w:spacing w:after="0"/>
              <w:rPr>
                <w:sz w:val="20"/>
                <w:szCs w:val="20"/>
                <w:color w:val="auto"/>
              </w:rPr>
            </w:pPr>
            <w:r>
              <w:rPr>
                <w:rFonts w:ascii="Arial" w:cs="Arial" w:eastAsia="Arial" w:hAnsi="Arial"/>
                <w:sz w:val="18"/>
                <w:szCs w:val="18"/>
                <w:b w:val="1"/>
                <w:bCs w:val="1"/>
                <w:color w:val="auto"/>
              </w:rPr>
              <w:t>Three Months Ended November 30, 2013</w:t>
            </w:r>
          </w:p>
        </w:tc>
      </w:tr>
      <w:tr>
        <w:trPr>
          <w:trHeight w:val="210"/>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EXCOR</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China</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29,661,218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9,476,403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4,294,138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15,890,677</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3"/>
              </w:rPr>
              <w:t>14,166,070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5,063,662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2,016,809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7,085,599</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2,837,565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1,853,307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298,708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685,550</w:t>
            </w: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w w:val="92"/>
              </w:rPr>
              <w:t>Northern Technologies International Corporation’s share of equity in income of joint ventures</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1,427,748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926,654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149,354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351,740</w:t>
            </w:r>
          </w:p>
        </w:tc>
      </w:tr>
    </w:tbl>
    <w:p>
      <w:pPr>
        <w:spacing w:after="0" w:line="214"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The Company records expenses that are directly attributable to the joint ventures on its consolidated statements of operations in the line item “Expenses incurred in support of joint ventures.” The expenses include items such as employee compensation and benefit expenses, travel expense and consulting expense.</w:t>
      </w:r>
    </w:p>
    <w:p>
      <w:pPr>
        <w:spacing w:after="0" w:line="20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did not make any joint venture investments during the three months ended November 30, 2014 and 2013. See note 15 for developments subsequent to period end.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On November 30, 2013, the Company agreed to sell its indirect ownership interest in Mütec GmbH (Mütec), the Company’s former joint venture in Germany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which manufactures proprietary electronic sensing instruments. Since the purchase price paid to the Company was less than the book value of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 in Mütec, the Company recognized a $50,000 impairment charge during the three months ended November 30, 2013, which is included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statements of operations in the line item “Equity income of joint ventures.” In connection with the transaction, the owner of Mütec borrowed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$168,000 from the Company to be repaid over four years with no interest. As of November 30, 2014 and August 31, 2014, $150,733 and $156,854 was due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related to this transaction.</w:t>
      </w:r>
    </w:p>
    <w:p>
      <w:pPr>
        <w:spacing w:after="0" w:line="234"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5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November 30, 2013, Northern Technologies Holding Company, LLC (NTI LLC) had a term loan with a principal amount of $914,384 outstanding that NTI LLC obtained from PNC Bank, National Association (PNC Bank) in connection with the purchase of the Company’s corporate headquarters in September 2006. This term loan was repaid in full on January 3, 2014.</w:t>
      </w:r>
    </w:p>
    <w:p>
      <w:pPr>
        <w:spacing w:after="0" w:line="20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has a revolving line of credit with PNC Bank of $3,000,000. No amounts were outstanding under the line of credit as of both November 30, 2014 and August 31, 2014.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 The revolving line of credit is secured by cash, receivables and inventory.</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line of credit is governed under a loan agreement. The loan agreement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the Company is subject to a minimum fixed charge coverage ratio of 1.10:1.00. As of November 30, 2014, the Company was in compliance with all debt covenants.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0" w:name="page11"/>
    <w:bookmarkEnd w:id="10"/>
    <w:p>
      <w:pPr>
        <w:ind w:right="160"/>
        <w:spacing w:after="0" w:line="277" w:lineRule="auto"/>
        <w:rPr>
          <w:sz w:val="20"/>
          <w:szCs w:val="20"/>
          <w:color w:val="auto"/>
        </w:rPr>
      </w:pPr>
      <w:r>
        <w:rPr>
          <w:rFonts w:ascii="Arial" w:cs="Arial" w:eastAsia="Arial" w:hAnsi="Arial"/>
          <w:sz w:val="18"/>
          <w:szCs w:val="18"/>
          <w:color w:val="auto"/>
        </w:rPr>
        <w:t>On January 5, 2015, PNC Bank extended the maturity date of the line of credit from January 7, 2015 to January 7, 2016. All other terms of the line of credit and the loan agreement and other documents evidencing the line of credit remain the same.</w:t>
      </w:r>
    </w:p>
    <w:p>
      <w:pPr>
        <w:spacing w:after="0" w:line="193"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three months ended November 30, 2014, the Company did not purchase or retire any shares of its common stock. The following stock options to purchase shares of common stock were exercised during the three months ended November 30, 2014:</w:t>
      </w:r>
    </w:p>
    <w:p>
      <w:pPr>
        <w:spacing w:after="0" w:line="180" w:lineRule="exact"/>
        <w:rPr>
          <w:sz w:val="20"/>
          <w:szCs w:val="20"/>
          <w:color w:val="auto"/>
        </w:rPr>
      </w:pPr>
    </w:p>
    <w:tbl>
      <w:tblPr>
        <w:tblLayout w:type="fixed"/>
        <w:tblInd w:w="3200" w:type="dxa"/>
        <w:tblCellMar>
          <w:top w:w="0" w:type="dxa"/>
          <w:left w:w="0" w:type="dxa"/>
          <w:bottom w:w="0" w:type="dxa"/>
          <w:right w:w="0" w:type="dxa"/>
        </w:tblCellMar>
      </w:tblPr>
      <w:tr>
        <w:trPr>
          <w:trHeight w:val="207"/>
        </w:trPr>
        <w:tc>
          <w:tcPr>
            <w:tcW w:w="3860" w:type="dxa"/>
            <w:vAlign w:val="bottom"/>
            <w:gridSpan w:val="2"/>
          </w:tcPr>
          <w:p>
            <w:pPr>
              <w:spacing w:after="0"/>
              <w:rPr>
                <w:sz w:val="20"/>
                <w:szCs w:val="20"/>
                <w:color w:val="auto"/>
              </w:rPr>
            </w:pPr>
            <w:r>
              <w:rPr>
                <w:rFonts w:ascii="Arial" w:cs="Arial" w:eastAsia="Arial" w:hAnsi="Arial"/>
                <w:sz w:val="18"/>
                <w:szCs w:val="18"/>
                <w:color w:val="auto"/>
              </w:rPr>
              <w:t>Options Exercised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86"/>
              </w:rPr>
              <w:t>Exercise Price</w:t>
            </w:r>
          </w:p>
        </w:tc>
      </w:tr>
      <w:tr>
        <w:trPr>
          <w:trHeight w:val="237"/>
        </w:trPr>
        <w:tc>
          <w:tcPr>
            <w:tcW w:w="13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18,000</w:t>
            </w:r>
          </w:p>
        </w:tc>
        <w:tc>
          <w:tcPr>
            <w:tcW w:w="2540" w:type="dxa"/>
            <w:vAlign w:val="bottom"/>
          </w:tcPr>
          <w:p>
            <w:pPr>
              <w:spacing w:after="0"/>
              <w:rPr>
                <w:sz w:val="20"/>
                <w:szCs w:val="20"/>
                <w:color w:val="auto"/>
              </w:rPr>
            </w:pP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7.65</w:t>
            </w:r>
          </w:p>
        </w:tc>
      </w:tr>
    </w:tbl>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Company granted stock options under the Northern Technologies International Corporation Amended and Restated 2007 Stock Incentive Plan (the 2007 Plan) to purchase an aggregate of 45,067 shares of its common stock to various employees and directors during the three months ended November 30,</w:t>
      </w:r>
    </w:p>
    <w:p>
      <w:pPr>
        <w:ind w:right="140"/>
        <w:spacing w:after="0" w:line="261" w:lineRule="auto"/>
        <w:rPr>
          <w:sz w:val="20"/>
          <w:szCs w:val="20"/>
          <w:color w:val="auto"/>
        </w:rPr>
      </w:pPr>
      <w:r>
        <w:rPr>
          <w:rFonts w:ascii="Arial" w:cs="Arial" w:eastAsia="Arial" w:hAnsi="Arial"/>
          <w:sz w:val="18"/>
          <w:szCs w:val="18"/>
          <w:color w:val="auto"/>
        </w:rPr>
        <w:t>2014. The weighted average per share exercise price of the stock options is $20.10, which is equal to the fair market value of the Company’s common stock on the date of grant.</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three months ended November 30, 2013, the Company did not purchase or retire any shares of its common stock. The following stock options to purchase shares of common stock were exercised during the three months ended November 30, 2013:</w:t>
      </w:r>
    </w:p>
    <w:p>
      <w:pPr>
        <w:spacing w:after="0" w:line="180" w:lineRule="exact"/>
        <w:rPr>
          <w:sz w:val="20"/>
          <w:szCs w:val="20"/>
          <w:color w:val="auto"/>
        </w:rPr>
      </w:pPr>
    </w:p>
    <w:tbl>
      <w:tblPr>
        <w:tblLayout w:type="fixed"/>
        <w:tblInd w:w="3200" w:type="dxa"/>
        <w:tblCellMar>
          <w:top w:w="0" w:type="dxa"/>
          <w:left w:w="0" w:type="dxa"/>
          <w:bottom w:w="0" w:type="dxa"/>
          <w:right w:w="0" w:type="dxa"/>
        </w:tblCellMar>
      </w:tblPr>
      <w:tr>
        <w:trPr>
          <w:trHeight w:val="207"/>
        </w:trPr>
        <w:tc>
          <w:tcPr>
            <w:tcW w:w="3860" w:type="dxa"/>
            <w:vAlign w:val="bottom"/>
            <w:gridSpan w:val="2"/>
          </w:tcPr>
          <w:p>
            <w:pPr>
              <w:jc w:val="center"/>
              <w:ind w:right="2540"/>
              <w:spacing w:after="0"/>
              <w:rPr>
                <w:sz w:val="20"/>
                <w:szCs w:val="20"/>
                <w:color w:val="auto"/>
              </w:rPr>
            </w:pPr>
            <w:r>
              <w:rPr>
                <w:rFonts w:ascii="Arial" w:cs="Arial" w:eastAsia="Arial" w:hAnsi="Arial"/>
                <w:sz w:val="18"/>
                <w:szCs w:val="18"/>
                <w:color w:val="auto"/>
                <w:w w:val="90"/>
              </w:rPr>
              <w:t>Options Exercised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86"/>
              </w:rPr>
              <w:t>Exercise Price</w:t>
            </w:r>
          </w:p>
        </w:tc>
      </w:tr>
      <w:tr>
        <w:trPr>
          <w:trHeight w:val="237"/>
        </w:trPr>
        <w:tc>
          <w:tcPr>
            <w:tcW w:w="13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1,000</w:t>
            </w:r>
          </w:p>
        </w:tc>
        <w:tc>
          <w:tcPr>
            <w:tcW w:w="2540" w:type="dxa"/>
            <w:vAlign w:val="bottom"/>
          </w:tcPr>
          <w:p>
            <w:pPr>
              <w:spacing w:after="0"/>
              <w:rPr>
                <w:sz w:val="20"/>
                <w:szCs w:val="20"/>
                <w:color w:val="auto"/>
              </w:rPr>
            </w:pP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7.65</w:t>
            </w:r>
          </w:p>
        </w:tc>
      </w:tr>
    </w:tbl>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 granted stock options under the 2007 Plan to purchase an aggregate of 56,373 shares of its common stock to various employees and directors during the three months ended November 30, 2013. The weighted average per share exercise price of the stock options is $14.83, which is equal to the fair market value of the Company’s common stock on the date of grant.</w:t>
      </w:r>
    </w:p>
    <w:p>
      <w:pPr>
        <w:spacing w:after="0" w:line="204"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earnings per share computation for the three months ended November 30, 2014 and 2013: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w w:val="92"/>
              </w:rPr>
              <w:t>Three Months Ended</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328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w w:val="95"/>
              </w:rPr>
              <w:t>November 30, 2014</w:t>
            </w:r>
          </w:p>
        </w:tc>
        <w:tc>
          <w:tcPr>
            <w:tcW w:w="1680" w:type="dxa"/>
            <w:vAlign w:val="bottom"/>
            <w:gridSpan w:val="3"/>
          </w:tcPr>
          <w:p>
            <w:pPr>
              <w:ind w:left="100"/>
              <w:spacing w:after="0"/>
              <w:rPr>
                <w:sz w:val="20"/>
                <w:szCs w:val="20"/>
                <w:color w:val="auto"/>
              </w:rPr>
            </w:pPr>
            <w:r>
              <w:rPr>
                <w:rFonts w:ascii="Arial" w:cs="Arial" w:eastAsia="Arial" w:hAnsi="Arial"/>
                <w:sz w:val="18"/>
                <w:szCs w:val="18"/>
                <w:b w:val="1"/>
                <w:bCs w:val="1"/>
                <w:color w:val="auto"/>
                <w:w w:val="95"/>
              </w:rPr>
              <w:t>November 30, 2013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3700" w:type="dxa"/>
            <w:vAlign w:val="bottom"/>
            <w:gridSpan w:val="2"/>
            <w:shd w:val="clear" w:color="auto" w:fill="CCEEFF"/>
          </w:tcPr>
          <w:p>
            <w:pPr>
              <w:ind w:left="32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1,008,265</w:t>
            </w: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858,586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Basic – weighted shares outstanding</w:t>
            </w:r>
          </w:p>
        </w:tc>
        <w:tc>
          <w:tcPr>
            <w:tcW w:w="3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4,518,973</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4,434,770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shares assumed upon exercise of stock options</w:t>
            </w:r>
          </w:p>
        </w:tc>
        <w:tc>
          <w:tcPr>
            <w:tcW w:w="3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140,648</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117,899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Diluted – weighted shares outstanding</w:t>
            </w:r>
          </w:p>
        </w:tc>
        <w:tc>
          <w:tcPr>
            <w:tcW w:w="3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4,659,621</w:t>
            </w: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4,552,669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700" w:type="dxa"/>
            <w:vAlign w:val="bottom"/>
            <w:gridSpan w:val="2"/>
            <w:shd w:val="clear" w:color="auto" w:fill="CCEEFF"/>
          </w:tcPr>
          <w:p>
            <w:pPr>
              <w:ind w:left="32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0.22</w:t>
            </w: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700" w:type="dxa"/>
            <w:vAlign w:val="bottom"/>
            <w:gridSpan w:val="2"/>
          </w:tcPr>
          <w:p>
            <w:pPr>
              <w:ind w:left="32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0.22</w:t>
            </w:r>
          </w:p>
        </w:tc>
        <w:tc>
          <w:tcPr>
            <w:tcW w:w="8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280" w:type="dxa"/>
            <w:vAlign w:val="bottom"/>
          </w:tcPr>
          <w:p>
            <w:pPr>
              <w:jc w:val="right"/>
              <w:ind w:right="2310"/>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860" w:type="dxa"/>
            <w:vAlign w:val="bottom"/>
            <w:shd w:val="clear" w:color="auto" w:fill="808080"/>
          </w:tcPr>
          <w:p>
            <w:pPr>
              <w:spacing w:after="0"/>
              <w:rPr>
                <w:sz w:val="5"/>
                <w:szCs w:val="5"/>
                <w:color w:val="auto"/>
              </w:rPr>
            </w:pPr>
          </w:p>
        </w:tc>
        <w:tc>
          <w:tcPr>
            <w:tcW w:w="32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ind w:right="180"/>
        <w:spacing w:after="0" w:line="302" w:lineRule="auto"/>
        <w:rPr>
          <w:sz w:val="20"/>
          <w:szCs w:val="20"/>
          <w:color w:val="auto"/>
        </w:rPr>
      </w:pPr>
      <w:r>
        <w:rPr>
          <w:rFonts w:ascii="Arial" w:cs="Arial" w:eastAsia="Arial" w:hAnsi="Arial"/>
          <w:sz w:val="16"/>
          <w:szCs w:val="16"/>
          <w:color w:val="auto"/>
        </w:rPr>
        <w:t>The dilutive impact summarized above relates to the periods when the average market price of the Company’s common stock exceeded the exercise price of the potentially dilutive option securities granted. Earnings per common share were based on the weighted average number of common shares outstanding during the periods when computing the basic earnings per share. When dilutive, stock options are included as equivalents using the treasury stock market method when computing the diluted earnings per share. All options outstanding as of November 30, 2014 and November 30, 2013 were dilutive.</w:t>
      </w:r>
    </w:p>
    <w:p>
      <w:pPr>
        <w:spacing w:after="0" w:line="177" w:lineRule="exact"/>
        <w:rPr>
          <w:sz w:val="20"/>
          <w:szCs w:val="20"/>
          <w:color w:val="auto"/>
        </w:rPr>
      </w:pPr>
    </w:p>
    <w:p>
      <w:pPr>
        <w:ind w:left="720" w:hanging="712"/>
        <w:spacing w:after="0"/>
        <w:tabs>
          <w:tab w:leader="none" w:pos="7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has two stock-based compensation plans under which stock options and other stock-based awards have been granted, the Northern Technologies International Corporation Amended and Restated 2007 Stock Incentive Plan and the Northern Technologies International Corporation Employee Stock Purchase Plan (the ESPP). The Compensation Committee of the Board of Directors and the Board of Directors administer these plans.</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2007 Plan, up to a maximum of 800,000 shares of the Company’s common stock are issuable under the 2007 Plan. Options granted under the 2007 Plan generally have a term of ten years and become exercisable over a three- or four-year period beginning on the one-year anniversary of the date of grant. Options are granted at per share exercise prices equal to the market value of the Company’s common stock on the date of grant. The Company issues new shares upon the exercise of options. As of November 30, 2014, only stock options and stock bonuses had been granted under the 2007 Plan.</w:t>
      </w:r>
    </w:p>
    <w:p>
      <w:pPr>
        <w:spacing w:after="0" w:line="2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Company granted options to purchase an aggregate of 45,067 and 56,373 shares of its common stock during the three months ended November 30, 2014</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2013, respectively. The fair value of option grants is determined at date of grant, using the Black-Scholes option pricing model with the assumptions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listed below. The Company recognized compensation expense of $143,897 and $127,927 during the three months ended November 30, 2014 and 2013,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related to the options that vested during such time period. As of November 30, 2014, the total compensation cost for nonvested options not yet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recognized in the Company’s consolidated statements of operations was $611,371, net of estimated forfeitures. Stock-based compensation expense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$351,786 is expected through the remainder of fiscal year 2015, and $179,785 and $79,800 is expected to be recognized during fiscal 2016 and fiscal 2017,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based on outstanding options as of November 30, 2014. Future option grants will impact the compensation expense recognized. Stock-based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 is included in general and administrative expense on the consolidated statements of operations.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estimates a ten percent forfeiture rate for stock options and continually reviews this estimate for future periods.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9180" w:type="dxa"/>
            <w:vAlign w:val="bottom"/>
          </w:tcPr>
          <w:p>
            <w:pPr>
              <w:spacing w:after="0"/>
              <w:rPr>
                <w:sz w:val="20"/>
                <w:szCs w:val="20"/>
                <w:color w:val="auto"/>
              </w:rPr>
            </w:pPr>
          </w:p>
        </w:tc>
        <w:tc>
          <w:tcPr>
            <w:tcW w:w="224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November 30,</w:t>
            </w:r>
          </w:p>
        </w:tc>
      </w:tr>
      <w:tr>
        <w:trPr>
          <w:trHeight w:val="210"/>
        </w:trPr>
        <w:tc>
          <w:tcPr>
            <w:tcW w:w="9180" w:type="dxa"/>
            <w:vAlign w:val="bottom"/>
          </w:tcPr>
          <w:p>
            <w:pPr>
              <w:spacing w:after="0"/>
              <w:rPr>
                <w:sz w:val="18"/>
                <w:szCs w:val="18"/>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10"/>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Expected volatility</w:t>
            </w:r>
          </w:p>
        </w:tc>
        <w:tc>
          <w:tcPr>
            <w:tcW w:w="1060" w:type="dxa"/>
            <w:vAlign w:val="bottom"/>
          </w:tcPr>
          <w:p>
            <w:pPr>
              <w:jc w:val="right"/>
              <w:spacing w:after="0"/>
              <w:rPr>
                <w:sz w:val="20"/>
                <w:szCs w:val="20"/>
                <w:color w:val="auto"/>
              </w:rPr>
            </w:pPr>
            <w:r>
              <w:rPr>
                <w:rFonts w:ascii="Arial" w:cs="Arial" w:eastAsia="Arial" w:hAnsi="Arial"/>
                <w:sz w:val="18"/>
                <w:szCs w:val="18"/>
                <w:color w:val="auto"/>
              </w:rPr>
              <w:t>46.6%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47.3%</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 (years)</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060" w:type="dxa"/>
            <w:vAlign w:val="bottom"/>
          </w:tcPr>
          <w:p>
            <w:pPr>
              <w:jc w:val="right"/>
              <w:spacing w:after="0"/>
              <w:rPr>
                <w:sz w:val="20"/>
                <w:szCs w:val="20"/>
                <w:color w:val="auto"/>
              </w:rPr>
            </w:pPr>
            <w:r>
              <w:rPr>
                <w:rFonts w:ascii="Arial" w:cs="Arial" w:eastAsia="Arial" w:hAnsi="Arial"/>
                <w:sz w:val="18"/>
                <w:szCs w:val="18"/>
                <w:color w:val="auto"/>
              </w:rPr>
              <w:t>1.63%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1.36%</w:t>
            </w:r>
          </w:p>
        </w:tc>
      </w:tr>
    </w:tbl>
    <w:p>
      <w:pPr>
        <w:spacing w:after="0" w:line="21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weighted average per share fair value of options granted during the three months ended November 30, 2014 and 2013 was $11.58 and $8.54, respectively. The weighted average remaining contractual life of the options outstanding as of November 30, 2014 and 2013 was 6.75 years and 5.27 years, respectively.</w:t>
      </w:r>
    </w:p>
    <w:p>
      <w:pPr>
        <w:spacing w:after="0" w:line="204" w:lineRule="exact"/>
        <w:rPr>
          <w:sz w:val="20"/>
          <w:szCs w:val="20"/>
          <w:color w:val="auto"/>
        </w:rPr>
      </w:pPr>
    </w:p>
    <w:p>
      <w:pPr>
        <w:ind w:left="720" w:hanging="712"/>
        <w:spacing w:after="0"/>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AND SEGMENT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Net sales by geographic location as a percentage of total consolidated net sales for the three months ended November 30, 2014 and 2013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38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b w:val="1"/>
                <w:bCs w:val="1"/>
                <w:color w:val="auto"/>
              </w:rPr>
              <w:t>Three Months Ended</w:t>
            </w:r>
          </w:p>
        </w:tc>
      </w:tr>
      <w:tr>
        <w:trPr>
          <w:trHeight w:val="210"/>
        </w:trPr>
        <w:tc>
          <w:tcPr>
            <w:tcW w:w="6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November 30, 2014</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November 30, 2013</w:t>
            </w: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Outside the U.S.A. to:</w:t>
            </w:r>
          </w:p>
        </w:tc>
        <w:tc>
          <w:tcPr>
            <w:tcW w:w="1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Joint ventures in which the Company is a shareholder directly and indirectly</w:t>
            </w:r>
          </w:p>
        </w:tc>
        <w:tc>
          <w:tcPr>
            <w:tcW w:w="2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11.4</w:t>
            </w:r>
          </w:p>
        </w:tc>
        <w:tc>
          <w:tcPr>
            <w:tcW w:w="1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10.6</w:t>
            </w:r>
          </w:p>
        </w:tc>
      </w:tr>
      <w:tr>
        <w:trPr>
          <w:trHeight w:val="216"/>
        </w:trPr>
        <w:tc>
          <w:tcPr>
            <w:tcW w:w="6940" w:type="dxa"/>
            <w:vAlign w:val="bottom"/>
          </w:tcPr>
          <w:p>
            <w:pPr>
              <w:ind w:left="340"/>
              <w:spacing w:after="0"/>
              <w:rPr>
                <w:sz w:val="20"/>
                <w:szCs w:val="20"/>
                <w:color w:val="auto"/>
              </w:rPr>
            </w:pPr>
            <w:r>
              <w:rPr>
                <w:rFonts w:ascii="Arial" w:cs="Arial" w:eastAsia="Arial" w:hAnsi="Arial"/>
                <w:sz w:val="18"/>
                <w:szCs w:val="18"/>
                <w:color w:val="auto"/>
              </w:rPr>
              <w:t>Unaffiliated customers</w:t>
            </w:r>
          </w:p>
        </w:tc>
        <w:tc>
          <w:tcPr>
            <w:tcW w:w="1100" w:type="dxa"/>
            <w:vAlign w:val="bottom"/>
          </w:tcPr>
          <w:p>
            <w:pPr>
              <w:spacing w:after="0"/>
              <w:rPr>
                <w:sz w:val="18"/>
                <w:szCs w:val="18"/>
                <w:color w:val="auto"/>
              </w:rPr>
            </w:pPr>
          </w:p>
        </w:tc>
        <w:tc>
          <w:tcPr>
            <w:tcW w:w="1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18.3</w:t>
            </w:r>
          </w:p>
        </w:tc>
      </w:tr>
      <w:tr>
        <w:trPr>
          <w:trHeight w:val="210"/>
        </w:trPr>
        <w:tc>
          <w:tcPr>
            <w:tcW w:w="694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5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during the three months ended November 30, 2014 and 2013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191"/>
        </w:trPr>
        <w:tc>
          <w:tcPr>
            <w:tcW w:w="34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9"/>
              </w:rPr>
              <w:t>% of Total Fees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16"/>
        </w:trPr>
        <w:tc>
          <w:tcPr>
            <w:tcW w:w="3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for Services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 of Total Fees for</w:t>
            </w:r>
          </w:p>
        </w:tc>
      </w:tr>
      <w:tr>
        <w:trPr>
          <w:trHeight w:val="216"/>
        </w:trPr>
        <w:tc>
          <w:tcPr>
            <w:tcW w:w="3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w w:val="98"/>
              </w:rPr>
              <w:t>November 30,</w:t>
            </w:r>
          </w:p>
        </w:tc>
        <w:tc>
          <w:tcPr>
            <w:tcW w:w="12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Provided to</w:t>
            </w:r>
          </w:p>
        </w:tc>
        <w:tc>
          <w:tcPr>
            <w:tcW w:w="10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November 30,</w:t>
            </w:r>
          </w:p>
        </w:tc>
        <w:tc>
          <w:tcPr>
            <w:tcW w:w="100" w:type="dxa"/>
            <w:vAlign w:val="bottom"/>
          </w:tcPr>
          <w:p>
            <w:pPr>
              <w:spacing w:after="0"/>
              <w:rPr>
                <w:sz w:val="18"/>
                <w:szCs w:val="18"/>
                <w:color w:val="auto"/>
              </w:rPr>
            </w:pPr>
          </w:p>
        </w:tc>
        <w:tc>
          <w:tcPr>
            <w:tcW w:w="16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Services Provided</w:t>
            </w:r>
          </w:p>
        </w:tc>
      </w:tr>
      <w:tr>
        <w:trPr>
          <w:trHeight w:val="234"/>
        </w:trPr>
        <w:tc>
          <w:tcPr>
            <w:tcW w:w="34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Joint Ventures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to Joint Ventures</w:t>
            </w: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248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516,139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588,182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Germany</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238,321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263,555</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191,499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161,424</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Poland</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171,223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164,567</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160,341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173,282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Thailand</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140,634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152,558</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133,379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128,103</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United Kingdom</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96,371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74,697</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93,522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105,202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Sweden</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86,920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109,970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69,291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Other</w:t>
            </w:r>
          </w:p>
        </w:tc>
        <w:tc>
          <w:tcPr>
            <w:tcW w:w="2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236,030</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188,108</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348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2,133,670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2,109,648</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48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net sales for the three months ended November 30, 2014 and 2013 by segment: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w w:val="92"/>
              </w:rPr>
              <w:t>Three Months Ended</w:t>
            </w:r>
          </w:p>
        </w:tc>
        <w:tc>
          <w:tcPr>
            <w:tcW w:w="840" w:type="dxa"/>
            <w:vAlign w:val="bottom"/>
            <w:tcBorders>
              <w:bottom w:val="single" w:sz="8" w:color="auto"/>
            </w:tcBorders>
          </w:tcPr>
          <w:p>
            <w:pPr>
              <w:spacing w:after="0"/>
              <w:rPr>
                <w:sz w:val="20"/>
                <w:szCs w:val="20"/>
                <w:color w:val="auto"/>
              </w:rPr>
            </w:pPr>
          </w:p>
        </w:tc>
      </w:tr>
      <w:tr>
        <w:trPr>
          <w:trHeight w:val="210"/>
        </w:trPr>
        <w:tc>
          <w:tcPr>
            <w:tcW w:w="48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w w:val="95"/>
              </w:rPr>
              <w:t>November 30, 2014</w:t>
            </w:r>
          </w:p>
        </w:tc>
        <w:tc>
          <w:tcPr>
            <w:tcW w:w="1680" w:type="dxa"/>
            <w:vAlign w:val="bottom"/>
            <w:gridSpan w:val="3"/>
          </w:tcPr>
          <w:p>
            <w:pPr>
              <w:ind w:left="100"/>
              <w:spacing w:after="0"/>
              <w:rPr>
                <w:sz w:val="20"/>
                <w:szCs w:val="20"/>
                <w:color w:val="auto"/>
              </w:rPr>
            </w:pPr>
            <w:r>
              <w:rPr>
                <w:rFonts w:ascii="Arial" w:cs="Arial" w:eastAsia="Arial" w:hAnsi="Arial"/>
                <w:sz w:val="18"/>
                <w:szCs w:val="18"/>
                <w:b w:val="1"/>
                <w:bCs w:val="1"/>
                <w:color w:val="auto"/>
                <w:w w:val="95"/>
              </w:rPr>
              <w:t>November 30, 2013</w:t>
            </w:r>
          </w:p>
        </w:tc>
      </w:tr>
      <w:tr>
        <w:trPr>
          <w:trHeight w:val="20"/>
        </w:trPr>
        <w:tc>
          <w:tcPr>
            <w:tcW w:w="48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ZERUST® net sales</w:t>
            </w:r>
          </w:p>
        </w:tc>
        <w:tc>
          <w:tcPr>
            <w:tcW w:w="3740" w:type="dxa"/>
            <w:vAlign w:val="bottom"/>
            <w:gridSpan w:val="2"/>
            <w:shd w:val="clear" w:color="auto" w:fill="CCEEFF"/>
          </w:tcPr>
          <w:p>
            <w:pPr>
              <w:ind w:left="33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6,238,071</w:t>
            </w: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5,749,013</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Natur-Tec® net sales</w:t>
            </w:r>
          </w:p>
        </w:tc>
        <w:tc>
          <w:tcPr>
            <w:tcW w:w="33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976,024</w:t>
            </w: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560,087</w:t>
            </w: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3740" w:type="dxa"/>
            <w:vAlign w:val="bottom"/>
            <w:gridSpan w:val="2"/>
            <w:shd w:val="clear" w:color="auto" w:fill="CCEEFF"/>
          </w:tcPr>
          <w:p>
            <w:pPr>
              <w:ind w:left="33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7,214,095</w:t>
            </w: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6,309,100</w:t>
            </w:r>
          </w:p>
        </w:tc>
      </w:tr>
      <w:tr>
        <w:trPr>
          <w:trHeight w:val="20"/>
        </w:trPr>
        <w:tc>
          <w:tcPr>
            <w:tcW w:w="484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cost of goods sold for the three months ended November 30, 2014 and 2013 by segment: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 of</w:t>
            </w:r>
          </w:p>
        </w:tc>
      </w:tr>
      <w:tr>
        <w:trPr>
          <w:trHeight w:val="216"/>
        </w:trPr>
        <w:tc>
          <w:tcPr>
            <w:tcW w:w="43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w w:val="98"/>
              </w:rPr>
              <w:t>November 30,</w:t>
            </w:r>
          </w:p>
        </w:tc>
        <w:tc>
          <w:tcPr>
            <w:tcW w:w="12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Product</w:t>
            </w:r>
          </w:p>
        </w:tc>
        <w:tc>
          <w:tcPr>
            <w:tcW w:w="12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3"/>
              </w:rPr>
              <w:t>November</w:t>
            </w:r>
          </w:p>
        </w:tc>
        <w:tc>
          <w:tcPr>
            <w:tcW w:w="12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Product</w:t>
            </w:r>
          </w:p>
        </w:tc>
      </w:tr>
      <w:tr>
        <w:trPr>
          <w:trHeight w:val="234"/>
        </w:trPr>
        <w:tc>
          <w:tcPr>
            <w:tcW w:w="43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Sales*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30, 2013</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Sales*</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Direct cost of goods sold</w:t>
            </w:r>
          </w:p>
        </w:tc>
        <w:tc>
          <w:tcPr>
            <w:tcW w:w="2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ZERUST®</w:t>
            </w:r>
          </w:p>
        </w:tc>
        <w:tc>
          <w:tcPr>
            <w:tcW w:w="2600" w:type="dxa"/>
            <w:vAlign w:val="bottom"/>
            <w:gridSpan w:val="2"/>
          </w:tcPr>
          <w:p>
            <w:pPr>
              <w:ind w:left="23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3,338,588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53.5%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3,081,764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53.6%</w:t>
            </w: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Natur-Tec®</w:t>
            </w:r>
          </w:p>
        </w:tc>
        <w:tc>
          <w:tcPr>
            <w:tcW w:w="2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782,575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449,464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Indirect cost of goods sold</w:t>
            </w:r>
          </w:p>
        </w:tc>
        <w:tc>
          <w:tcPr>
            <w:tcW w:w="2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685,448</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626,803</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NA</w:t>
            </w: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net cost of goods sold</w:t>
            </w:r>
          </w:p>
        </w:tc>
        <w:tc>
          <w:tcPr>
            <w:tcW w:w="2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4,806,611</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4,158,031</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0"/>
        </w:trPr>
        <w:tc>
          <w:tcPr>
            <w:tcW w:w="438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660" w:right="30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goods sold for each individual segment category by the net sales for each segment category.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Company utilizes product net sales and direct and indirect cost of goods sold for each product in reviewing the financial performance of a product</w:t>
      </w:r>
    </w:p>
    <w:p>
      <w:pPr>
        <w:spacing w:after="0" w:line="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type. Further allocation of Company expenses or assets, aside from amounts presented in the tables above, is not utilized in evaluating product performance, nor does such allocation occur for internal financial reporting.</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The geographical distribution of key financial statement data is as follows: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41"/>
        </w:trPr>
        <w:tc>
          <w:tcPr>
            <w:tcW w:w="8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650"/>
              <w:spacing w:after="0"/>
              <w:rPr>
                <w:sz w:val="20"/>
                <w:szCs w:val="20"/>
                <w:color w:val="auto"/>
              </w:rPr>
            </w:pPr>
            <w:r>
              <w:rPr>
                <w:rFonts w:ascii="Arial" w:cs="Arial" w:eastAsia="Arial" w:hAnsi="Arial"/>
                <w:sz w:val="18"/>
                <w:szCs w:val="18"/>
                <w:b w:val="1"/>
                <w:bCs w:val="1"/>
                <w:color w:val="auto"/>
              </w:rPr>
              <w:t>At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ind w:right="530"/>
              <w:spacing w:after="0"/>
              <w:rPr>
                <w:sz w:val="20"/>
                <w:szCs w:val="20"/>
                <w:color w:val="auto"/>
              </w:rPr>
            </w:pPr>
            <w:r>
              <w:rPr>
                <w:rFonts w:ascii="Arial" w:cs="Arial" w:eastAsia="Arial" w:hAnsi="Arial"/>
                <w:sz w:val="18"/>
                <w:szCs w:val="18"/>
                <w:b w:val="1"/>
                <w:bCs w:val="1"/>
                <w:color w:val="auto"/>
              </w:rPr>
              <w:t>At</w:t>
            </w:r>
          </w:p>
        </w:tc>
      </w:tr>
      <w:tr>
        <w:trPr>
          <w:trHeight w:val="234"/>
        </w:trPr>
        <w:tc>
          <w:tcPr>
            <w:tcW w:w="840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w w:val="95"/>
              </w:rPr>
              <w:t>November 30, 2014</w:t>
            </w:r>
          </w:p>
        </w:tc>
        <w:tc>
          <w:tcPr>
            <w:tcW w:w="1440" w:type="dxa"/>
            <w:vAlign w:val="bottom"/>
            <w:gridSpan w:val="3"/>
          </w:tcPr>
          <w:p>
            <w:pPr>
              <w:ind w:left="120"/>
              <w:spacing w:after="0"/>
              <w:rPr>
                <w:sz w:val="20"/>
                <w:szCs w:val="20"/>
                <w:color w:val="auto"/>
              </w:rPr>
            </w:pPr>
            <w:r>
              <w:rPr>
                <w:rFonts w:ascii="Arial" w:cs="Arial" w:eastAsia="Arial" w:hAnsi="Arial"/>
                <w:sz w:val="18"/>
                <w:szCs w:val="18"/>
                <w:b w:val="1"/>
                <w:bCs w:val="1"/>
                <w:color w:val="auto"/>
                <w:w w:val="94"/>
              </w:rPr>
              <w:t>August 31, 2014</w:t>
            </w:r>
          </w:p>
        </w:tc>
      </w:tr>
      <w:tr>
        <w:trPr>
          <w:trHeight w:val="20"/>
        </w:trPr>
        <w:tc>
          <w:tcPr>
            <w:tcW w:w="8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21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Brazil</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1,148,099</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1,429,054</w:t>
            </w:r>
          </w:p>
        </w:tc>
      </w:tr>
      <w:tr>
        <w:trPr>
          <w:trHeight w:val="216"/>
        </w:trPr>
        <w:tc>
          <w:tcPr>
            <w:tcW w:w="8400" w:type="dxa"/>
            <w:vAlign w:val="bottom"/>
          </w:tcPr>
          <w:p>
            <w:pPr>
              <w:ind w:left="140"/>
              <w:spacing w:after="0"/>
              <w:rPr>
                <w:sz w:val="20"/>
                <w:szCs w:val="20"/>
                <w:color w:val="auto"/>
              </w:rPr>
            </w:pPr>
            <w:r>
              <w:rPr>
                <w:rFonts w:ascii="Arial" w:cs="Arial" w:eastAsia="Arial" w:hAnsi="Arial"/>
                <w:sz w:val="18"/>
                <w:szCs w:val="18"/>
                <w:color w:val="auto"/>
              </w:rPr>
              <w:t>India</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357,352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363,894</w:t>
            </w:r>
          </w:p>
        </w:tc>
      </w:tr>
      <w:tr>
        <w:trPr>
          <w:trHeight w:val="216"/>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51,542,551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52,264,827</w:t>
            </w:r>
          </w:p>
        </w:tc>
      </w:tr>
      <w:tr>
        <w:trPr>
          <w:trHeight w:val="210"/>
        </w:trPr>
        <w:tc>
          <w:tcPr>
            <w:tcW w:w="840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53,048,002</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54,057,775</w:t>
            </w:r>
          </w:p>
        </w:tc>
      </w:tr>
      <w:tr>
        <w:trPr>
          <w:trHeight w:val="21"/>
        </w:trPr>
        <w:tc>
          <w:tcPr>
            <w:tcW w:w="8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w w:val="92"/>
              </w:rPr>
              <w:t>Three Months Ended</w:t>
            </w:r>
          </w:p>
        </w:tc>
        <w:tc>
          <w:tcPr>
            <w:tcW w:w="840" w:type="dxa"/>
            <w:vAlign w:val="bottom"/>
            <w:tcBorders>
              <w:bottom w:val="single" w:sz="8" w:color="auto"/>
            </w:tcBorders>
          </w:tcPr>
          <w:p>
            <w:pPr>
              <w:spacing w:after="0"/>
              <w:rPr>
                <w:sz w:val="20"/>
                <w:szCs w:val="20"/>
                <w:color w:val="auto"/>
              </w:rPr>
            </w:pPr>
          </w:p>
        </w:tc>
      </w:tr>
      <w:tr>
        <w:trPr>
          <w:trHeight w:val="210"/>
        </w:trPr>
        <w:tc>
          <w:tcPr>
            <w:tcW w:w="8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w w:val="94"/>
              </w:rPr>
              <w:t>November 30, 2014</w:t>
            </w:r>
          </w:p>
        </w:tc>
        <w:tc>
          <w:tcPr>
            <w:tcW w:w="1680" w:type="dxa"/>
            <w:vAlign w:val="bottom"/>
            <w:gridSpan w:val="3"/>
          </w:tcPr>
          <w:p>
            <w:pPr>
              <w:ind w:left="100"/>
              <w:spacing w:after="0"/>
              <w:rPr>
                <w:sz w:val="20"/>
                <w:szCs w:val="20"/>
                <w:color w:val="auto"/>
              </w:rPr>
            </w:pPr>
            <w:r>
              <w:rPr>
                <w:rFonts w:ascii="Arial" w:cs="Arial" w:eastAsia="Arial" w:hAnsi="Arial"/>
                <w:sz w:val="18"/>
                <w:szCs w:val="18"/>
                <w:b w:val="1"/>
                <w:bCs w:val="1"/>
                <w:color w:val="auto"/>
                <w:w w:val="95"/>
              </w:rPr>
              <w:t>November 30, 2013</w:t>
            </w:r>
          </w:p>
        </w:tc>
      </w:tr>
      <w:tr>
        <w:trPr>
          <w:trHeight w:val="20"/>
        </w:trPr>
        <w:tc>
          <w:tcPr>
            <w:tcW w:w="8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21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Brazil</w:t>
            </w: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763,585</w:t>
            </w: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602,362</w:t>
            </w:r>
          </w:p>
        </w:tc>
      </w:tr>
      <w:tr>
        <w:trPr>
          <w:trHeight w:val="216"/>
        </w:trPr>
        <w:tc>
          <w:tcPr>
            <w:tcW w:w="8160" w:type="dxa"/>
            <w:vAlign w:val="bottom"/>
          </w:tcPr>
          <w:p>
            <w:pPr>
              <w:ind w:left="140"/>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206,907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6,243,603</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5,706,738</w:t>
            </w:r>
          </w:p>
        </w:tc>
      </w:tr>
      <w:tr>
        <w:trPr>
          <w:trHeight w:val="210"/>
        </w:trPr>
        <w:tc>
          <w:tcPr>
            <w:tcW w:w="8160" w:type="dxa"/>
            <w:vAlign w:val="bottom"/>
          </w:tcPr>
          <w:p>
            <w:pPr>
              <w:ind w:left="280"/>
              <w:spacing w:after="0"/>
              <w:rPr>
                <w:sz w:val="20"/>
                <w:szCs w:val="20"/>
                <w:color w:val="auto"/>
              </w:rPr>
            </w:pPr>
            <w:r>
              <w:rPr>
                <w:rFonts w:ascii="Arial" w:cs="Arial" w:eastAsia="Arial" w:hAnsi="Arial"/>
                <w:sz w:val="18"/>
                <w:szCs w:val="18"/>
                <w:color w:val="auto"/>
              </w:rPr>
              <w:t>Total net sales</w:t>
            </w: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7,214,095</w:t>
            </w:r>
          </w:p>
        </w:tc>
        <w:tc>
          <w:tcPr>
            <w:tcW w:w="8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6,309,100</w:t>
            </w:r>
          </w:p>
        </w:tc>
      </w:tr>
      <w:tr>
        <w:trPr>
          <w:trHeight w:val="21"/>
        </w:trPr>
        <w:tc>
          <w:tcPr>
            <w:tcW w:w="8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w w:val="92"/>
              </w:rPr>
              <w:t>Three Months Ended</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w w:val="95"/>
              </w:rPr>
              <w:t>November 30, 2014</w:t>
            </w:r>
          </w:p>
        </w:tc>
        <w:tc>
          <w:tcPr>
            <w:tcW w:w="1680" w:type="dxa"/>
            <w:vAlign w:val="bottom"/>
            <w:gridSpan w:val="3"/>
          </w:tcPr>
          <w:p>
            <w:pPr>
              <w:ind w:left="100"/>
              <w:spacing w:after="0"/>
              <w:rPr>
                <w:sz w:val="20"/>
                <w:szCs w:val="20"/>
                <w:color w:val="auto"/>
              </w:rPr>
            </w:pPr>
            <w:r>
              <w:rPr>
                <w:rFonts w:ascii="Arial" w:cs="Arial" w:eastAsia="Arial" w:hAnsi="Arial"/>
                <w:sz w:val="18"/>
                <w:szCs w:val="18"/>
                <w:b w:val="1"/>
                <w:bCs w:val="1"/>
                <w:color w:val="auto"/>
                <w:w w:val="95"/>
              </w:rPr>
              <w:t>November 30, 2013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Brazil</w:t>
            </w:r>
          </w:p>
        </w:tc>
        <w:tc>
          <w:tcPr>
            <w:tcW w:w="4800" w:type="dxa"/>
            <w:vAlign w:val="bottom"/>
            <w:gridSpan w:val="2"/>
            <w:shd w:val="clear" w:color="auto" w:fill="CCEEFF"/>
          </w:tcPr>
          <w:p>
            <w:pPr>
              <w:ind w:left="43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(28,757)</w:t>
            </w: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(56,809)</w:t>
            </w:r>
          </w:p>
        </w:tc>
        <w:tc>
          <w:tcPr>
            <w:tcW w:w="0" w:type="dxa"/>
            <w:vAlign w:val="bottom"/>
          </w:tcPr>
          <w:p>
            <w:pPr>
              <w:spacing w:after="0"/>
              <w:rPr>
                <w:sz w:val="1"/>
                <w:szCs w:val="1"/>
                <w:color w:val="auto"/>
              </w:rPr>
            </w:pPr>
          </w:p>
        </w:tc>
      </w:tr>
      <w:tr>
        <w:trPr>
          <w:trHeight w:val="216"/>
        </w:trPr>
        <w:tc>
          <w:tcPr>
            <w:tcW w:w="3780" w:type="dxa"/>
            <w:vAlign w:val="bottom"/>
          </w:tcPr>
          <w:p>
            <w:pPr>
              <w:ind w:left="140"/>
              <w:spacing w:after="0"/>
              <w:rPr>
                <w:sz w:val="20"/>
                <w:szCs w:val="20"/>
                <w:color w:val="auto"/>
              </w:rPr>
            </w:pPr>
            <w:r>
              <w:rPr>
                <w:rFonts w:ascii="Arial" w:cs="Arial" w:eastAsia="Arial" w:hAnsi="Arial"/>
                <w:sz w:val="18"/>
                <w:szCs w:val="18"/>
                <w:color w:val="auto"/>
              </w:rPr>
              <w:t>India</w:t>
            </w:r>
          </w:p>
        </w:tc>
        <w:tc>
          <w:tcPr>
            <w:tcW w:w="4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(9,099)</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43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1,675,514</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1,571,109</w:t>
            </w:r>
          </w:p>
        </w:tc>
        <w:tc>
          <w:tcPr>
            <w:tcW w:w="0" w:type="dxa"/>
            <w:vAlign w:val="bottom"/>
          </w:tcPr>
          <w:p>
            <w:pPr>
              <w:spacing w:after="0"/>
              <w:rPr>
                <w:sz w:val="1"/>
                <w:szCs w:val="1"/>
                <w:color w:val="auto"/>
              </w:rPr>
            </w:pPr>
          </w:p>
        </w:tc>
      </w:tr>
      <w:tr>
        <w:trPr>
          <w:trHeight w:val="210"/>
        </w:trPr>
        <w:tc>
          <w:tcPr>
            <w:tcW w:w="3780" w:type="dxa"/>
            <w:vAlign w:val="bottom"/>
          </w:tcPr>
          <w:p>
            <w:pPr>
              <w:ind w:left="280"/>
              <w:spacing w:after="0"/>
              <w:rPr>
                <w:sz w:val="20"/>
                <w:szCs w:val="20"/>
                <w:color w:val="auto"/>
              </w:rPr>
            </w:pPr>
            <w:r>
              <w:rPr>
                <w:rFonts w:ascii="Arial" w:cs="Arial" w:eastAsia="Arial" w:hAnsi="Arial"/>
                <w:sz w:val="18"/>
                <w:szCs w:val="18"/>
                <w:color w:val="auto"/>
              </w:rPr>
              <w:t>Total operating income</w:t>
            </w:r>
          </w:p>
        </w:tc>
        <w:tc>
          <w:tcPr>
            <w:tcW w:w="4800" w:type="dxa"/>
            <w:vAlign w:val="bottom"/>
            <w:gridSpan w:val="2"/>
          </w:tcPr>
          <w:p>
            <w:pPr>
              <w:ind w:left="43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1,637,658</w:t>
            </w:r>
          </w:p>
        </w:tc>
        <w:tc>
          <w:tcPr>
            <w:tcW w:w="8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1,514,300</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4380" w:type="dxa"/>
            <w:vAlign w:val="bottom"/>
            <w:vMerge w:val="restart"/>
          </w:tcPr>
          <w:p>
            <w:pPr>
              <w:jc w:val="right"/>
              <w:ind w:right="2270"/>
              <w:spacing w:after="0"/>
              <w:rPr>
                <w:sz w:val="20"/>
                <w:szCs w:val="20"/>
                <w:color w:val="auto"/>
              </w:rPr>
            </w:pPr>
            <w:r>
              <w:rPr>
                <w:rFonts w:ascii="Arial" w:cs="Arial" w:eastAsia="Arial" w:hAnsi="Arial"/>
                <w:sz w:val="18"/>
                <w:szCs w:val="18"/>
                <w:color w:val="auto"/>
              </w:rPr>
              <w:t>11</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378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780" w:type="dxa"/>
            <w:vAlign w:val="bottom"/>
          </w:tcPr>
          <w:p>
            <w:pPr>
              <w:spacing w:after="0"/>
              <w:rPr>
                <w:sz w:val="9"/>
                <w:szCs w:val="9"/>
                <w:color w:val="auto"/>
              </w:rPr>
            </w:pPr>
          </w:p>
        </w:tc>
        <w:tc>
          <w:tcPr>
            <w:tcW w:w="4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780" w:type="dxa"/>
            <w:vAlign w:val="bottom"/>
            <w:shd w:val="clear" w:color="auto" w:fill="808080"/>
          </w:tcPr>
          <w:p>
            <w:pPr>
              <w:spacing w:after="0"/>
              <w:rPr>
                <w:sz w:val="5"/>
                <w:szCs w:val="5"/>
                <w:color w:val="auto"/>
              </w:rPr>
            </w:pPr>
          </w:p>
        </w:tc>
        <w:tc>
          <w:tcPr>
            <w:tcW w:w="43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ind w:right="400"/>
        <w:spacing w:after="0" w:line="342" w:lineRule="auto"/>
        <w:rPr>
          <w:sz w:val="20"/>
          <w:szCs w:val="20"/>
          <w:color w:val="auto"/>
        </w:rPr>
      </w:pPr>
      <w:r>
        <w:rPr>
          <w:rFonts w:ascii="Arial" w:cs="Arial" w:eastAsia="Arial" w:hAnsi="Arial"/>
          <w:sz w:val="16"/>
          <w:szCs w:val="16"/>
          <w:color w:val="auto"/>
        </w:rPr>
        <w:t>Total assets located in Brazil and India primarily consist of cash and cash equivalents, customer receivables and inventory. These assets are periodically reviewed to assure the net realizable value from the estimated future production based on forecasted sales exceeds the carrying value of the assets.</w:t>
      </w:r>
    </w:p>
    <w:p>
      <w:pPr>
        <w:spacing w:after="0" w:line="147" w:lineRule="exact"/>
        <w:rPr>
          <w:sz w:val="20"/>
          <w:szCs w:val="20"/>
          <w:color w:val="auto"/>
        </w:rPr>
      </w:pPr>
    </w:p>
    <w:p>
      <w:pPr>
        <w:ind w:left="720" w:hanging="712"/>
        <w:spacing w:after="0"/>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expenses all costs related to product research and development as incurred. The Company incurred $1,049,913 and $1,138,520 of expense during the three months ended November 30, 2014 and 2013, respectively, in connection with its research and development activities. These amounts are net of reimbursements related to certain research and development contracts. Such reimbursements totaled $0 and $45,788 for the three months ended November 30, 2014 and 2013, respectively. The net fees are accounted for in the “Research and Development Expenses” section of the consolidated statements of operations.</w:t>
      </w:r>
    </w:p>
    <w:p>
      <w:pPr>
        <w:spacing w:after="0" w:line="211" w:lineRule="exact"/>
        <w:rPr>
          <w:sz w:val="20"/>
          <w:szCs w:val="20"/>
          <w:color w:val="auto"/>
        </w:rPr>
      </w:pPr>
    </w:p>
    <w:p>
      <w:pPr>
        <w:ind w:left="720" w:hanging="712"/>
        <w:spacing w:after="0"/>
        <w:tabs>
          <w:tab w:leader="none" w:pos="7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August 19, 2014, the Compensation Committee of the Board of Directors of the Company approved the material terms of an annual bonus plan for the Company’s executive officers as well as certain officers and employees for the fiscal year ending August 31, 2015. For fiscal 2015 as in past years, the total amount available under the bonus plan for all plan participants, including executive officers, is dependent upon the Company’s earnings before interest, taxes and other income,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Adjusted EBITOI for fiscal 2015 compared to a pre-established target Adjusted EBITOI for fiscal 2015 and 25% of the payout will be determined based upon such executive officer’s achievement of certain pre-established individual performance objectives. The payment of bonuses under the plan are discretionary and may be paid to executive officer participants in both cash and shares of the Company’s common stock, the exact amount and percentages will be determined by the Company’s Board of Directors, upon recommendation of the Compensation Committee, after the completion of the Company’s consolidated financial statements for fiscal 2015. There was an accrual of $240,000 for management bonuses for the three months ended November 30, 2014 compared to an accrual of $299,000 for management bonuses for the three months ended November 30, 2013.</w:t>
      </w:r>
    </w:p>
    <w:p>
      <w:pPr>
        <w:spacing w:after="0" w:line="21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Two joint ventures (consisting of the Company’s joint ventures in Korea and China) accounted for 47.7% of the Company’s trade joint venture receivables at November 30, 2014. Three joint ventures (consisting of the Company’s joint ventures in Korea, China and Thailand) accounted for 62.9% of the Company’s trade joint venture receivables at August 31, 2014.</w:t>
      </w:r>
    </w:p>
    <w:p>
      <w:pPr>
        <w:spacing w:after="0" w:line="20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From time to time, the Company is subject to various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be have been incurred. In the opinion of management, as of November 30, 2014, the amount of liability, if any, with respect to these matters, individually or in the aggregate, will not materially affect the Company’s consolidated results of operations, financial position or cash flows.</w:t>
      </w: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15" w:name="page16"/>
    <w:bookmarkEnd w:id="15"/>
    <w:p>
      <w:pPr>
        <w:ind w:left="720" w:hanging="712"/>
        <w:spacing w:after="0"/>
        <w:tabs>
          <w:tab w:leader="none" w:pos="7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Assets and liabilities that are measured at fair value on a recurring basis primarily relate to marketable equity securities. These items are marked-to-market at each reporting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gridSpan w:val="7"/>
          </w:tcPr>
          <w:p>
            <w:pPr>
              <w:jc w:val="center"/>
              <w:ind w:right="130"/>
              <w:spacing w:after="0"/>
              <w:rPr>
                <w:sz w:val="20"/>
                <w:szCs w:val="20"/>
                <w:color w:val="auto"/>
              </w:rPr>
            </w:pPr>
            <w:r>
              <w:rPr>
                <w:rFonts w:ascii="Arial" w:cs="Arial" w:eastAsia="Arial" w:hAnsi="Arial"/>
                <w:sz w:val="18"/>
                <w:szCs w:val="18"/>
                <w:b w:val="1"/>
                <w:bCs w:val="1"/>
                <w:color w:val="auto"/>
                <w:w w:val="91"/>
              </w:rPr>
              <w:t>Fair Value Measurements</w:t>
            </w:r>
          </w:p>
        </w:tc>
        <w:tc>
          <w:tcPr>
            <w:tcW w:w="0" w:type="dxa"/>
            <w:vAlign w:val="bottom"/>
          </w:tcPr>
          <w:p>
            <w:pPr>
              <w:spacing w:after="0"/>
              <w:rPr>
                <w:sz w:val="1"/>
                <w:szCs w:val="1"/>
                <w:color w:val="auto"/>
              </w:rPr>
            </w:pPr>
          </w:p>
        </w:tc>
      </w:tr>
      <w:tr>
        <w:trPr>
          <w:trHeight w:val="234"/>
        </w:trPr>
        <w:tc>
          <w:tcPr>
            <w:tcW w:w="6500" w:type="dxa"/>
            <w:vAlign w:val="bottom"/>
          </w:tcPr>
          <w:p>
            <w:pPr>
              <w:spacing w:after="0"/>
              <w:rPr>
                <w:sz w:val="20"/>
                <w:szCs w:val="20"/>
                <w:color w:val="auto"/>
              </w:rPr>
            </w:pPr>
          </w:p>
        </w:tc>
        <w:tc>
          <w:tcPr>
            <w:tcW w:w="156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rPr>
              <w:t>Fair Value as of</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7"/>
          </w:tcPr>
          <w:p>
            <w:pPr>
              <w:jc w:val="center"/>
              <w:ind w:right="150"/>
              <w:spacing w:after="0"/>
              <w:rPr>
                <w:sz w:val="20"/>
                <w:szCs w:val="20"/>
                <w:color w:val="auto"/>
              </w:rPr>
            </w:pPr>
            <w:r>
              <w:rPr>
                <w:rFonts w:ascii="Arial" w:cs="Arial" w:eastAsia="Arial" w:hAnsi="Arial"/>
                <w:sz w:val="18"/>
                <w:szCs w:val="18"/>
                <w:b w:val="1"/>
                <w:bCs w:val="1"/>
                <w:color w:val="auto"/>
                <w:w w:val="89"/>
              </w:rPr>
              <w:t>Using Inputs Considered as</w:t>
            </w:r>
          </w:p>
        </w:tc>
        <w:tc>
          <w:tcPr>
            <w:tcW w:w="0" w:type="dxa"/>
            <w:vAlign w:val="bottom"/>
          </w:tcPr>
          <w:p>
            <w:pPr>
              <w:spacing w:after="0"/>
              <w:rPr>
                <w:sz w:val="1"/>
                <w:szCs w:val="1"/>
                <w:color w:val="auto"/>
              </w:rPr>
            </w:pPr>
          </w:p>
        </w:tc>
      </w:tr>
      <w:tr>
        <w:trPr>
          <w:trHeight w:val="191"/>
        </w:trPr>
        <w:tc>
          <w:tcPr>
            <w:tcW w:w="650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00" w:type="dxa"/>
            <w:vAlign w:val="bottom"/>
          </w:tcPr>
          <w:p>
            <w:pPr>
              <w:spacing w:after="0"/>
              <w:rPr>
                <w:sz w:val="20"/>
                <w:szCs w:val="20"/>
                <w:color w:val="auto"/>
              </w:rPr>
            </w:pPr>
          </w:p>
        </w:tc>
        <w:tc>
          <w:tcPr>
            <w:tcW w:w="15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3"/>
              </w:rPr>
              <w:t>November 30, 2014</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Level 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4,024,599</w:t>
            </w:r>
          </w:p>
        </w:tc>
        <w:tc>
          <w:tcPr>
            <w:tcW w:w="2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4,024,599</w:t>
            </w:r>
          </w:p>
        </w:tc>
        <w:tc>
          <w:tcPr>
            <w:tcW w:w="2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Cash equivalents</w:t>
            </w: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2,598,739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7"/>
              </w:rPr>
              <w:t>2,598,739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6,623,338</w:t>
            </w:r>
          </w:p>
        </w:tc>
        <w:tc>
          <w:tcPr>
            <w:tcW w:w="2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6,623,338</w:t>
            </w:r>
          </w:p>
        </w:tc>
        <w:tc>
          <w:tcPr>
            <w:tcW w:w="2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6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1"/>
              </w:rPr>
              <w:t>Fair Value Measurements</w:t>
            </w:r>
          </w:p>
        </w:tc>
        <w:tc>
          <w:tcPr>
            <w:tcW w:w="0" w:type="dxa"/>
            <w:vAlign w:val="bottom"/>
          </w:tcPr>
          <w:p>
            <w:pPr>
              <w:spacing w:after="0"/>
              <w:rPr>
                <w:sz w:val="1"/>
                <w:szCs w:val="1"/>
                <w:color w:val="auto"/>
              </w:rPr>
            </w:pPr>
          </w:p>
        </w:tc>
      </w:tr>
      <w:tr>
        <w:trPr>
          <w:trHeight w:val="234"/>
        </w:trPr>
        <w:tc>
          <w:tcPr>
            <w:tcW w:w="6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6"/>
              </w:rPr>
              <w:t>Fair Value as of</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7"/>
          </w:tcPr>
          <w:p>
            <w:pPr>
              <w:jc w:val="center"/>
              <w:ind w:right="150"/>
              <w:spacing w:after="0"/>
              <w:rPr>
                <w:sz w:val="20"/>
                <w:szCs w:val="20"/>
                <w:color w:val="auto"/>
              </w:rPr>
            </w:pPr>
            <w:r>
              <w:rPr>
                <w:rFonts w:ascii="Arial" w:cs="Arial" w:eastAsia="Arial" w:hAnsi="Arial"/>
                <w:sz w:val="18"/>
                <w:szCs w:val="18"/>
                <w:b w:val="1"/>
                <w:bCs w:val="1"/>
                <w:color w:val="auto"/>
                <w:w w:val="89"/>
              </w:rPr>
              <w:t>Using Inputs Considered as</w:t>
            </w:r>
          </w:p>
        </w:tc>
        <w:tc>
          <w:tcPr>
            <w:tcW w:w="0" w:type="dxa"/>
            <w:vAlign w:val="bottom"/>
          </w:tcPr>
          <w:p>
            <w:pPr>
              <w:spacing w:after="0"/>
              <w:rPr>
                <w:sz w:val="1"/>
                <w:szCs w:val="1"/>
                <w:color w:val="auto"/>
              </w:rPr>
            </w:pPr>
          </w:p>
        </w:tc>
      </w:tr>
      <w:tr>
        <w:trPr>
          <w:trHeight w:val="191"/>
        </w:trPr>
        <w:tc>
          <w:tcPr>
            <w:tcW w:w="6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00" w:type="dxa"/>
            <w:vAlign w:val="bottom"/>
          </w:tcPr>
          <w:p>
            <w:pPr>
              <w:spacing w:after="0"/>
              <w:rPr>
                <w:sz w:val="20"/>
                <w:szCs w:val="20"/>
                <w:color w:val="auto"/>
              </w:rPr>
            </w:pPr>
          </w:p>
        </w:tc>
        <w:tc>
          <w:tcPr>
            <w:tcW w:w="1560" w:type="dxa"/>
            <w:vAlign w:val="bottom"/>
            <w:gridSpan w:val="3"/>
          </w:tcPr>
          <w:p>
            <w:pPr>
              <w:ind w:left="240"/>
              <w:spacing w:after="0"/>
              <w:rPr>
                <w:sz w:val="20"/>
                <w:szCs w:val="20"/>
                <w:color w:val="auto"/>
              </w:rPr>
            </w:pPr>
            <w:r>
              <w:rPr>
                <w:rFonts w:ascii="Arial" w:cs="Arial" w:eastAsia="Arial" w:hAnsi="Arial"/>
                <w:sz w:val="18"/>
                <w:szCs w:val="18"/>
                <w:b w:val="1"/>
                <w:bCs w:val="1"/>
                <w:color w:val="auto"/>
                <w:w w:val="93"/>
              </w:rPr>
              <w:t>August 31, 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Level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5,519,766</w:t>
            </w:r>
          </w:p>
        </w:tc>
        <w:tc>
          <w:tcPr>
            <w:tcW w:w="2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5,519,766</w:t>
            </w:r>
          </w:p>
        </w:tc>
        <w:tc>
          <w:tcPr>
            <w:tcW w:w="2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Cash equivalents</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2,477,017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7"/>
              </w:rPr>
              <w:t>2,477,017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7,996,783</w:t>
            </w:r>
          </w:p>
        </w:tc>
        <w:tc>
          <w:tcPr>
            <w:tcW w:w="2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7,996,783</w:t>
            </w:r>
          </w:p>
        </w:tc>
        <w:tc>
          <w:tcPr>
            <w:tcW w:w="2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720" w:hanging="712"/>
        <w:spacing w:after="0"/>
        <w:tabs>
          <w:tab w:leader="none" w:pos="7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56"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On January 2, 2015, the Company announced that, effective as of December 31, 2014, the Company terminated its joint venture arrangement in China and intends to conduct future business in China through a newly formed wholly owned subsidiary, NTIC (Shanghai) Co. Ltd. (NTIC China). The Company anticipates that as a result of the terminated relationship, the operations of the Chinese joint venture will cease and the joint venture entity will be liquidated. In connection with the formation and establishment of NTIC China, the Company invested $500,000 during the first quarter of fiscal 2015 and anticipates investing an additional $1,500,000 during the remainder of fiscal 2015 to serve as working capital for NTIC China. NTIC incurred approximately $225,000 of direct expenses during the three months ended November 30, 2014 related to the termination of its previous joint venture in China and the formation of NTIC China. Such expenses consisted primarily of legal expenses and personnel expenses associated with the establishment of the subsidiary, the hiring of new personnel and initial operations.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6" w:name="page17"/>
    <w:bookmarkEnd w:id="16"/>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“Part I. Item 2. Management’s Discussion and Analysis of Financial Condition and Results of Operations—Forward-Looking Statements” in this report and under “Part 1. Item 1A. Risk Factors” in our annual report on Form 10-K for the fiscal year ended August 31, 2014 and “Part II. Item 1A. Risk Factors” in this report. The following discussion of the results of the operations and financial condition of NTIC should be read in conjunction with NTIC’s consolidated financial statements and the related notes thereto included under the heading “Part I. Item 1.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NTIC develops and markets proprietary environmentally beneficial products and services in over 60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over 40 years, and in recent years, has targeted and expanded into the oil and gas industry. NTIC also markets and sells a portfolio of biobased and compostable (fully biodegradable) polymer resins and finished products under the Natur-Tec® brand. These products are intended to reduce NTIC’s customers’ carbon footprint and provide environmentally sound waste disposal options.</w:t>
      </w:r>
    </w:p>
    <w:p>
      <w:pPr>
        <w:spacing w:after="0" w:line="20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NTIC’s ZERUST® rust and corrosion inhibiting products include plastic and paper packaging, liquids and coatings, rust removers and cleaners, diffusers and engineered solutions designed specifically for the oil and gas industry. NTIC also offers worldwide on-site technical consulting for rust and corrosion prevention issues. NTIC’s technical service consultants work directly with the end users of NTIC’s ZERUST® rust and corrosion inhibiting products to analyze their specific needs and develop systems to meet their technical requirements. In North America, NTIC sells its ZERUST® corrosion prevention solutions through a direct sales force as well as a network of independent distributors and agents. Internationally, NTIC sells its ZERUST® corrosion prevention solutions through its majority owned subsidiary in Brazil, Zerust Prevenção de Corrosão S.A. (Zerust Brazil), its newly formed wholly owned subsidiary in China, NTIC (Shanghai) Co., Ltd., its majority owned joint venture holding company for NTIC’s joint venture investments in the Association of Southeast Asian Nations (ASEAN) region, and joint venture arrangements in North America, Europe and Asia.</w:t>
      </w:r>
    </w:p>
    <w:p>
      <w:pPr>
        <w:spacing w:after="0" w:line="20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One of NTIC’s strategic initiatives is to expand into and penetrate other markets for its ZERUST® corrosion prevention solutions. Consequently, for the past several years, NTIC has focused its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corrosion leaks.</w:t>
      </w:r>
    </w:p>
    <w:p>
      <w:pPr>
        <w:spacing w:after="0" w:line="2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NTIC markets and sells its ZERUST® rust and corrosion prevention solutions to customers in the oil and gas industry across several countries either directly, through Zerust Brazil or through NTIC’s joint venture partners and other strategic partners. The sale of ZERUST® corrosion prevention solutions to customers in the oil and gas industry typically involves a long sales cycle, often including a one- to multi-year trial period with each customer and a slow integration process thereafter.</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Natur-Tec® biobased and compostable plastics are manufactured using NTIC’s patented and/or proprietary technologies and are intended to replace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conventional petroleum-based plastics. The Natur-Tec® biopolymer resin compound portfolio include formulations that have been optimized for a variety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applications including blown-film extrusion, extrusion coating, injection molding, and engineered plastics. These resins are fully biodegradable in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composting environment and are currently being used to produce finished products including shopping and grocery bags, lawn and leaf bags, can liners, pet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waste collection bags, cutlery, packaging foam and coated paper products. In North America, NTIC markets its Natur-Tec® resins and finished products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through a network of regional and national distributors as well as independent agents. NTIC continues to see significant opportunities for finished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bioplastic products and, therefore, continues to strengthen and expand its North American distribution network for finished Natur-Tec® bioplastic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products. Internationally, NTIC sells its Natur-Tec® resins and finished products both directly and through its recently formed majority owned subsidiary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India, Natur-Tec India Private Limited (Natur-Tec India), and certain joint ventures.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Recent Development</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January 2, 2015, NTIC announced that, effective as of December 31, 2014, it is selling its ZERUST® products and services in China though a newly formed wholly owned subsidiary, NTIC (Shanghai) Co., Ltd. (NTIC China), and has terminated its relationship with its former Chinese joint venture, Tianjin-Zerust Anticorrosion Co., Ltd. NTIC anticipates that as a result of the terminated relationship, the operations of the Chinese joint venture will cease and the joint venture entity will be liquidated.</w:t>
      </w:r>
    </w:p>
    <w:p>
      <w:pPr>
        <w:spacing w:after="0" w:line="21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NTIC indirectly had a 30% ownership interest in its former Chinese joint venture through its 60% owned holding company subsidiary, NTI Asean LLC. Commencing during the second quarter of fiscal 2015, NTIC’s consolidated financial statements will include the financial results of NTIC China. NTIC anticipates that due to the consolidation of NTIC China, NTIC’s net sales, costs of goods sold and operating expenses will increase and its equity in income from joint ventures and fee income for services provided to its joint ventures will decrease in future periods compared to the prior fiscal year periods, since NTIC accounted for its investment in the former Chinese joint venture in NTIC’s consolidated financial statements utilizing the equity method of accounting. NTIC anticipates that it may take some time to transition the previous customers of NTIC’s former Chinese joint venture to NTIC China and no assurance can be provided that NTIC China will be able to achieve the net sales and income levels previously achieved by NTIC’s former Chinese joint venture. For the fiscal year ended August 31, 2014, NTIC’s former Chinese joint venture had net sales of $15.9 million and net income of $1.3 million. The operating income of the joint venture before paying royalties in an aggregate amount of $4.2 million to all shareholders was over $5.5 million; NTIC’s 30% portion of that operating income was $1.6 million. For the first quarter of fiscal 2015, NTIC’s former Chinese joint venture had net sales of $3.74 million and net income of $266,000. The operating income of the joint venture before paying royalties in the aggregate amount of $1.03 million to all shareholders was about $1.3 million; NTIC’s 30% portion of that operating income was $360,000. Beginning during its first quarter of fiscal 2015, NTIC has incurred start-up expenses and expects to incur losses at NTIC China as it initiates operations prior to recognizing any revenue. As a result, NTIC expects that its operating results may be volatile over the next few quarters, including in particular its second quarter of fiscal 2015. NTIC does not anticipate at this time that it will have any loss on the liquidation of its ownership interest in its previous joint venture in China.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Joint Venture Network</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NTIC participates in 19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also sell NTIC’s Natur-Tec® resin compounds. NTIC has historically funded its investments in joint ventures with cash generated from operations.</w:t>
      </w:r>
    </w:p>
    <w:p>
      <w:pPr>
        <w:spacing w:after="0" w:line="21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NTIC’s receipt of funds from its joint ventures is dependent upon fees for services that NTIC provides to its joint ventures, based primarily on the net sales of the individual joint ventures, and NTIC’s receipt of dividend distributions from the joint ventures. The fees for services provided to joint ventures are determined based on either a flat fee or a percentage of sales depending on local laws and tax regulations. With respect to NTIC’s joint venture in Germany (EXCOR), NTIC recognizes an agreed upon quarterly fee for such services. NTIC recognizes equity income from its joint ventures based on the overall profitability of its joint ventures. Such profitability is subject to variability from quarter to quarter which, in turn, subjects NTIC’s earnings to variability from quarter to quarter. The profits of NTIC’s joint ventures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NTIC accounts for the investments and financial results of its joint ventures in its financial statements utilizing the equity method of accounting.</w:t>
      </w:r>
    </w:p>
    <w:p>
      <w:pPr>
        <w:spacing w:after="0" w:line="25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results of Zerust Brazil, NTI Asean and Natur-Tec India are fully consolidated in NTIC’s consolidated financial statements. NTIC holds 85% of the equity and 85% of the voting rights of Zerust Brazil. NTIC holds 60% of the equity and 60% of the voting rights of NTI Asean. NTI Asean holds investments in eight entities that operate in the following eight territories located in the ASEAN region: China (although terminated as of December 31, 2014), Indonesia, Korea, Malaysia, Philippines, Singapore, Taiwan and Thailand. NTIC holds 90% of the equity and 90% of the voting rights of Natur-Tec India.</w:t>
      </w:r>
    </w:p>
    <w:p>
      <w:pPr>
        <w:spacing w:after="0" w:line="21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NTIC considers EXCOR and its former joint venture in China to be individually significant to NTIC’s consolidated assets and income; and therefore, provides certain additional information regarding EXCOR and its former joint venture in China in the notes to NTIC’s consolidated financial statements and in this section of this report.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6"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NTIC’s consolidated net sales increased 14.3% during the three months ended November 30, 2014 compared to the three months ended November 30,</w:t>
      </w:r>
    </w:p>
    <w:p>
      <w:pPr>
        <w:spacing w:after="0" w:line="4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2013. This increase was primarily a result of increased demand for ZERUST® rust and corrosion inhibiting packaging products and services and Natur-Tec® products. During the three months ended November 30, 2014, 86.5% of NTIC’s consolidated net sales were derived from sales of ZERUST® products and services, which increased 8.5% to $6,238,071 compared to $5,749,013 for the three months ended November 30, 2013. This increase was due to increased demand from both new and existing customers for new and existing products. NTIC has focused its sales efforts of ZERUST® products and services by strategically targeting customers with specific corrosion issues in new market areas, including the oil and gas industry and other industrial sectors that offer sizable growth opportunities. NTIC’s consolidated net sales for the three months ended November 30, 2014 included $502,192 of sales made to customers in the oil and gas industry compared to $390,610 for the three months ended November 30, 2013. Overall demand for ZERUST® products and services depends heavily on the overall health of the markets in which NTIC sells its products, including the automotive market in particular.</w:t>
      </w:r>
    </w:p>
    <w:p>
      <w:pPr>
        <w:spacing w:after="0" w:line="19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the three months ended November 30, 2014, 13.5% of NTIC’s consolidated net sales were derived from sales of Natur-Tec® products compared to 8.9% during the three months ended November 30, 2013. Net sales of Natur-Tec® products increased 74.3% during the three months ended November 30, 2014 compared to the three months ended November 30, 2013. This increase was split between an increase in finished product sales in North America and finished product sales at NTIC’s majority owned subsidiary in India, Natur-Tec India Private Limited, which subsidiary did not exist during the same period in fiscal 2014. During the three months ended November 30, 2014, NTIC entered into an agreement with NatureWorks LLC for joint marketing and sales of Ingeo® based packaging solutions to customers in India. With recent Indian government mandates banning use of non-biodegradable plastics in certain types of food and consumer packaging, NTIC expect the market in India for bioplastic packaging solutions to grow substantially.</w:t>
      </w:r>
    </w:p>
    <w:p>
      <w:pPr>
        <w:spacing w:after="0" w:line="19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Cost of goods sold as a percentage of net sales increased to 66.6% during the three months ended November 30, 2014 compared to 65.9% during the three months ended November 30, 2013 primarily as a result of increased sales during the three months ended November 30, 2014 of Natur-Tec® products which carry lower margins than ZERUST® products.</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9" w:name="page20"/>
    <w:bookmarkEnd w:id="19"/>
    <w:p>
      <w:pPr>
        <w:ind w:right="100"/>
        <w:spacing w:after="0" w:line="255" w:lineRule="auto"/>
        <w:rPr>
          <w:sz w:val="20"/>
          <w:szCs w:val="20"/>
          <w:color w:val="auto"/>
        </w:rPr>
      </w:pPr>
      <w:r>
        <w:rPr>
          <w:rFonts w:ascii="Arial" w:cs="Arial" w:eastAsia="Arial" w:hAnsi="Arial"/>
          <w:sz w:val="18"/>
          <w:szCs w:val="18"/>
          <w:color w:val="auto"/>
        </w:rPr>
        <w:t>NTIC’s equity in income of joint ventures increased 12.5% to $1,606,683 during the three months ended November 30, 2014 compared to $1,427,748 during the three months ended November 30, 2013. Additionally, fees for services provided to joint ventures increased 1.1% to $2,133,670 during the three months ended November 30, 2014 compared to $2,109,648 during the three months ended November 30, 2013. Total net sales of NTIC’s joint ventures decreased 1.8% to $29,120,852 during the three months ended November 30, 2014 compared to $29,661,218 for the three months ended November 30, 2013 due primarily to the weakening of the Euro compared to the U.S. dollar and the sale of NTIC’s ownership interest in Mütec GmbH, partially offset by increased demand.</w:t>
      </w:r>
    </w:p>
    <w:p>
      <w:pPr>
        <w:spacing w:after="0" w:line="22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NTIC’s total operating expenses increased to $4,510,179 during the three months ended November 30, 2014 compared to $4,174,166 for the three months ended November 30, 2013. This increase was primarily the result of expenses related to the formation and establishment of NTIC China. NTIC incurred approximately $225,000 of direct expenses during the three months ended November 30, 2014 related to the termination of its previous joint venture in China and the formation of NTIC China. Such expenses consisted primarily of legal expenses and personnel expenses associated with the establishment of the subsidiary, the hiring of new personnel and initial operations.</w:t>
      </w:r>
    </w:p>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NTIC expenses all costs related to product research and development as incurred. NTIC incurred $1,049,913 and $1,138,520 of expense during the three months ended November 30, 2014 and 2013, respectively, in connection with its research and development activities. These represent net amounts after being reduced by reimbursements related to certain research and development contracts of $0 and $45,788 during the three months ended November 30, 2014 and 2013, respectively. NTIC anticipates that it will spend between $4,000,000 and $4,500,000 in total during fiscal 2015 on research and development activities related to its new technologies. This estimate is a net range after being reduced by anticipated reimbursements related to certain research and development contracts.</w:t>
      </w:r>
    </w:p>
    <w:p>
      <w:pPr>
        <w:spacing w:after="0" w:line="220"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Net income attributable to NTIC increased 17.4% to $1,008,265, or $0.22 per diluted common share, for the three months ended November 30, 2014 compared to $858,586, or $0.19 per diluted common share, for the three months ended November 30, 2013. This increase was primarily the result of an increase in gross profit and an increase in income from NTIC’s joint venture operations, partially offset by an increase in operating expenses.</w:t>
      </w:r>
    </w:p>
    <w:p>
      <w:pPr>
        <w:spacing w:after="0" w:line="17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NTIC anticipates that its quarterly net income will continue to remain subject to significant volatility primarily due to the financial performance of its joint ventures and sales of its ZERUST® products and services into the oil and gas industry and Natur-Tec® bioplastics products, which sales fluctuate more on a quarterly basis than the traditional ZERUST® business. NTIC also anticipates that its operating results for second quarter of fiscal 2015 will be particularly volatile as a result of the termination of NTIC’s previous joint venture in China and the formation and establishment of NTIC China.</w:t>
      </w:r>
    </w:p>
    <w:p>
      <w:pPr>
        <w:spacing w:after="0" w:line="18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NTIC’s working capital was $17,057,330 at November 30, 2014, including $2,598,739 in cash and cash equivalents and $4,024,599 in available for sale securities, compared to $17,853,311 at August 31, 2014, including $2,477,017 in cash and cash equivalents and $5,519,766 in available for sale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NTIC’s results of operations for the three months ended November 30, 2014 and 2013.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191"/>
        </w:trPr>
        <w:tc>
          <w:tcPr>
            <w:tcW w:w="3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9"/>
              </w:rPr>
              <w:t>November 30,</w:t>
            </w:r>
          </w:p>
        </w:tc>
        <w:tc>
          <w:tcPr>
            <w:tcW w:w="120" w:type="dxa"/>
            <w:vAlign w:val="bottom"/>
          </w:tcPr>
          <w:p>
            <w:pPr>
              <w:spacing w:after="0"/>
              <w:rPr>
                <w:sz w:val="16"/>
                <w:szCs w:val="16"/>
                <w:color w:val="auto"/>
              </w:rPr>
            </w:pPr>
          </w:p>
        </w:tc>
        <w:tc>
          <w:tcPr>
            <w:tcW w:w="104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118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w w:val="88"/>
              </w:rPr>
              <w:t>November 30,</w:t>
            </w:r>
          </w:p>
        </w:tc>
        <w:tc>
          <w:tcPr>
            <w:tcW w:w="120" w:type="dxa"/>
            <w:vAlign w:val="bottom"/>
          </w:tcPr>
          <w:p>
            <w:pPr>
              <w:spacing w:after="0"/>
              <w:rPr>
                <w:sz w:val="16"/>
                <w:szCs w:val="16"/>
                <w:color w:val="auto"/>
              </w:rPr>
            </w:pPr>
          </w:p>
        </w:tc>
        <w:tc>
          <w:tcPr>
            <w:tcW w:w="104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30"/>
              <w:spacing w:after="0" w:line="191" w:lineRule="exact"/>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49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3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Net Sales</w:t>
            </w: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Net Sales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0"/>
              </w:rPr>
              <w:t>Change</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6,480,991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5,605,018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875,973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660" w:type="dxa"/>
            <w:vAlign w:val="bottom"/>
            <w:gridSpan w:val="2"/>
          </w:tcPr>
          <w:p>
            <w:pPr>
              <w:jc w:val="right"/>
              <w:ind w:right="10"/>
              <w:spacing w:after="0"/>
              <w:rPr>
                <w:sz w:val="20"/>
                <w:szCs w:val="20"/>
                <w:color w:val="auto"/>
              </w:rPr>
            </w:pPr>
            <w:r>
              <w:rPr>
                <w:rFonts w:ascii="Arial" w:cs="Arial" w:eastAsia="Arial" w:hAnsi="Arial"/>
                <w:sz w:val="18"/>
                <w:szCs w:val="18"/>
                <w:color w:val="auto"/>
              </w:rPr>
              <w:t>733,104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704,082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29,022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4,806,611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4,158,031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648,580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Equity in income of joint ventures</w:t>
            </w:r>
          </w:p>
        </w:tc>
        <w:tc>
          <w:tcPr>
            <w:tcW w:w="1660" w:type="dxa"/>
            <w:vAlign w:val="bottom"/>
            <w:gridSpan w:val="2"/>
          </w:tcPr>
          <w:p>
            <w:pPr>
              <w:jc w:val="right"/>
              <w:ind w:right="10"/>
              <w:spacing w:after="0"/>
              <w:rPr>
                <w:sz w:val="20"/>
                <w:szCs w:val="20"/>
                <w:color w:val="auto"/>
              </w:rPr>
            </w:pPr>
            <w:r>
              <w:rPr>
                <w:rFonts w:ascii="Arial" w:cs="Arial" w:eastAsia="Arial" w:hAnsi="Arial"/>
                <w:sz w:val="18"/>
                <w:szCs w:val="18"/>
                <w:color w:val="auto"/>
              </w:rPr>
              <w:t>1,606,683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1,427,748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178,935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2,133,670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2,109,648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24,022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Selling expenses</w:t>
            </w:r>
          </w:p>
        </w:tc>
        <w:tc>
          <w:tcPr>
            <w:tcW w:w="1660" w:type="dxa"/>
            <w:vAlign w:val="bottom"/>
            <w:gridSpan w:val="2"/>
          </w:tcPr>
          <w:p>
            <w:pPr>
              <w:jc w:val="right"/>
              <w:ind w:right="10"/>
              <w:spacing w:after="0"/>
              <w:rPr>
                <w:sz w:val="20"/>
                <w:szCs w:val="20"/>
                <w:color w:val="auto"/>
              </w:rPr>
            </w:pPr>
            <w:r>
              <w:rPr>
                <w:rFonts w:ascii="Arial" w:cs="Arial" w:eastAsia="Arial" w:hAnsi="Arial"/>
                <w:sz w:val="18"/>
                <w:szCs w:val="18"/>
                <w:color w:val="auto"/>
              </w:rPr>
              <w:t>1,394,887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1,318,886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76,001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1,538,262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1,387,496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150,766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Expenses incurred in support of joint ventures</w:t>
            </w:r>
          </w:p>
        </w:tc>
        <w:tc>
          <w:tcPr>
            <w:tcW w:w="1660" w:type="dxa"/>
            <w:vAlign w:val="bottom"/>
            <w:gridSpan w:val="2"/>
          </w:tcPr>
          <w:p>
            <w:pPr>
              <w:jc w:val="right"/>
              <w:ind w:right="10"/>
              <w:spacing w:after="0"/>
              <w:rPr>
                <w:sz w:val="20"/>
                <w:szCs w:val="20"/>
                <w:color w:val="auto"/>
              </w:rPr>
            </w:pPr>
            <w:r>
              <w:rPr>
                <w:rFonts w:ascii="Arial" w:cs="Arial" w:eastAsia="Arial" w:hAnsi="Arial"/>
                <w:sz w:val="18"/>
                <w:szCs w:val="18"/>
                <w:color w:val="auto"/>
              </w:rPr>
              <w:t>527,117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329,264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197,853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60.1%</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1,049,913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1,138,520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(88,607)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608"/>
        </w:trPr>
        <w:tc>
          <w:tcPr>
            <w:tcW w:w="3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gridSpan w:val="2"/>
          </w:tcPr>
          <w:p>
            <w:pPr>
              <w:jc w:val="right"/>
              <w:ind w:right="73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05"/>
        </w:trPr>
        <w:tc>
          <w:tcPr>
            <w:tcW w:w="3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61"/>
        </w:trPr>
        <w:tc>
          <w:tcPr>
            <w:tcW w:w="380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4" w:right="239" w:bottom="1440" w:gutter="0" w:footer="0" w:header="0"/>
        </w:sectPr>
      </w:pPr>
    </w:p>
    <w:bookmarkStart w:id="20" w:name="page21"/>
    <w:bookmarkEnd w:id="20"/>
    <w:p>
      <w:pPr>
        <w:jc w:val="both"/>
        <w:ind w:right="180"/>
        <w:spacing w:after="0" w:line="257"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NTIC’s consolidated net sales increased 14.3% to $7,214,095 during the three months ended November 30, 2014 compared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November 30, 2013. NTIC’s consolidated net sales to unaffiliated customers excluding NTIC’s joint ventures increased 15.6% to $6,480,991 during the three months ended November 30, 2014 compared to the same period in fiscal 2014. These increases were primarily a result of increased demand from existing customers and the addition of new customers. Net sales to joint ventures increased 4.1% to $733,104 during the three months ended November 30, 2014 compared to the same period in fiscal 2014.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by product category for the three months ended November 30, 2014 and 2013 by segment: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3"/>
              </w:rPr>
              <w:t>Three Months Ended</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191"/>
        </w:trPr>
        <w:tc>
          <w:tcPr>
            <w:tcW w:w="6640" w:type="dxa"/>
            <w:vAlign w:val="bottom"/>
          </w:tcPr>
          <w:p>
            <w:pPr>
              <w:spacing w:after="0"/>
              <w:rPr>
                <w:sz w:val="16"/>
                <w:szCs w:val="16"/>
                <w:color w:val="auto"/>
              </w:rPr>
            </w:pPr>
          </w:p>
        </w:tc>
        <w:tc>
          <w:tcPr>
            <w:tcW w:w="11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8"/>
              </w:rPr>
              <w:t>November 30,</w:t>
            </w:r>
          </w:p>
        </w:tc>
        <w:tc>
          <w:tcPr>
            <w:tcW w:w="120" w:type="dxa"/>
            <w:vAlign w:val="bottom"/>
          </w:tcPr>
          <w:p>
            <w:pPr>
              <w:spacing w:after="0"/>
              <w:rPr>
                <w:sz w:val="16"/>
                <w:szCs w:val="16"/>
                <w:color w:val="auto"/>
              </w:rPr>
            </w:pPr>
          </w:p>
        </w:tc>
        <w:tc>
          <w:tcPr>
            <w:tcW w:w="11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8"/>
              </w:rPr>
              <w:t>November 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30"/>
              <w:spacing w:after="0" w:line="191"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43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6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0"/>
              </w:rPr>
              <w:t>Change</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ZERUST® sales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6,238,071</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5,749,013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489,058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Total Natur-Tec® sales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976,024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560,087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415,937</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r>
      <w:tr>
        <w:trPr>
          <w:trHeight w:val="210"/>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net sales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7,214,095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6,309,100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904,995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r>
    </w:tbl>
    <w:p>
      <w:pPr>
        <w:spacing w:after="0" w:line="229"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color w:val="auto"/>
        </w:rPr>
        <w:t>During the three months ended November 30, 2014, 86.5% of NTIC’s consolidated net sales were derived from sales of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services, which increased 8.5% to $6,238,071 during the three months ended November 30, 2014 compared to $5,749,013 during the same period in fiscal 2014, due primarily from increased demand from existing customers and the addition of new customers. NTIC has strategically focused its sales efforts for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services on customers with sizeable corrosion problems in industry sectors that offer sizable growth opportunities, including the oil and gas sector.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of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for the three months ended November 30, 2014 and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4"/>
              </w:rPr>
              <w:t>Three Months Ended</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191"/>
        </w:trPr>
        <w:tc>
          <w:tcPr>
            <w:tcW w:w="46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1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8"/>
              </w:rPr>
              <w:t>November 30,</w:t>
            </w:r>
          </w:p>
        </w:tc>
        <w:tc>
          <w:tcPr>
            <w:tcW w:w="100" w:type="dxa"/>
            <w:vAlign w:val="bottom"/>
          </w:tcPr>
          <w:p>
            <w:pPr>
              <w:spacing w:after="0"/>
              <w:rPr>
                <w:sz w:val="16"/>
                <w:szCs w:val="16"/>
                <w:color w:val="auto"/>
              </w:rPr>
            </w:pPr>
          </w:p>
        </w:tc>
        <w:tc>
          <w:tcPr>
            <w:tcW w:w="120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8"/>
              </w:rPr>
              <w:t>November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30"/>
              <w:spacing w:after="0" w:line="191"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43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46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Change</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ZERUST® industrial net sales</w:t>
            </w:r>
          </w:p>
        </w:tc>
        <w:tc>
          <w:tcPr>
            <w:tcW w:w="220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5,002,775</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4,656,839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345,936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4680" w:type="dxa"/>
            <w:vAlign w:val="bottom"/>
          </w:tcPr>
          <w:p>
            <w:pPr>
              <w:ind w:left="280"/>
              <w:spacing w:after="0"/>
              <w:rPr>
                <w:sz w:val="20"/>
                <w:szCs w:val="20"/>
                <w:color w:val="auto"/>
              </w:rPr>
            </w:pPr>
            <w:r>
              <w:rPr>
                <w:rFonts w:ascii="Arial" w:cs="Arial" w:eastAsia="Arial" w:hAnsi="Arial"/>
                <w:sz w:val="18"/>
                <w:szCs w:val="18"/>
                <w:color w:val="auto"/>
              </w:rPr>
              <w:t>ZERUST® joint venture net sales</w:t>
            </w: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733,104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701,564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31,540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ZERUST® oil &amp; gas net sales</w:t>
            </w:r>
          </w:p>
        </w:tc>
        <w:tc>
          <w:tcPr>
            <w:tcW w:w="1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502,192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390,610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111,582</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24"/>
        </w:trPr>
        <w:tc>
          <w:tcPr>
            <w:tcW w:w="4680" w:type="dxa"/>
            <w:vAlign w:val="bottom"/>
          </w:tcPr>
          <w:p>
            <w:pPr>
              <w:ind w:left="500"/>
              <w:spacing w:after="0"/>
              <w:rPr>
                <w:sz w:val="20"/>
                <w:szCs w:val="20"/>
                <w:color w:val="auto"/>
              </w:rPr>
            </w:pPr>
            <w:r>
              <w:rPr>
                <w:rFonts w:ascii="Arial" w:cs="Arial" w:eastAsia="Arial" w:hAnsi="Arial"/>
                <w:sz w:val="18"/>
                <w:szCs w:val="18"/>
                <w:color w:val="auto"/>
              </w:rPr>
              <w:t>Total ZERUST® net sales</w:t>
            </w:r>
          </w:p>
        </w:tc>
        <w:tc>
          <w:tcPr>
            <w:tcW w:w="220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6,238,071</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5,749,013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489,058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8.5%</w:t>
            </w:r>
          </w:p>
        </w:tc>
      </w:tr>
    </w:tbl>
    <w:p>
      <w:pPr>
        <w:spacing w:after="0" w:line="21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NTIC anticipates that its sales of ZERUST® products and services into the oil and gas industry will continue to remain subject to significant volatility from quarter to quarter as sales are recognized.</w:t>
      </w:r>
    </w:p>
    <w:p>
      <w:pPr>
        <w:spacing w:after="0" w:line="19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During the three months ended November 30, 2014, 13.5% of NTIC’s consolidated net sales were derived from sales of Natur-Tec® products, which increased 74.3% to $976,024 during the three months ended November 30, 2014 compared to the three months ended November 30, 2013. This increase was split between an increase in finished product sales in North America and finished product sales through Natur-Tec India, which subsidiary did not exist during the same period in fiscal 2014. Demand for Natur-Tec® products around the world depends primarily on market acceptance and the reach of NTIC’s distribution network. Because of the typical size of individual orders and overall size of NTIC’s net sales derived from sales of Natur-Tec® products, the timing of one or more orders can materially affect NTIC’s quarterly sales of Natur-Tec® products and the comparisons to prior fiscal year quarters.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1" w:name="page22"/>
    <w:bookmarkEnd w:id="21"/>
    <w:p>
      <w:pPr>
        <w:ind w:right="160"/>
        <w:spacing w:after="0" w:line="264" w:lineRule="auto"/>
        <w:rPr>
          <w:sz w:val="20"/>
          <w:szCs w:val="20"/>
          <w:color w:val="auto"/>
        </w:rPr>
      </w:pPr>
      <w:r>
        <w:rPr>
          <w:rFonts w:ascii="Arial" w:cs="Arial" w:eastAsia="Arial" w:hAnsi="Arial"/>
          <w:sz w:val="18"/>
          <w:szCs w:val="18"/>
          <w:color w:val="auto"/>
        </w:rPr>
        <w:t>Assuming NTIC is able to transition the previous customers of NTIC’s former Chinese joint venture to NTIC China, of which there can be no assurance, NTIC expects its net sales to increase in future periods compared to prior fiscal year periods as a result of the consolidation of NTIC China beginning in the second quarter of fiscal 2015.</w:t>
      </w:r>
    </w:p>
    <w:p>
      <w:pPr>
        <w:spacing w:after="0" w:line="208"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i w:val="1"/>
          <w:iCs w:val="1"/>
          <w:color w:val="auto"/>
        </w:rPr>
        <w:t>Cost of Goods Sold</w:t>
      </w:r>
      <w:r>
        <w:rPr>
          <w:rFonts w:ascii="Arial" w:cs="Arial" w:eastAsia="Arial" w:hAnsi="Arial"/>
          <w:sz w:val="16"/>
          <w:szCs w:val="16"/>
          <w:color w:val="auto"/>
        </w:rPr>
        <w:t>. Cost of goods sold increased 15.6% for the three months ended November 30, 2014 compared to the three months ended November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2013 primarily as a result of increased net sales. Cost of goods sold as a percentage of net sales increased to 66.6% for the three months ended November 30, 2014 compared to 65.9% for the three months ended November 30, 2013 primarily as a result of increased sales during the three months ended November 30, 2014 of Natur-Tec® products which carry lower margins than other traditional ZERUST® products. NTIC anticipates that due to the consolidation of NTIC China, NTIC’s costs of goods sold will increase in future periods compared to the prior fiscal year periods.</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Equity in Income of Joint Ventures. </w:t>
      </w:r>
      <w:r>
        <w:rPr>
          <w:rFonts w:ascii="Arial" w:cs="Arial" w:eastAsia="Arial" w:hAnsi="Arial"/>
          <w:sz w:val="17"/>
          <w:szCs w:val="17"/>
          <w:color w:val="auto"/>
        </w:rPr>
        <w:t>NTIC’s equity in income of joint ventures increased 12.5% to $1,606,683 during the three months ended November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2014 compared $1,427,748 during the three months ended November 30, 2013. Of the total equity in income of joint ventures, NTIC had equity in income of joint ventures of $978,096 attributable to EXCOR during the three months ended November 30, 2014 compared to $926,654 during the three months ended November 30, 2013. Of the total equity in income of joint ventures, NTIC had equity in income of joint ventures of $132,824 attributable to its former joint venture in China during the three months ended November 30, 2014 compared to $149,354 during the three months ended November 30, 2013. NTIC had equity in income of all other joint ventures of $495,763 during the three months ended November 30, 2014 compared to $351,740 during the three months ended November 30, 2013. NTIC expects its equity in income of joint ventures to be lower in future periods compared to prior fiscal year periods as a result of the termination of its joint venture in China.</w:t>
      </w:r>
    </w:p>
    <w:p>
      <w:pPr>
        <w:spacing w:after="0" w:line="206"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i w:val="1"/>
          <w:iCs w:val="1"/>
          <w:color w:val="auto"/>
        </w:rPr>
        <w:t>Fees for Services Provided to Joint Ventures</w:t>
      </w:r>
      <w:r>
        <w:rPr>
          <w:rFonts w:ascii="Arial" w:cs="Arial" w:eastAsia="Arial" w:hAnsi="Arial"/>
          <w:sz w:val="17"/>
          <w:szCs w:val="17"/>
          <w:color w:val="auto"/>
        </w:rPr>
        <w:t>. NTIC recognized fee income for services provided to joint ventures of $2,133,670 during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November 30, 2014 compared to $2,109,648 during the three months ended November 30, 2013, representing an increase of $24,022, or 1.1%. Fee income for services provided to joint ventures is a function of the sales made by NTIC’s joint ventures. Total net sales of NTIC’s joint ventures decreased 1.8% to $29,120,852 during the three months ended November 30, 2014 compared to $29,661,218 for the three months ended November 30, 2013 due primarily to the weakening of the Euro compared to the U.S. dollar and the sale of NTIC’s ownership interest in Mütec GmbH, partially offset by increased demand. Sales of NTIC’s joint ventures are not included in NTIC’s product sales and are not combined with NTIC’s sales in NTIC’s consolidated financial statements or in any description of NTIC’s sales.</w:t>
      </w:r>
    </w:p>
    <w:p>
      <w:pPr>
        <w:spacing w:after="0" w:line="20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Of the total fee income for services provided to its joint ventures, fees of $516,139 and $238,321 were attributable to NTIC’s former joint venture in China and EXCOR, respectively, during the three months ended November 30, 2014 compared to $588,182 and $263,555 attributable to NTIC’s former joint venture in China and EXCOR during the three months ended November 30, 2013. The decrease in fee income for services provided to joint ventures attributable to NTIC’s former joint venture in China was primarily the result of decreased sales during the most recent period and the decrease in fee income for services provided to joint ventures attributable to EXCOR was primarily the result of foreign currency exchange rate fluctuations. NTIC anticipates that due to the consolidation of NTIC China, NTIC’s fee income for services provided to its joint ventures will decrease in future periods compared to the prior fiscal year periods.</w:t>
      </w:r>
    </w:p>
    <w:p>
      <w:pPr>
        <w:spacing w:after="0" w:line="2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Selling Expenses</w:t>
      </w:r>
      <w:r>
        <w:rPr>
          <w:rFonts w:ascii="Arial" w:cs="Arial" w:eastAsia="Arial" w:hAnsi="Arial"/>
          <w:sz w:val="18"/>
          <w:szCs w:val="18"/>
          <w:color w:val="auto"/>
        </w:rPr>
        <w:t>. NTIC’s selling expenses increased 5.8% for the three months ended November 30, 2014 compared to the same period in fiscal 2014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in compensation and employee benefits, lab testing related expenses, commission expenses, travel and related expenses, and consulting expenses. Selling expenses as a percentage of net sales decreased slightly to 19.3% for the three months ended November 30, 2014, from 20.9% during the three months ended November 30, 2013 due primarily to the increase in net sales as well as certain fixed costs, partially offset by the increase in selling expenses as previously described.</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2" w:name="page23"/>
    <w:bookmarkEnd w:id="22"/>
    <w:p>
      <w:pPr>
        <w:ind w:right="100"/>
        <w:spacing w:after="0" w:line="257"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NTIC’s general and administrative expenses increased 10.9% for the three months ended November 30, 2014</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fiscal 2014 due primarily to an increase in consulting expenses to support new business development. As a percentage of net sales, general and administrative expenses decreased to 21.3% for the three months ended November 30, 2014 from 22.0% for the three months ended November 30, 2013 due primarily to the increase in net sales as well as certain fixed costs, partially offset by the increase in general and administrative expenses, as previously described.</w:t>
      </w:r>
    </w:p>
    <w:p>
      <w:pPr>
        <w:spacing w:after="0" w:line="215"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Expenses Incurred in Support of Joint Ventures. </w:t>
      </w:r>
      <w:r>
        <w:rPr>
          <w:rFonts w:ascii="Arial" w:cs="Arial" w:eastAsia="Arial" w:hAnsi="Arial"/>
          <w:sz w:val="16"/>
          <w:szCs w:val="16"/>
          <w:color w:val="auto"/>
        </w:rPr>
        <w:t>Expenses incurred in support of NTIC’s joint ventures were $527,117 during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30, 2014 compared to $329,264 during the three months ended November 30, 2013, representing an increase of 60.1%. This increase was primarily the result of expenses related to the formation and establishment of NTIC China. NTIC incurred $2250,000 of direct expenses during the three months ended November 30, 2014 related to the termination of its previous joint venture in China and the formation of NTIC China. Such expenses consisted primarily of legal expenses and personnel expenses associated with the establishment of the subsidiary, the hiring of new personnel and initial operations.</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NTIC’s research and development expenses decreased 7.8% for the three months ended November 30, 2014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same period in fiscal 2014. This decrease was due primarily to expense control measures recently put in place.</w:t>
      </w:r>
    </w:p>
    <w:p>
      <w:pPr>
        <w:spacing w:after="0" w:line="19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increased to $15,127 during the three months ended November 30, 2014 compared to $1,789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November 30, 2013.</w:t>
      </w:r>
    </w:p>
    <w:p>
      <w:pPr>
        <w:spacing w:after="0" w:line="19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decreased to $5,005 during the three months ended November 30, 2014 compared to $13,670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November 30, 2013.</w:t>
      </w:r>
    </w:p>
    <w:p>
      <w:pPr>
        <w:spacing w:after="0" w:line="1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Income Before Income Tax Expense</w:t>
      </w:r>
      <w:r>
        <w:rPr>
          <w:rFonts w:ascii="Arial" w:cs="Arial" w:eastAsia="Arial" w:hAnsi="Arial"/>
          <w:sz w:val="18"/>
          <w:szCs w:val="18"/>
          <w:color w:val="auto"/>
        </w:rPr>
        <w:t>. Income before income tax expense increased to $1,647,780 for the three months ended November 30, 2014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$1,502,418 for the three months ended November 30, 2013.</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was $183,684 during the three months ended November 30, 2014 compared $198,000 during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November 30, 2013. Income tax expense was calculated based on management’s estimate of NTIC’s annual effective income tax rate. NTIC’s annual effective income tax rate during the three months ended November 30, 2014 and 2013 was lower than the statutory rate primarily due to NTIC’s equity in income of joint ventures being recognized based on after-tax earnings of these entities. To the extent undistributed earnings of NTIC’s joint ventures are distributed to NTIC, any material additional income tax liability after the application of foreign tax credits is not expected. NTIC records a tax valuation allowance when it is more likely than not that some portion or all of its deferred tax assets will not be realized to reduce deferred tax assets to the amount expected to be realized. NTIC determined based on all available evidence, including historical data and projections of future results, that it is more likely than not that all of its deferred tax assets, except for its foreign tax credit carryforwards and Minnesota state research and development credit carryforwards, will be fully realized. In addition, NTIC determined based upon all available evidence, including new IRS guidance, historical results, projected future taxable income and foreign tax credit utilization, that it was not more likely than not that the federal research and development credits would be utilized during the carryforward period and as a result, a valuation allowance was recorded against all of NTIC’s federal research and development credits. In addition, NTIC continues to believe that its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3" w:name="page24"/>
    <w:bookmarkEnd w:id="23"/>
    <w:p>
      <w:pPr>
        <w:ind w:right="40"/>
        <w:spacing w:after="0" w:line="257" w:lineRule="auto"/>
        <w:rPr>
          <w:sz w:val="20"/>
          <w:szCs w:val="20"/>
          <w:color w:val="auto"/>
        </w:rPr>
      </w:pPr>
      <w:r>
        <w:rPr>
          <w:rFonts w:ascii="Arial" w:cs="Arial" w:eastAsia="Arial" w:hAnsi="Arial"/>
          <w:sz w:val="18"/>
          <w:szCs w:val="18"/>
          <w:color w:val="auto"/>
        </w:rPr>
        <w:t>NTIC considers the earnings of certain foreign joint ventures to be indefinitely invested outside the United States on the basis of estimates that NTIC’s future domestic cash generation will be sufficient to meet future domestic cash needs. As a result, U.S. income and foreign withholding taxes have not been recognized on the cumulative undistributed earnings of $21,178,153 and $20,540,523 at November 30, 2014 and August 31, 2014, respectively. To the extent undistributed earnings of NTIC’s joint ventures are distributed in the future, they are not expected to result in any material additional income tax liability after the application of foreign tax credits.</w:t>
      </w:r>
    </w:p>
    <w:p>
      <w:pPr>
        <w:spacing w:after="0" w:line="21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 xml:space="preserve">Other Comprehensive (Loss) Income - Foreign Currency Translations Adjustment. </w:t>
      </w:r>
      <w:r>
        <w:rPr>
          <w:rFonts w:ascii="Arial" w:cs="Arial" w:eastAsia="Arial" w:hAnsi="Arial"/>
          <w:sz w:val="18"/>
          <w:szCs w:val="18"/>
          <w:color w:val="auto"/>
        </w:rPr>
        <w:t>The volatility of the foreign currency translations adjustment was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strengthening of the U.S. dollar compared to the Euro and other foreign currencies during the three months ended November 30, 2014 compared to the same period in fiscal 2013.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NTIC’s working capital was $17,057,330 at November 30, 2014, including $2,598,739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$4,024,599 in available for sale securities, compared to $17,853,311 at August 31, 2014, including $2,477,017 in cash and cash equivalents and $5,519,766 in available for sale securities.</w:t>
      </w:r>
    </w:p>
    <w:p>
      <w:pPr>
        <w:spacing w:after="0" w:line="20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November 30, 2014, NTIC had a revolving line of credit with PNC Bank of $3,000,000, with no amounts outstanding. 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Any standby letters of credit issued under the sub-facility are subject to customary fees and charges payable by NTIC. At the option of NTIC, outstanding advances under the line of credit bear interest at either (a) an annual rate based on LIBOR plus 2.15% for the applicable LIBOR interest period selected by NTIC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w:t>
      </w:r>
    </w:p>
    <w:p>
      <w:pPr>
        <w:spacing w:after="0" w:line="206"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line of credit is governed under a loan agreement, which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NTIC is subject to a minimum fixed charge coverage ratio of 1.10:1.00. As of November 30, 2014, NTIC was in compliance with all loan agreement covenants and expects to remain in compliance with all loan agreement covenants during the remainder of fiscal 2015.</w:t>
      </w:r>
    </w:p>
    <w:p>
      <w:pPr>
        <w:spacing w:after="0" w:line="18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 January 5, 2015, PNC Bank extended the maturity date of the line of credit from January 7, 2015 to January 7, 2016. All other terms of the line of credit and the loan agreement and other documents evidencing the line of credit remain the same. It is anticipated that, as historically has been the practice, the line of credit will be renewed each year for one additional year for the immediate foreseeable future.</w:t>
      </w:r>
    </w:p>
    <w:p>
      <w:pPr>
        <w:spacing w:after="0" w:line="20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NTIC believes that a combination of its existing cash and cash equivalents,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and any stock repurchases for at least the next 12 months. During the remainder of fiscal 2015, NTIC expects to continue to invest in NTIC China, research and development and in marketing efforts and resources into the application of its corrosion prevention technology into the oil and gas industry and its Natur-Tec® bio-plastics business.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4" w:name="page25"/>
    <w:bookmarkEnd w:id="24"/>
    <w:p>
      <w:pPr>
        <w:spacing w:after="0" w:line="257" w:lineRule="auto"/>
        <w:rPr>
          <w:sz w:val="20"/>
          <w:szCs w:val="20"/>
          <w:color w:val="auto"/>
        </w:rPr>
      </w:pPr>
      <w:r>
        <w:rPr>
          <w:rFonts w:ascii="Arial" w:cs="Arial" w:eastAsia="Arial" w:hAnsi="Arial"/>
          <w:sz w:val="18"/>
          <w:szCs w:val="18"/>
          <w:color w:val="auto"/>
        </w:rPr>
        <w:t>NTIC traditionally has used the cash generated from its operations, distributions of earnings and fees for services provided to its joint ventures to fund NTIC’s new technology investments and capital contributions to new and existing joint ventures. NTIC’s joint ventures traditionally have operated with little or no debt and have been self-financed with minimal initial capital investment and minimal additional capital investment from their respective owners. Therefore, NTIC believes it is not likely that there exists any exposure to debt by NTIC’s joint ventures that could materially impact their respective operations and/or liquidity.</w:t>
      </w:r>
    </w:p>
    <w:p>
      <w:pPr>
        <w:spacing w:after="0" w:line="21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i w:val="1"/>
          <w:iCs w:val="1"/>
          <w:color w:val="auto"/>
        </w:rPr>
        <w:t>Uses of Cash and Cash Flows</w:t>
      </w:r>
      <w:r>
        <w:rPr>
          <w:rFonts w:ascii="Arial" w:cs="Arial" w:eastAsia="Arial" w:hAnsi="Arial"/>
          <w:sz w:val="16"/>
          <w:szCs w:val="16"/>
          <w:color w:val="auto"/>
        </w:rPr>
        <w:t>. Net cash used in operating activities during the three months ended November 30, 2014 was $469,762, which resulted</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principally from NTIC’s equity in income from joint ventures and a decrease in accrued liabilities and increases in receivables and prepaid expenses, partially offset by NTIC’s net income, depreciation and amortization. Net cash used in operating activities during the three months ended November 30, 2013 was $207,744, which resulted principally from NTIC’s equity in income from joint ventures and increases in receivables, inventories and prepaid expenses and increases in accounts payables, accrued liabilities and income taxes payable, partially offset by NTIC’s net income, depreciation and amortization.</w:t>
      </w:r>
    </w:p>
    <w:p>
      <w:pPr>
        <w:spacing w:after="0" w:line="18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are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21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NTIC experienced decreases in trade receivables and inventory as of November 30, 2014 compared to August 31, 2014. Trade receivables excluding joint ventures as of November 30, 2014 decreased $163,824 compared to August 31, 2014, primarily related to miscellaneous differences in the timing of collections.</w:t>
      </w:r>
    </w:p>
    <w:p>
      <w:pPr>
        <w:spacing w:after="0" w:line="20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Outstanding trade receivables excluding joint ventures balances as of November 30, 2014 decreased five days to an average of 47 days from balances outstanding from these customers as of August 31, 2014.</w:t>
      </w:r>
    </w:p>
    <w:p>
      <w:pPr>
        <w:spacing w:after="0" w:line="19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Outstanding trade receivables from joint ventures as of November 30, 2014 decreased $398,572 compared to August 31, 2014 primarily due to the timing of payments. Outstanding balances from trade receivables from joint ventures increased an average of 69 days from an average of 91 days from balances outstanding from these customers compared to August 31, 2014. The significant average days outstanding of trade receivables from joint ventures as of November 30, 2014 were primarily due to the receivables balances at NTIC’s joint ventures in India, Korea and China.</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5" w:name="page26"/>
    <w:bookmarkEnd w:id="25"/>
    <w:p>
      <w:pPr>
        <w:spacing w:after="0" w:line="277" w:lineRule="auto"/>
        <w:rPr>
          <w:sz w:val="20"/>
          <w:szCs w:val="20"/>
          <w:color w:val="auto"/>
        </w:rPr>
      </w:pPr>
      <w:r>
        <w:rPr>
          <w:rFonts w:ascii="Arial" w:cs="Arial" w:eastAsia="Arial" w:hAnsi="Arial"/>
          <w:sz w:val="18"/>
          <w:szCs w:val="18"/>
          <w:color w:val="auto"/>
        </w:rPr>
        <w:t>Outstanding receivables for services provided to joint ventures as of November 30, 2014 increased $156,332 compared to August 31, 2014 and decreased four days to an average of 118 days compared to August 31, 2014.</w:t>
      </w:r>
    </w:p>
    <w:p>
      <w:pPr>
        <w:spacing w:after="0" w:line="1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cash provided by investing activities for the three months ended November 30, 2014 was $1,057,700 which was primarily the result of cash proceeds from the sale of available for sale securities and dividends received from joint ventures, partially offset by additions to property and equipment and additions to patents. Net cash used in investing activities for the three months ended November 30, 2013 was $212,438, which was due to additions to property and equipment and additions to patents, partially offset by dividends received from joint ventures.</w:t>
      </w:r>
    </w:p>
    <w:p>
      <w:pPr>
        <w:spacing w:after="0" w:line="214"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Net cash used in financing activities for the three months ended November 30, 2014 was $437,930, which resulted from a dividend paid to a non-controlling interest, partially offset by proceeds from stock option exercises and NTIC’s employee stock purchase plan. Net cash provided by financing activities for the three months ended November 30, 2013 was $9,875, which resulted from proceeds from NTIC’s employee stock purchase plan and, to a lesser extent, option exercises and, partially offset by principal payments on the bank loan for NTIC’s corporate headquarters buildings.</w:t>
      </w:r>
    </w:p>
    <w:p>
      <w:pPr>
        <w:spacing w:after="0" w:line="19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NTIC spent $470,711 on capital expenditures during the three months ended November 30, 2013 and expects to</w:t>
      </w:r>
      <w:r>
        <w:rPr>
          <w:rFonts w:ascii="Arial" w:cs="Arial" w:eastAsia="Arial" w:hAnsi="Arial"/>
          <w:sz w:val="18"/>
          <w:szCs w:val="18"/>
          <w:i w:val="1"/>
          <w:iCs w:val="1"/>
          <w:color w:val="auto"/>
        </w:rPr>
        <w:t xml:space="preserve"> </w:t>
      </w:r>
      <w:r>
        <w:rPr>
          <w:rFonts w:ascii="Arial" w:cs="Arial" w:eastAsia="Arial" w:hAnsi="Arial"/>
          <w:sz w:val="18"/>
          <w:szCs w:val="18"/>
          <w:color w:val="auto"/>
        </w:rPr>
        <w:t>spend an aggregate of approximately $500,000 to $600,000 on capital expenditures during fiscal 2015. Anticipated capital expenditures for fiscal 2015 relate primarily to the purchase of new equipment and to expand lab capabilities.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United States and abroad historically has had little effect on NTIC. NTIC’s business has not historically been seasonal.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5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6" w:name="page27"/>
    <w:bookmarkEnd w:id="26"/>
    <w:p>
      <w:pPr>
        <w:jc w:val="both"/>
        <w:ind w:right="8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November 30, 2014, NTIC had no borrowings under the line of credit.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There have been no material changes to NTIC’s critical accounting policies and estimates from the information provided in “Part II. Item 7, Management’s Discussion and Analysis of Financial Condition and Results of Operations—Critical Accounting Policies”, included in NTIC’s annual report on Form 10-K for the fiscal year ended August 31, 2014.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May 2014, the Financial Accounting Standards Board (FASB) issued revised guidance on revenue recognition. The standard provides a single revenue recognition model which is intended to improve comparability over a range of industries, companies and geographical boundaries and will also result in enhanced disclosures. The changes are effective for our fiscal year ended August 31, 2017, and interim periods within that year. We are currently reviewing the revised guidance and assessing the potential impact on our consolidated financial statements.</w:t>
      </w:r>
    </w:p>
    <w:p>
      <w:pPr>
        <w:spacing w:after="0" w:line="19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Although there are several other new accounting pronouncements issued or proposed by the FASB, which NTIC has adopted or will adopt, as applicable, NTIC does not believe any of these accounting pronouncements has had or will have a material impact on NTIC’s consolidated financial position or operating results.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quarterly report on Form 10-Q contains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outcome of contingencies such as legal proceedings and the effect of the termination of NTIC’s former joint venture in China and the establishment of NTIC China. NTIC has identified some of these forward-looking statements in this report with words like “believe,”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“Management’s Discussion and Analysis of Financial Condition and Results of Operations.”</w:t>
      </w:r>
    </w:p>
    <w:p>
      <w:pPr>
        <w:spacing w:after="0" w:line="2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7" w:name="page28"/>
    <w:bookmarkEnd w:id="27"/>
    <w:p>
      <w:pPr>
        <w:ind w:left="324" w:right="380" w:hanging="324"/>
        <w:spacing w:after="0" w:line="277"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the recent termination of NTIC’s joint venture in China and the formation and establishment of NTIC China and the effect on NTIC’s business and future operating results;</w:t>
      </w:r>
    </w:p>
    <w:p>
      <w:pPr>
        <w:spacing w:after="0" w:line="197" w:lineRule="exact"/>
        <w:rPr>
          <w:rFonts w:ascii="Arial" w:cs="Arial" w:eastAsia="Arial" w:hAnsi="Arial"/>
          <w:sz w:val="18"/>
          <w:szCs w:val="18"/>
          <w:color w:val="auto"/>
        </w:rPr>
      </w:pPr>
    </w:p>
    <w:p>
      <w:pPr>
        <w:ind w:left="324" w:right="320" w:hanging="324"/>
        <w:spacing w:after="0" w:line="277"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the European sovereign debt crisis and turmoil and disruption in the global credit and financial markets on NTIC’s business;</w:t>
      </w:r>
    </w:p>
    <w:p>
      <w:pPr>
        <w:spacing w:after="0" w:line="197" w:lineRule="exact"/>
        <w:rPr>
          <w:rFonts w:ascii="Arial" w:cs="Arial" w:eastAsia="Arial" w:hAnsi="Arial"/>
          <w:sz w:val="18"/>
          <w:szCs w:val="18"/>
          <w:color w:val="auto"/>
        </w:rPr>
      </w:pPr>
    </w:p>
    <w:p>
      <w:pPr>
        <w:ind w:left="324" w:hanging="324"/>
        <w:spacing w:after="0"/>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health of the U.S. automotive industry on NTIC’s business;</w:t>
      </w:r>
    </w:p>
    <w:p>
      <w:pPr>
        <w:spacing w:after="0" w:line="252" w:lineRule="exact"/>
        <w:rPr>
          <w:rFonts w:ascii="Arial" w:cs="Arial" w:eastAsia="Arial" w:hAnsi="Arial"/>
          <w:sz w:val="18"/>
          <w:szCs w:val="18"/>
          <w:color w:val="auto"/>
        </w:rPr>
      </w:pPr>
    </w:p>
    <w:p>
      <w:pPr>
        <w:ind w:left="324" w:hanging="324"/>
        <w:spacing w:after="0"/>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52" w:lineRule="exact"/>
        <w:rPr>
          <w:rFonts w:ascii="Arial" w:cs="Arial" w:eastAsia="Arial" w:hAnsi="Arial"/>
          <w:sz w:val="18"/>
          <w:szCs w:val="18"/>
          <w:color w:val="auto"/>
        </w:rPr>
      </w:pPr>
    </w:p>
    <w:p>
      <w:pPr>
        <w:ind w:left="324" w:right="100" w:hanging="324"/>
        <w:spacing w:after="0" w:line="277"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 especially in light of anticipated succession planning issues;</w:t>
      </w:r>
    </w:p>
    <w:p>
      <w:pPr>
        <w:spacing w:after="0" w:line="197" w:lineRule="exact"/>
        <w:rPr>
          <w:rFonts w:ascii="Arial" w:cs="Arial" w:eastAsia="Arial" w:hAnsi="Arial"/>
          <w:sz w:val="18"/>
          <w:szCs w:val="18"/>
          <w:color w:val="auto"/>
        </w:rPr>
      </w:pPr>
    </w:p>
    <w:p>
      <w:pPr>
        <w:ind w:left="324" w:right="60" w:hanging="324"/>
        <w:spacing w:after="0" w:line="277"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NTIC’s dependence upon sales by Zerust Brazil to Petroleo Brasileiro S.A. (Petrobras), an oil company located in Brazil, and the effect of such sales on NTIC’s quarterly operating results, including in particular its net sales and margins;</w:t>
      </w:r>
    </w:p>
    <w:p>
      <w:pPr>
        <w:spacing w:after="0" w:line="197" w:lineRule="exact"/>
        <w:rPr>
          <w:rFonts w:ascii="Arial" w:cs="Arial" w:eastAsia="Arial" w:hAnsi="Arial"/>
          <w:sz w:val="18"/>
          <w:szCs w:val="18"/>
          <w:color w:val="auto"/>
        </w:rPr>
      </w:pPr>
    </w:p>
    <w:p>
      <w:pPr>
        <w:ind w:left="324" w:right="500" w:hanging="324"/>
        <w:spacing w:after="0" w:line="226"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variability in NTIC’s sales of ZERUST® products and services into oil and gas industry and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NTIC’s equity income of joint ventures, which variability in sales and equity in income of joint venture in turn, subject NTIC’s earnings to quarterly fluctuations;</w:t>
      </w:r>
    </w:p>
    <w:p>
      <w:pPr>
        <w:spacing w:after="0" w:line="230" w:lineRule="exact"/>
        <w:rPr>
          <w:rFonts w:ascii="Arial" w:cs="Arial" w:eastAsia="Arial" w:hAnsi="Arial"/>
          <w:sz w:val="18"/>
          <w:szCs w:val="18"/>
          <w:color w:val="auto"/>
        </w:rPr>
      </w:pPr>
    </w:p>
    <w:p>
      <w:pPr>
        <w:ind w:left="324" w:right="280" w:hanging="324"/>
        <w:spacing w:after="0" w:line="277"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 and import duties and taxes;</w:t>
      </w:r>
    </w:p>
    <w:p>
      <w:pPr>
        <w:spacing w:after="0" w:line="197" w:lineRule="exact"/>
        <w:rPr>
          <w:rFonts w:ascii="Arial" w:cs="Arial" w:eastAsia="Arial" w:hAnsi="Arial"/>
          <w:sz w:val="18"/>
          <w:szCs w:val="18"/>
          <w:color w:val="auto"/>
        </w:rPr>
      </w:pPr>
    </w:p>
    <w:p>
      <w:pPr>
        <w:ind w:left="324" w:hanging="324"/>
        <w:spacing w:after="0"/>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52" w:lineRule="exact"/>
        <w:rPr>
          <w:rFonts w:ascii="Arial" w:cs="Arial" w:eastAsia="Arial" w:hAnsi="Arial"/>
          <w:sz w:val="18"/>
          <w:szCs w:val="18"/>
          <w:color w:val="auto"/>
        </w:rPr>
      </w:pPr>
    </w:p>
    <w:p>
      <w:pPr>
        <w:ind w:left="324" w:right="40" w:hanging="324"/>
        <w:spacing w:after="0" w:line="226"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 products and services into oil and gas industry and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the often lengthy and extensive sales process involved in selling such products and services;</w:t>
      </w:r>
    </w:p>
    <w:p>
      <w:pPr>
        <w:spacing w:after="0" w:line="230" w:lineRule="exact"/>
        <w:rPr>
          <w:rFonts w:ascii="Arial" w:cs="Arial" w:eastAsia="Arial" w:hAnsi="Arial"/>
          <w:sz w:val="18"/>
          <w:szCs w:val="18"/>
          <w:color w:val="auto"/>
        </w:rPr>
      </w:pPr>
    </w:p>
    <w:p>
      <w:pPr>
        <w:ind w:left="324" w:hanging="324"/>
        <w:spacing w:after="0"/>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52" w:lineRule="exact"/>
        <w:rPr>
          <w:rFonts w:ascii="Arial" w:cs="Arial" w:eastAsia="Arial" w:hAnsi="Arial"/>
          <w:sz w:val="18"/>
          <w:szCs w:val="18"/>
          <w:color w:val="auto"/>
        </w:rPr>
      </w:pPr>
    </w:p>
    <w:p>
      <w:pPr>
        <w:ind w:left="324" w:hanging="324"/>
        <w:spacing w:after="0"/>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52" w:lineRule="exact"/>
        <w:rPr>
          <w:rFonts w:ascii="Arial" w:cs="Arial" w:eastAsia="Arial" w:hAnsi="Arial"/>
          <w:sz w:val="18"/>
          <w:szCs w:val="18"/>
          <w:color w:val="auto"/>
        </w:rPr>
      </w:pPr>
    </w:p>
    <w:p>
      <w:pPr>
        <w:ind w:left="324" w:right="300" w:hanging="324"/>
        <w:spacing w:after="0" w:line="216"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Maturation of certain existing markets for NTIC’s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services and NTIC’s ability to grow market share and succeed in penetrating other existing and new markets;</w:t>
      </w:r>
    </w:p>
    <w:p>
      <w:pPr>
        <w:spacing w:after="0" w:line="230" w:lineRule="exact"/>
        <w:rPr>
          <w:rFonts w:ascii="Arial" w:cs="Arial" w:eastAsia="Arial" w:hAnsi="Arial"/>
          <w:sz w:val="18"/>
          <w:szCs w:val="18"/>
          <w:color w:val="auto"/>
        </w:rPr>
      </w:pPr>
    </w:p>
    <w:p>
      <w:pPr>
        <w:ind w:left="324" w:hanging="324"/>
        <w:spacing w:after="0" w:line="216"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competition, especially with respect to NTIC’s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services, and the effect of such competition on NTIC’s and its joint ventures’ pricing, net sales and margins;</w:t>
      </w:r>
    </w:p>
    <w:p>
      <w:pPr>
        <w:spacing w:after="0" w:line="230" w:lineRule="exact"/>
        <w:rPr>
          <w:rFonts w:ascii="Arial" w:cs="Arial" w:eastAsia="Arial" w:hAnsi="Arial"/>
          <w:sz w:val="18"/>
          <w:szCs w:val="18"/>
          <w:color w:val="auto"/>
        </w:rPr>
      </w:pPr>
    </w:p>
    <w:p>
      <w:pPr>
        <w:ind w:left="324" w:hanging="324"/>
        <w:spacing w:after="0"/>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52" w:lineRule="exact"/>
        <w:rPr>
          <w:rFonts w:ascii="Arial" w:cs="Arial" w:eastAsia="Arial" w:hAnsi="Arial"/>
          <w:sz w:val="18"/>
          <w:szCs w:val="18"/>
          <w:color w:val="auto"/>
        </w:rPr>
      </w:pPr>
    </w:p>
    <w:p>
      <w:pPr>
        <w:ind w:left="324" w:hanging="324"/>
        <w:spacing w:after="0"/>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NTIC’s reliance upon suppliers, including in particular its single supply source for its base bioplastics resins;</w:t>
      </w:r>
    </w:p>
    <w:p>
      <w:pPr>
        <w:spacing w:after="0" w:line="252" w:lineRule="exact"/>
        <w:rPr>
          <w:rFonts w:ascii="Arial" w:cs="Arial" w:eastAsia="Arial" w:hAnsi="Arial"/>
          <w:sz w:val="18"/>
          <w:szCs w:val="18"/>
          <w:color w:val="auto"/>
        </w:rPr>
      </w:pPr>
    </w:p>
    <w:p>
      <w:pPr>
        <w:ind w:left="324" w:right="280" w:hanging="324"/>
        <w:spacing w:after="0" w:line="277"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34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704"/>
          </w:cols>
          <w:pgMar w:left="896" w:top="274" w:right="299" w:bottom="1440" w:gutter="0" w:footer="0" w:header="0"/>
        </w:sectPr>
      </w:pPr>
    </w:p>
    <w:bookmarkStart w:id="28" w:name="page29"/>
    <w:bookmarkEnd w:id="28"/>
    <w:p>
      <w:pPr>
        <w:ind w:left="980" w:right="20" w:hanging="324"/>
        <w:spacing w:after="0" w:line="216"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transition of the manufacturing of certain select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in house at NTIC’s corporate headquarters location in Circle Pines, Minnesota;</w:t>
      </w:r>
    </w:p>
    <w:p>
      <w:pPr>
        <w:spacing w:after="0" w:line="23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production expenses incurred in connection with new customers and new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litigation;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NTIC’s effective tax rate;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5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2014 under the heading “Part I. Item 1A. Risk Factors.”</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NTIC files with or furnishes to the Securities and Exchange Commission.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5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9" w:name="page30"/>
    <w:bookmarkEnd w:id="29"/>
    <w:p>
      <w:pPr>
        <w:ind w:right="10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97"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November 30, 2014, NTIC had no borrowings under the line of credit.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November 30, 2014 that has materially affected, or is reasonably likely to materially affect NTIC’s internal control over financial reporting.</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30" w:name="page31"/>
    <w:bookmarkEnd w:id="30"/>
    <w:p>
      <w:pPr>
        <w:spacing w:after="0"/>
        <w:tabs>
          <w:tab w:leader="none" w:pos="960" w:val="left"/>
        </w:tabs>
        <w:rPr>
          <w:sz w:val="20"/>
          <w:szCs w:val="20"/>
          <w:color w:val="auto"/>
        </w:rPr>
      </w:pPr>
      <w:r>
        <w:rPr>
          <w:rFonts w:ascii="Arial" w:cs="Arial" w:eastAsia="Arial" w:hAnsi="Arial"/>
          <w:sz w:val="18"/>
          <w:szCs w:val="18"/>
          <w:b w:val="1"/>
          <w:bCs w:val="1"/>
          <w:color w:val="auto"/>
        </w:rPr>
        <w:t>PART II -</w:t>
        <w:tab/>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NTIC is affected by risks specific to NTIC as well as factors that affect all businesses operating in a global market. For a discussion of the specific risks that could materially adversely affect NTIC’s business, financial condition or operating results, please see NTIC’s annual report on Form 10-K for the fiscal year ended August 31, 2014 under the heading “Part I — Item 1A. Risk Factors.” There has been no material change to the risk factors as disclosed in that report, other than the addition of the following risk factor relating to the termination of NTIC’s former joint venture in China and the formation and establishment of NTIC China:</w:t>
      </w:r>
    </w:p>
    <w:p>
      <w:pPr>
        <w:spacing w:after="0" w:line="21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The recent termination of NTIC’s joint venture arrangement in China and the formation and establishment of NTIC China could have a material adverse effect on NTIC’s operating results.</w:t>
      </w:r>
    </w:p>
    <w:p>
      <w:pPr>
        <w:spacing w:after="0" w:line="19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Effective as of December 31, 2014, NTIC terminated its joint venture arrangement in China and established a newly formed wholly owned subsidiary to conduct business in China. NTIC’s former joint venture in China was individually significant to NTIC’s consolidated assets and income and it is uncertain the future impact that the termination of NTIC’s former joint venture in China will have on NTIC’s operating results. Of the total equity in income from joint ventures of $1,606,683 during the three months ended November 30, 2014 and of the total equity in income from joint ventures of $5,920,603 during fiscal 2014, NTIC had equity in income from joint ventures of $132,824 and $626,763 attributable to NTIC’s former joint venture in China, respectively. Of the total fee income for services provided to joint ventures of $2,133,670 during the three months ended November 30, 2014 and of the total fee income for services provided to joint ventures of $8,142,863 during fiscal 2014, $516,139 and $2,118,018 were attributable to NTIC’s former joint venture in China.</w:t>
      </w:r>
    </w:p>
    <w:p>
      <w:pPr>
        <w:spacing w:after="0" w:line="19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Commencing during the second quarter of fiscal 2015, NTIC’s consolidated financial statements will include the financial results of NTIC China. NTIC anticipates that due to the consolidation of NTIC China, NTIC’s net sales, costs of goods sold and operating expenses will increase and its equity in income from joint ventures and fee income for services provided to its joint ventures will decrease in future periods compared to the prior fiscal year periods, since NTIC accounted for its investment in the former Chinese joint venture in NTIC’s consolidated financial statements utilizing the equity method of accounting. NTIC anticipates that it may take some time to transition the previous customers of NTIC’s former Chinese joint venture to NTIC China and no assurance can be provided that NTIC China will be able to achieve the net sales and income levels previously achieved by NTIC’s former Chinese joint venture. Beginning during its first quarter of fiscal 2015, NTIC has incurred and expects to continue to incur significant operating expenses associated with NTIC China and expects that NTIC’s operating results may be volatile over the next few quarters, including in particular the second quarter of fiscal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5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the three months ended November 30, 2014, NTIC did not issue any shares of its common stock or other equity securities of NTIC that were not registered under the Securities Act of 1933, as amended.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November 30, 2014, NTIC did not purchase any shares of its common stock or other equity securities of NTIC.</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270" w:right="2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January 5, 2015, PNC Bank extended the maturity date of NTIC’s line of credit with PNC Bank from January 7, 2015 to January 7, 2016. All other terms of the line of credit and the loan agreement and other documents evidencing the line of credit remain the same.</w:t>
      </w:r>
    </w:p>
    <w:p>
      <w:pPr>
        <w:spacing w:after="0" w:line="19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PNC Bank and its affiliates have in the past performed, and may in the future from time to time perform, investment banking, financial advisory, lending and/or commercial banking services for NTIC and its subsidiaries in arm’s length transactions, on terms customarily available to unrelated third-parties and for which services it has in the past received, and may in the future receive, customary compensation and reimbursement of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10160" w:type="dxa"/>
            <w:vAlign w:val="bottom"/>
            <w:gridSpan w:val="2"/>
          </w:tcPr>
          <w:p>
            <w:pPr>
              <w:ind w:left="24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1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31.1</w:t>
            </w:r>
          </w:p>
        </w:tc>
        <w:tc>
          <w:tcPr>
            <w:tcW w:w="24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Certification of Chief Executive Officer Pursuant to Exchange Act Rules 13a-14(a)/15d-14(a), as Adopted Pursuant to Section 302 of the</w:t>
            </w:r>
          </w:p>
        </w:tc>
      </w:tr>
      <w:tr>
        <w:trPr>
          <w:trHeight w:val="216"/>
        </w:trPr>
        <w:tc>
          <w:tcPr>
            <w:tcW w:w="126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Arial" w:cs="Arial" w:eastAsia="Arial" w:hAnsi="Arial"/>
                <w:sz w:val="18"/>
                <w:szCs w:val="18"/>
                <w:color w:val="auto"/>
              </w:rPr>
              <w:t>Sarbanes-Oxley Act of 2002 (filed herewith)</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160" w:type="dxa"/>
            <w:vAlign w:val="bottom"/>
            <w:gridSpan w:val="2"/>
          </w:tcPr>
          <w:p>
            <w:pPr>
              <w:ind w:left="240"/>
              <w:spacing w:after="0"/>
              <w:rPr>
                <w:sz w:val="20"/>
                <w:szCs w:val="20"/>
                <w:color w:val="auto"/>
              </w:rPr>
            </w:pPr>
            <w:r>
              <w:rPr>
                <w:rFonts w:ascii="Arial" w:cs="Arial" w:eastAsia="Arial" w:hAnsi="Arial"/>
                <w:sz w:val="18"/>
                <w:szCs w:val="18"/>
                <w:color w:val="auto"/>
                <w:w w:val="92"/>
              </w:rPr>
              <w:t>Certification of Chief Financial Officer Pursuant to Exchange Act Rules 13a-14(a)/15d-14(a), as Adopted Pursuant to Section 302 of the</w:t>
            </w:r>
          </w:p>
        </w:tc>
      </w:tr>
      <w:tr>
        <w:trPr>
          <w:trHeight w:val="216"/>
        </w:trPr>
        <w:tc>
          <w:tcPr>
            <w:tcW w:w="126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Arial" w:cs="Arial" w:eastAsia="Arial" w:hAnsi="Arial"/>
                <w:sz w:val="18"/>
                <w:szCs w:val="18"/>
                <w:color w:val="auto"/>
              </w:rPr>
              <w:t>Sarbanes-Oxley Act of 2002 (filed herewith)</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160" w:type="dxa"/>
            <w:vAlign w:val="bottom"/>
            <w:gridSpan w:val="2"/>
          </w:tcPr>
          <w:p>
            <w:pPr>
              <w:ind w:left="240"/>
              <w:spacing w:after="0"/>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 906 of the Sarbanes-Oxley</w:t>
            </w:r>
          </w:p>
        </w:tc>
      </w:tr>
      <w:tr>
        <w:trPr>
          <w:trHeight w:val="216"/>
        </w:trPr>
        <w:tc>
          <w:tcPr>
            <w:tcW w:w="126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Arial" w:cs="Arial" w:eastAsia="Arial" w:hAnsi="Arial"/>
                <w:sz w:val="18"/>
                <w:szCs w:val="18"/>
                <w:color w:val="auto"/>
              </w:rPr>
              <w:t>Act of 2002 (furnished herewith)</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160" w:type="dxa"/>
            <w:vAlign w:val="bottom"/>
            <w:gridSpan w:val="2"/>
          </w:tcPr>
          <w:p>
            <w:pPr>
              <w:ind w:left="240"/>
              <w:spacing w:after="0"/>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906 of the Sarbanes-Oxley</w:t>
            </w:r>
          </w:p>
        </w:tc>
      </w:tr>
      <w:tr>
        <w:trPr>
          <w:trHeight w:val="230"/>
        </w:trPr>
        <w:tc>
          <w:tcPr>
            <w:tcW w:w="1260" w:type="dxa"/>
            <w:vAlign w:val="bottom"/>
          </w:tcPr>
          <w:p>
            <w:pPr>
              <w:spacing w:after="0"/>
              <w:rPr>
                <w:sz w:val="20"/>
                <w:szCs w:val="20"/>
                <w:color w:val="auto"/>
              </w:rPr>
            </w:pPr>
          </w:p>
        </w:tc>
        <w:tc>
          <w:tcPr>
            <w:tcW w:w="10160" w:type="dxa"/>
            <w:vAlign w:val="bottom"/>
            <w:gridSpan w:val="2"/>
          </w:tcPr>
          <w:p>
            <w:pPr>
              <w:ind w:left="240"/>
              <w:spacing w:after="0"/>
              <w:rPr>
                <w:sz w:val="20"/>
                <w:szCs w:val="20"/>
                <w:color w:val="auto"/>
              </w:rPr>
            </w:pPr>
            <w:r>
              <w:rPr>
                <w:rFonts w:ascii="Arial" w:cs="Arial" w:eastAsia="Arial" w:hAnsi="Arial"/>
                <w:sz w:val="18"/>
                <w:szCs w:val="18"/>
                <w:color w:val="auto"/>
              </w:rPr>
              <w:t>Act of 2002 (furnished herewith)</w:t>
            </w:r>
          </w:p>
        </w:tc>
      </w:tr>
    </w:tbl>
    <w:p>
      <w:pPr>
        <w:ind w:left="1500" w:right="80" w:hanging="999"/>
        <w:spacing w:after="0" w:line="273" w:lineRule="auto"/>
        <w:tabs>
          <w:tab w:leader="none" w:pos="1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following materials from NTIC’s Quarterly Report on Form 10-Q for the fiscal quarter ended November 30, 2014, formatted in XBRL (Extensible Business Reporting Language): (i) the unaudited Consolidated Balance Sheets, (ii) the unaudited Consolidated Statements of Operations, (iii) the unaudited Consolidated Statements of Comprehensive Income (Loss), (iv) the unaudited Consolidated Statements of Cash Flows, and (v) Notes to Condensed Financial Statements (filed herewith)</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2" w:name="page33"/>
    <w:bookmarkEnd w:id="3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154940</wp:posOffset>
            </wp:positionV>
            <wp:extent cx="1191895" cy="7118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91895" cy="711835"/>
                    </a:xfrm>
                    <a:prstGeom prst="rect">
                      <a:avLst/>
                    </a:prstGeom>
                    <a:noFill/>
                  </pic:spPr>
                </pic:pic>
              </a:graphicData>
            </a:graphic>
          </wp:anchor>
        </w:drawing>
      </w:r>
    </w:p>
    <w:p>
      <w:pPr>
        <w:sectPr>
          <w:pgSz w:w="11900" w:h="16838" w:orient="portrait"/>
          <w:cols w:equalWidth="0" w:num="1">
            <w:col w:w="11280"/>
          </w:cols>
          <w:pgMar w:left="240" w:top="27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Date: January 8,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Duly Authorized to Sign on Behalf of the Registrant)</w:t>
      </w:r>
    </w:p>
    <w:p>
      <w:pPr>
        <w:spacing w:after="0" w:line="200" w:lineRule="exact"/>
        <w:rPr>
          <w:sz w:val="20"/>
          <w:szCs w:val="20"/>
          <w:color w:val="auto"/>
        </w:rPr>
      </w:pPr>
    </w:p>
    <w:p>
      <w:pPr>
        <w:sectPr>
          <w:pgSz w:w="11900" w:h="16838" w:orient="portrait"/>
          <w:cols w:equalWidth="0" w:num="2">
            <w:col w:w="5000" w:space="720"/>
            <w:col w:w="5560"/>
          </w:cols>
          <w:pgMar w:left="240" w:top="27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80"/>
          </w:cols>
          <w:pgMar w:left="240" w:top="270" w:right="37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1520" w:type="dxa"/>
            <w:vAlign w:val="bottom"/>
            <w:tcBorders>
              <w:top w:val="single" w:sz="8" w:color="auto"/>
              <w:left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Exhibit No.</w:t>
            </w:r>
          </w:p>
        </w:tc>
        <w:tc>
          <w:tcPr>
            <w:tcW w:w="6180" w:type="dxa"/>
            <w:vAlign w:val="bottom"/>
            <w:tcBorders>
              <w:top w:val="single" w:sz="8" w:color="auto"/>
              <w:right w:val="single" w:sz="8" w:color="auto"/>
            </w:tcBorders>
          </w:tcPr>
          <w:p>
            <w:pPr>
              <w:ind w:left="2620"/>
              <w:spacing w:after="0"/>
              <w:rPr>
                <w:sz w:val="20"/>
                <w:szCs w:val="20"/>
                <w:color w:val="auto"/>
              </w:rPr>
            </w:pPr>
            <w:r>
              <w:rPr>
                <w:rFonts w:ascii="Arial" w:cs="Arial" w:eastAsia="Arial" w:hAnsi="Arial"/>
                <w:sz w:val="18"/>
                <w:szCs w:val="18"/>
                <w:b w:val="1"/>
                <w:bCs w:val="1"/>
                <w:color w:val="auto"/>
              </w:rPr>
              <w:t>Description</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Method of Filing</w:t>
            </w:r>
          </w:p>
        </w:tc>
      </w:tr>
      <w:tr>
        <w:trPr>
          <w:trHeight w:val="37"/>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618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r>
        <w:trPr>
          <w:trHeight w:val="22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31.1</w:t>
            </w: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Certification of Chief Executive Officer Pursuant to Exchange Act Rules 13a-</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Filed herewith</w:t>
            </w: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14(a)/15d-14(a), as Adopted Pursuant to Section 302 of the Sarbanes-Oxley Act of</w:t>
            </w:r>
          </w:p>
        </w:tc>
        <w:tc>
          <w:tcPr>
            <w:tcW w:w="3740" w:type="dxa"/>
            <w:vAlign w:val="bottom"/>
            <w:tcBorders>
              <w:right w:val="single" w:sz="8" w:color="auto"/>
            </w:tcBorders>
          </w:tcPr>
          <w:p>
            <w:pPr>
              <w:spacing w:after="0"/>
              <w:rPr>
                <w:sz w:val="18"/>
                <w:szCs w:val="18"/>
                <w:color w:val="auto"/>
              </w:rPr>
            </w:pPr>
          </w:p>
        </w:tc>
      </w:tr>
      <w:tr>
        <w:trPr>
          <w:trHeight w:val="230"/>
        </w:trPr>
        <w:tc>
          <w:tcPr>
            <w:tcW w:w="1520" w:type="dxa"/>
            <w:vAlign w:val="bottom"/>
            <w:tcBorders>
              <w:left w:val="single" w:sz="8" w:color="auto"/>
              <w:right w:val="single" w:sz="8" w:color="auto"/>
            </w:tcBorders>
          </w:tcPr>
          <w:p>
            <w:pPr>
              <w:spacing w:after="0"/>
              <w:rPr>
                <w:sz w:val="20"/>
                <w:szCs w:val="20"/>
                <w:color w:val="auto"/>
              </w:rPr>
            </w:pP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2002</w:t>
            </w:r>
          </w:p>
        </w:tc>
        <w:tc>
          <w:tcPr>
            <w:tcW w:w="3740" w:type="dxa"/>
            <w:vAlign w:val="bottom"/>
            <w:tcBorders>
              <w:right w:val="single" w:sz="8" w:color="auto"/>
            </w:tcBorders>
          </w:tcPr>
          <w:p>
            <w:pPr>
              <w:spacing w:after="0"/>
              <w:rPr>
                <w:sz w:val="20"/>
                <w:szCs w:val="20"/>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61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31.2</w:t>
            </w: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Certification of Chief Financial Officer Pursuant to Exchange Act Rules 13a-</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Filed herewith</w:t>
            </w: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14(a)/15d-14(a), as Adopted Pursuant to Section 302 of the Sarbanes-Oxley Act of</w:t>
            </w:r>
          </w:p>
        </w:tc>
        <w:tc>
          <w:tcPr>
            <w:tcW w:w="3740" w:type="dxa"/>
            <w:vAlign w:val="bottom"/>
            <w:tcBorders>
              <w:right w:val="single" w:sz="8" w:color="auto"/>
            </w:tcBorders>
          </w:tcPr>
          <w:p>
            <w:pPr>
              <w:spacing w:after="0"/>
              <w:rPr>
                <w:sz w:val="18"/>
                <w:szCs w:val="18"/>
                <w:color w:val="auto"/>
              </w:rPr>
            </w:pPr>
          </w:p>
        </w:tc>
      </w:tr>
      <w:tr>
        <w:trPr>
          <w:trHeight w:val="230"/>
        </w:trPr>
        <w:tc>
          <w:tcPr>
            <w:tcW w:w="1520" w:type="dxa"/>
            <w:vAlign w:val="bottom"/>
            <w:tcBorders>
              <w:left w:val="single" w:sz="8" w:color="auto"/>
              <w:right w:val="single" w:sz="8" w:color="auto"/>
            </w:tcBorders>
          </w:tcPr>
          <w:p>
            <w:pPr>
              <w:spacing w:after="0"/>
              <w:rPr>
                <w:sz w:val="20"/>
                <w:szCs w:val="20"/>
                <w:color w:val="auto"/>
              </w:rPr>
            </w:pP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2002</w:t>
            </w:r>
          </w:p>
        </w:tc>
        <w:tc>
          <w:tcPr>
            <w:tcW w:w="3740" w:type="dxa"/>
            <w:vAlign w:val="bottom"/>
            <w:tcBorders>
              <w:right w:val="single" w:sz="8" w:color="auto"/>
            </w:tcBorders>
          </w:tcPr>
          <w:p>
            <w:pPr>
              <w:spacing w:after="0"/>
              <w:rPr>
                <w:sz w:val="20"/>
                <w:szCs w:val="20"/>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61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32.1</w:t>
            </w: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Certification of Chief Executive Officer Pursuant to 18 U.S.C. Section 1350, as</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Furnished herewith</w:t>
            </w:r>
          </w:p>
        </w:tc>
      </w:tr>
      <w:tr>
        <w:trPr>
          <w:trHeight w:val="230"/>
        </w:trPr>
        <w:tc>
          <w:tcPr>
            <w:tcW w:w="1520" w:type="dxa"/>
            <w:vAlign w:val="bottom"/>
            <w:tcBorders>
              <w:left w:val="single" w:sz="8" w:color="auto"/>
              <w:right w:val="single" w:sz="8" w:color="auto"/>
            </w:tcBorders>
          </w:tcPr>
          <w:p>
            <w:pPr>
              <w:spacing w:after="0"/>
              <w:rPr>
                <w:sz w:val="20"/>
                <w:szCs w:val="20"/>
                <w:color w:val="auto"/>
              </w:rPr>
            </w:pP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740" w:type="dxa"/>
            <w:vAlign w:val="bottom"/>
            <w:tcBorders>
              <w:right w:val="single" w:sz="8" w:color="auto"/>
            </w:tcBorders>
          </w:tcPr>
          <w:p>
            <w:pPr>
              <w:spacing w:after="0"/>
              <w:rPr>
                <w:sz w:val="20"/>
                <w:szCs w:val="20"/>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61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32.2</w:t>
            </w: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Certification of Chief Financial Officer Pursuant to 18 U.S.C. Section 1350, as</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Furnished herewith</w:t>
            </w:r>
          </w:p>
        </w:tc>
      </w:tr>
      <w:tr>
        <w:trPr>
          <w:trHeight w:val="230"/>
        </w:trPr>
        <w:tc>
          <w:tcPr>
            <w:tcW w:w="1520" w:type="dxa"/>
            <w:vAlign w:val="bottom"/>
            <w:tcBorders>
              <w:left w:val="single" w:sz="8" w:color="auto"/>
              <w:right w:val="single" w:sz="8" w:color="auto"/>
            </w:tcBorders>
          </w:tcPr>
          <w:p>
            <w:pPr>
              <w:spacing w:after="0"/>
              <w:rPr>
                <w:sz w:val="20"/>
                <w:szCs w:val="20"/>
                <w:color w:val="auto"/>
              </w:rPr>
            </w:pP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740" w:type="dxa"/>
            <w:vAlign w:val="bottom"/>
            <w:tcBorders>
              <w:right w:val="single" w:sz="8" w:color="auto"/>
            </w:tcBorders>
          </w:tcPr>
          <w:p>
            <w:pPr>
              <w:spacing w:after="0"/>
              <w:rPr>
                <w:sz w:val="20"/>
                <w:szCs w:val="20"/>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61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101</w:t>
            </w: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The following materials from Northern Technologies International Corporation’s</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Filed herewith</w:t>
            </w: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Quarterly Report on Form 10-Q for the fiscal quarter ended November 30, 2014,</w:t>
            </w:r>
          </w:p>
        </w:tc>
        <w:tc>
          <w:tcPr>
            <w:tcW w:w="3740" w:type="dxa"/>
            <w:vAlign w:val="bottom"/>
            <w:tcBorders>
              <w:right w:val="single" w:sz="8" w:color="auto"/>
            </w:tcBorders>
          </w:tcPr>
          <w:p>
            <w:pPr>
              <w:spacing w:after="0"/>
              <w:rPr>
                <w:sz w:val="18"/>
                <w:szCs w:val="18"/>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formatted in XBRL (Extensible Business Reporting Language): (i) the unaudited</w:t>
            </w:r>
          </w:p>
        </w:tc>
        <w:tc>
          <w:tcPr>
            <w:tcW w:w="3740" w:type="dxa"/>
            <w:vAlign w:val="bottom"/>
            <w:tcBorders>
              <w:right w:val="single" w:sz="8" w:color="auto"/>
            </w:tcBorders>
          </w:tcPr>
          <w:p>
            <w:pPr>
              <w:spacing w:after="0"/>
              <w:rPr>
                <w:sz w:val="18"/>
                <w:szCs w:val="18"/>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Consolidated Balance Sheets, (ii) the unaudited Consolidated Statements of</w:t>
            </w:r>
          </w:p>
        </w:tc>
        <w:tc>
          <w:tcPr>
            <w:tcW w:w="3740" w:type="dxa"/>
            <w:vAlign w:val="bottom"/>
            <w:tcBorders>
              <w:right w:val="single" w:sz="8" w:color="auto"/>
            </w:tcBorders>
          </w:tcPr>
          <w:p>
            <w:pPr>
              <w:spacing w:after="0"/>
              <w:rPr>
                <w:sz w:val="18"/>
                <w:szCs w:val="18"/>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Operations, (iii) the unaudited Consolidated Statements of Comprehensive Income</w:t>
            </w:r>
          </w:p>
        </w:tc>
        <w:tc>
          <w:tcPr>
            <w:tcW w:w="3740" w:type="dxa"/>
            <w:vAlign w:val="bottom"/>
            <w:tcBorders>
              <w:right w:val="single" w:sz="8" w:color="auto"/>
            </w:tcBorders>
          </w:tcPr>
          <w:p>
            <w:pPr>
              <w:spacing w:after="0"/>
              <w:rPr>
                <w:sz w:val="18"/>
                <w:szCs w:val="18"/>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(Loss), (iv) the unaudited Consolidated Statements of Cash Flows, and (v) Notes to</w:t>
            </w:r>
          </w:p>
        </w:tc>
        <w:tc>
          <w:tcPr>
            <w:tcW w:w="3740" w:type="dxa"/>
            <w:vAlign w:val="bottom"/>
            <w:tcBorders>
              <w:right w:val="single" w:sz="8" w:color="auto"/>
            </w:tcBorders>
          </w:tcPr>
          <w:p>
            <w:pPr>
              <w:spacing w:after="0"/>
              <w:rPr>
                <w:sz w:val="18"/>
                <w:szCs w:val="18"/>
                <w:color w:val="auto"/>
              </w:rPr>
            </w:pPr>
          </w:p>
        </w:tc>
      </w:tr>
      <w:tr>
        <w:trPr>
          <w:trHeight w:val="230"/>
        </w:trPr>
        <w:tc>
          <w:tcPr>
            <w:tcW w:w="1520" w:type="dxa"/>
            <w:vAlign w:val="bottom"/>
            <w:tcBorders>
              <w:left w:val="single" w:sz="8" w:color="auto"/>
              <w:right w:val="single" w:sz="8" w:color="auto"/>
            </w:tcBorders>
          </w:tcPr>
          <w:p>
            <w:pPr>
              <w:spacing w:after="0"/>
              <w:rPr>
                <w:sz w:val="20"/>
                <w:szCs w:val="20"/>
                <w:color w:val="auto"/>
              </w:rPr>
            </w:pP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Condensed Financial Statements</w:t>
            </w:r>
          </w:p>
        </w:tc>
        <w:tc>
          <w:tcPr>
            <w:tcW w:w="3740" w:type="dxa"/>
            <w:vAlign w:val="bottom"/>
            <w:tcBorders>
              <w:right w:val="single" w:sz="8" w:color="auto"/>
            </w:tcBorders>
          </w:tcPr>
          <w:p>
            <w:pPr>
              <w:spacing w:after="0"/>
              <w:rPr>
                <w:sz w:val="20"/>
                <w:szCs w:val="20"/>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61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52"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140" w:right="300" w:firstLine="2"/>
        <w:spacing w:after="0" w:line="286" w:lineRule="auto"/>
        <w:tabs>
          <w:tab w:leader="none" w:pos="2015"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140" w:right="320" w:firstLine="2"/>
        <w:spacing w:after="0" w:line="286" w:lineRule="auto"/>
        <w:tabs>
          <w:tab w:leader="none" w:pos="2025"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92" w:lineRule="exact"/>
        <w:rPr>
          <w:rFonts w:ascii="Arial" w:cs="Arial" w:eastAsia="Arial" w:hAnsi="Arial"/>
          <w:sz w:val="17"/>
          <w:szCs w:val="17"/>
          <w:color w:val="auto"/>
        </w:rPr>
      </w:pPr>
    </w:p>
    <w:p>
      <w:pPr>
        <w:ind w:left="1140" w:right="140" w:firstLine="2"/>
        <w:spacing w:after="0" w:line="264" w:lineRule="auto"/>
        <w:tabs>
          <w:tab w:leader="none" w:pos="2015"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ind w:left="1140" w:right="60" w:firstLine="2"/>
        <w:spacing w:after="0" w:line="264" w:lineRule="auto"/>
        <w:tabs>
          <w:tab w:leader="none" w:pos="202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80" w:hanging="652"/>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50" w:lineRule="exact"/>
        <w:rPr>
          <w:rFonts w:ascii="Arial" w:cs="Arial" w:eastAsia="Arial" w:hAnsi="Arial"/>
          <w:sz w:val="16"/>
          <w:szCs w:val="16"/>
          <w:color w:val="auto"/>
        </w:rPr>
      </w:pPr>
    </w:p>
    <w:p>
      <w:pPr>
        <w:ind w:left="1140" w:right="80" w:firstLine="2"/>
        <w:spacing w:after="0" w:line="308" w:lineRule="auto"/>
        <w:tabs>
          <w:tab w:leader="none" w:pos="205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40" w:right="160" w:firstLine="2"/>
        <w:spacing w:after="0" w:line="277" w:lineRule="auto"/>
        <w:tabs>
          <w:tab w:leader="none" w:pos="20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January 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-121920</wp:posOffset>
            </wp:positionV>
            <wp:extent cx="1286510" cy="3346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6510" cy="334645"/>
                    </a:xfrm>
                    <a:prstGeom prst="rect">
                      <a:avLst/>
                    </a:prstGeom>
                    <a:noFill/>
                  </pic:spPr>
                </pic:pic>
              </a:graphicData>
            </a:graphic>
          </wp:anchor>
        </w:drawing>
      </w:r>
    </w:p>
    <w:p>
      <w:pPr>
        <w:spacing w:after="0" w:line="30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 Patrick Lynch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52"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140" w:right="300" w:firstLine="2"/>
        <w:spacing w:after="0" w:line="286" w:lineRule="auto"/>
        <w:tabs>
          <w:tab w:leader="none" w:pos="2015"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140" w:right="320" w:firstLine="2"/>
        <w:spacing w:after="0" w:line="286" w:lineRule="auto"/>
        <w:tabs>
          <w:tab w:leader="none" w:pos="2025"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92" w:lineRule="exact"/>
        <w:rPr>
          <w:rFonts w:ascii="Arial" w:cs="Arial" w:eastAsia="Arial" w:hAnsi="Arial"/>
          <w:sz w:val="17"/>
          <w:szCs w:val="17"/>
          <w:color w:val="auto"/>
        </w:rPr>
      </w:pPr>
    </w:p>
    <w:p>
      <w:pPr>
        <w:ind w:left="1140" w:right="140" w:firstLine="2"/>
        <w:spacing w:after="0" w:line="264" w:lineRule="auto"/>
        <w:tabs>
          <w:tab w:leader="none" w:pos="2015"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ind w:left="1140" w:right="60" w:firstLine="2"/>
        <w:spacing w:after="0" w:line="264" w:lineRule="auto"/>
        <w:tabs>
          <w:tab w:leader="none" w:pos="202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80" w:hanging="652"/>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50" w:lineRule="exact"/>
        <w:rPr>
          <w:rFonts w:ascii="Arial" w:cs="Arial" w:eastAsia="Arial" w:hAnsi="Arial"/>
          <w:sz w:val="16"/>
          <w:szCs w:val="16"/>
          <w:color w:val="auto"/>
        </w:rPr>
      </w:pPr>
    </w:p>
    <w:p>
      <w:pPr>
        <w:ind w:left="1140" w:right="80" w:firstLine="2"/>
        <w:spacing w:after="0" w:line="308" w:lineRule="auto"/>
        <w:tabs>
          <w:tab w:leader="none" w:pos="205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40" w:right="160" w:firstLine="2"/>
        <w:spacing w:after="0" w:line="277" w:lineRule="auto"/>
        <w:tabs>
          <w:tab w:leader="none" w:pos="20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134620</wp:posOffset>
            </wp:positionV>
            <wp:extent cx="1191895" cy="7118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91895" cy="7118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Date: January 8,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and Corporate Secretary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2">
            <w:col w:w="5000" w:space="720"/>
            <w:col w:w="5700"/>
          </w:cols>
          <w:pgMar w:left="240" w:top="121" w:right="239" w:bottom="1440" w:gutter="0" w:footer="0" w:header="0"/>
          <w:type w:val="continuous"/>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November 30, 2014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214" w:lineRule="exact"/>
        <w:rPr>
          <w:sz w:val="20"/>
          <w:szCs w:val="20"/>
          <w:color w:val="auto"/>
        </w:rPr>
      </w:pPr>
    </w:p>
    <w:p>
      <w:pPr>
        <w:ind w:left="1620" w:hanging="964"/>
        <w:spacing w:after="0"/>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620" w:right="120" w:hanging="964"/>
        <w:spacing w:after="0" w:line="277"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-455930</wp:posOffset>
            </wp:positionV>
            <wp:extent cx="1286510" cy="3346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6510" cy="3346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8, 2015</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November 30, 2014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214" w:lineRule="exact"/>
        <w:rPr>
          <w:sz w:val="20"/>
          <w:szCs w:val="20"/>
          <w:color w:val="auto"/>
        </w:rPr>
      </w:pPr>
    </w:p>
    <w:p>
      <w:pPr>
        <w:ind w:left="1620" w:hanging="964"/>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620" w:right="120" w:hanging="964"/>
        <w:spacing w:after="0" w:line="277"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191895" cy="7118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9189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ind w:right="5700"/>
        <w:spacing w:after="0" w:line="261" w:lineRule="auto"/>
        <w:rPr>
          <w:sz w:val="20"/>
          <w:szCs w:val="20"/>
          <w:color w:val="auto"/>
        </w:rPr>
      </w:pPr>
      <w:r>
        <w:rPr>
          <w:rFonts w:ascii="Arial" w:cs="Arial" w:eastAsia="Arial" w:hAnsi="Arial"/>
          <w:sz w:val="18"/>
          <w:szCs w:val="18"/>
          <w:color w:val="auto"/>
        </w:rPr>
        <w:t>Chief Financial Officer and Corporate Secretary (principal financial officer and 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8,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6"/>
    </w:lvl>
  </w:abstractNum>
  <w:abstractNum w:abstractNumId="5">
    <w:nsid w:val="7FDCC233"/>
    <w:multiLevelType w:val="hybridMultilevel"/>
    <w:lvl w:ilvl="0">
      <w:lvlJc w:val="left"/>
      <w:lvlText w:val="%1."/>
      <w:numFmt w:val="decimal"/>
      <w:start w:val="7"/>
    </w:lvl>
  </w:abstractNum>
  <w:abstractNum w:abstractNumId="6">
    <w:nsid w:val="1BEFD79F"/>
    <w:multiLevelType w:val="hybridMultilevel"/>
    <w:lvl w:ilvl="0">
      <w:lvlJc w:val="left"/>
      <w:lvlText w:val="%1."/>
      <w:numFmt w:val="decimal"/>
      <w:start w:val="8"/>
    </w:lvl>
  </w:abstractNum>
  <w:abstractNum w:abstractNumId="7">
    <w:nsid w:val="41A7C4C9"/>
    <w:multiLevelType w:val="hybridMultilevel"/>
    <w:lvl w:ilvl="0">
      <w:lvlJc w:val="left"/>
      <w:lvlText w:val="%1."/>
      <w:numFmt w:val="decimal"/>
      <w:start w:val="9"/>
    </w:lvl>
  </w:abstractNum>
  <w:abstractNum w:abstractNumId="8">
    <w:nsid w:val="6B68079A"/>
    <w:multiLevelType w:val="hybridMultilevel"/>
    <w:lvl w:ilvl="0">
      <w:lvlJc w:val="left"/>
      <w:lvlText w:val="%1."/>
      <w:numFmt w:val="decimal"/>
      <w:start w:val="10"/>
    </w:lvl>
  </w:abstractNum>
  <w:abstractNum w:abstractNumId="9">
    <w:nsid w:val="4E6AFB66"/>
    <w:multiLevelType w:val="hybridMultilevel"/>
    <w:lvl w:ilvl="0">
      <w:lvlJc w:val="left"/>
      <w:lvlText w:val="%1."/>
      <w:numFmt w:val="decimal"/>
      <w:start w:val="1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2"/>
    </w:lvl>
  </w:abstractNum>
  <w:abstractNum w:abstractNumId="12">
    <w:nsid w:val="431BD7B7"/>
    <w:multiLevelType w:val="hybridMultilevel"/>
    <w:lvl w:ilvl="0">
      <w:lvlJc w:val="left"/>
      <w:lvlText w:val="%1."/>
      <w:numFmt w:val="decimal"/>
      <w:start w:val="13"/>
    </w:lvl>
  </w:abstractNum>
  <w:abstractNum w:abstractNumId="13">
    <w:nsid w:val="3F2DBA31"/>
    <w:multiLevelType w:val="hybridMultilevel"/>
    <w:lvl w:ilvl="0">
      <w:lvlJc w:val="left"/>
      <w:lvlText w:val="%1."/>
      <w:numFmt w:val="decimal"/>
      <w:start w:val="14"/>
    </w:lvl>
  </w:abstractNum>
  <w:abstractNum w:abstractNumId="14">
    <w:nsid w:val="7C83E458"/>
    <w:multiLevelType w:val="hybridMultilevel"/>
    <w:lvl w:ilvl="0">
      <w:lvlJc w:val="left"/>
      <w:lvlText w:val="%1."/>
      <w:numFmt w:val="decimal"/>
      <w:start w:val="15"/>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01"/>
    </w:lvl>
  </w:abstractNum>
  <w:abstractNum w:abstractNumId="18">
    <w:nsid w:val="628C895D"/>
    <w:multiLevelType w:val="hybridMultilevel"/>
    <w:lvl w:ilvl="0">
      <w:lvlJc w:val="left"/>
      <w:lvlText w:val="%1."/>
      <w:numFmt w:val="decimal"/>
      <w:start w:val="1"/>
    </w:lvl>
    <w:lvl w:ilvl="1">
      <w:lvlJc w:val="left"/>
      <w:lvlText w:val="(%2)"/>
      <w:numFmt w:val="lowerLetter"/>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upperLetter"/>
      <w:start w:val="1"/>
    </w:lvl>
    <w:lvl w:ilvl="1">
      <w:lvlJc w:val="left"/>
      <w:lvlText w:val="(%2)"/>
      <w:numFmt w:val="decimal"/>
      <w:start w:val="1"/>
    </w:lvl>
  </w:abstractNum>
  <w:abstractNum w:abstractNumId="21">
    <w:nsid w:val="2443A858"/>
    <w:multiLevelType w:val="hybridMultilevel"/>
    <w:lvl w:ilvl="0">
      <w:lvlJc w:val="left"/>
      <w:lvlText w:val="%1."/>
      <w:numFmt w:val="upperLetter"/>
      <w:start w:val="7"/>
    </w:lvl>
    <w:lvl w:ilvl="1">
      <w:lvlJc w:val="left"/>
      <w:lvlText w:val="%2"/>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2019-12-29T18:05:03Z</dcterms:created>
  <dcterms:modified xsi:type="dcterms:W3CDTF">2019-12-29T18:05:03Z</dcterms:modified>
</cp:coreProperties>
</file>