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February 29, 2012</w:t>
      </w:r>
    </w:p>
    <w:p>
      <w:pPr>
        <w:spacing w:after="0" w:line="242"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56"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0" w:right="239" w:bottom="1440" w:gutter="0" w:footer="0" w:header="0"/>
        </w:sectPr>
      </w:pPr>
    </w:p>
    <w:p>
      <w:pPr>
        <w:spacing w:after="0" w:line="232"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220"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8" w:lineRule="exact"/>
        <w:rPr>
          <w:sz w:val="24"/>
          <w:szCs w:val="24"/>
          <w:color w:val="auto"/>
        </w:rPr>
      </w:pPr>
    </w:p>
    <w:p>
      <w:pPr>
        <w:ind w:right="40" w:firstLine="324"/>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w:t>
      </w:r>
    </w:p>
    <w:p>
      <w:pPr>
        <w:spacing w:after="0"/>
        <w:tabs>
          <w:tab w:leader="none" w:pos="3500" w:val="left"/>
        </w:tabs>
        <w:rPr>
          <w:sz w:val="20"/>
          <w:szCs w:val="20"/>
          <w:color w:val="auto"/>
        </w:rPr>
      </w:pPr>
      <w:r>
        <w:rPr>
          <w:rFonts w:ascii="Arial" w:cs="Arial" w:eastAsia="Arial" w:hAnsi="Arial"/>
          <w:sz w:val="18"/>
          <w:szCs w:val="18"/>
          <w:color w:val="auto"/>
        </w:rPr>
        <w:t>required to submit and post such files).</w:t>
      </w:r>
      <w:r>
        <w:rPr>
          <w:sz w:val="20"/>
          <w:szCs w:val="20"/>
          <w:color w:val="auto"/>
        </w:rPr>
        <w:tab/>
      </w:r>
      <w:r>
        <w:rPr>
          <w:rFonts w:ascii="Arial" w:cs="Arial" w:eastAsia="Arial" w:hAnsi="Arial"/>
          <w:sz w:val="18"/>
          <w:szCs w:val="18"/>
          <w:color w:val="auto"/>
        </w:rPr>
        <w:t>YES [x] NO [ ]</w:t>
      </w:r>
    </w:p>
    <w:p>
      <w:pPr>
        <w:spacing w:after="0" w:line="238"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Large accelerated filer [ ]</w:t>
            </w:r>
          </w:p>
        </w:tc>
        <w:tc>
          <w:tcPr>
            <w:tcW w:w="1800" w:type="dxa"/>
            <w:vAlign w:val="bottom"/>
          </w:tcPr>
          <w:p>
            <w:pPr>
              <w:ind w:left="420"/>
              <w:spacing w:after="0"/>
              <w:rPr>
                <w:sz w:val="20"/>
                <w:szCs w:val="20"/>
                <w:color w:val="auto"/>
              </w:rPr>
            </w:pPr>
            <w:r>
              <w:rPr>
                <w:rFonts w:ascii="Arial" w:cs="Arial" w:eastAsia="Arial" w:hAnsi="Arial"/>
                <w:sz w:val="18"/>
                <w:szCs w:val="18"/>
                <w:color w:val="auto"/>
                <w:w w:val="97"/>
              </w:rPr>
              <w:t>Accelerated filer [</w:t>
            </w:r>
          </w:p>
        </w:tc>
        <w:tc>
          <w:tcPr>
            <w:tcW w:w="2280" w:type="dxa"/>
            <w:vAlign w:val="bottom"/>
          </w:tcPr>
          <w:p>
            <w:pPr>
              <w:jc w:val="right"/>
              <w:ind w:right="2110"/>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Non-accelerated filer (Do not check if a smaller reporting company) [ ]</w:t>
            </w: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Smaller reporting company [x]</w:t>
            </w:r>
          </w:p>
        </w:tc>
      </w:tr>
      <w:tr>
        <w:trPr>
          <w:trHeight w:val="459"/>
        </w:trPr>
        <w:tc>
          <w:tcPr>
            <w:tcW w:w="9140" w:type="dxa"/>
            <w:vAlign w:val="bottom"/>
            <w:gridSpan w:val="2"/>
          </w:tcPr>
          <w:p>
            <w:pPr>
              <w:ind w:left="34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 [</w:t>
            </w:r>
          </w:p>
        </w:tc>
        <w:tc>
          <w:tcPr>
            <w:tcW w:w="2280" w:type="dxa"/>
            <w:vAlign w:val="bottom"/>
          </w:tcPr>
          <w:p>
            <w:pPr>
              <w:jc w:val="right"/>
              <w:ind w:right="1490"/>
              <w:spacing w:after="0"/>
              <w:rPr>
                <w:sz w:val="20"/>
                <w:szCs w:val="20"/>
                <w:color w:val="auto"/>
              </w:rPr>
            </w:pPr>
            <w:r>
              <w:rPr>
                <w:rFonts w:ascii="Arial" w:cs="Arial" w:eastAsia="Arial" w:hAnsi="Arial"/>
                <w:sz w:val="18"/>
                <w:szCs w:val="18"/>
                <w:color w:val="auto"/>
              </w:rPr>
              <w:t>] NO [x]</w:t>
            </w:r>
          </w:p>
        </w:tc>
      </w:tr>
      <w:tr>
        <w:trPr>
          <w:trHeight w:val="459"/>
        </w:trPr>
        <w:tc>
          <w:tcPr>
            <w:tcW w:w="7340" w:type="dxa"/>
            <w:vAlign w:val="bottom"/>
          </w:tcPr>
          <w:p>
            <w:pPr>
              <w:ind w:left="340"/>
              <w:spacing w:after="0"/>
              <w:rPr>
                <w:sz w:val="20"/>
                <w:szCs w:val="20"/>
                <w:color w:val="auto"/>
              </w:rPr>
            </w:pPr>
            <w:r>
              <w:rPr>
                <w:rFonts w:ascii="Arial" w:cs="Arial" w:eastAsia="Arial" w:hAnsi="Arial"/>
                <w:sz w:val="18"/>
                <w:szCs w:val="18"/>
                <w:color w:val="auto"/>
                <w:w w:val="96"/>
              </w:rPr>
              <w:t>As of April 10, 2012, 4,401,656 shares of common stock of the registrant were outstanding.</w:t>
            </w:r>
          </w:p>
        </w:tc>
        <w:tc>
          <w:tcPr>
            <w:tcW w:w="1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02"/>
        </w:trPr>
        <w:tc>
          <w:tcPr>
            <w:tcW w:w="7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1"/>
        </w:trPr>
        <w:tc>
          <w:tcPr>
            <w:tcW w:w="734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412"/>
        </w:trPr>
        <w:tc>
          <w:tcPr>
            <w:tcW w:w="640" w:type="dxa"/>
            <w:vAlign w:val="bottom"/>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520" w:type="dxa"/>
            <w:vAlign w:val="bottom"/>
            <w:gridSpan w:val="2"/>
          </w:tcPr>
          <w:p>
            <w:pPr>
              <w:spacing w:after="0"/>
              <w:rPr>
                <w:sz w:val="24"/>
                <w:szCs w:val="24"/>
                <w:color w:val="auto"/>
              </w:rPr>
            </w:pPr>
          </w:p>
        </w:tc>
        <w:tc>
          <w:tcPr>
            <w:tcW w:w="942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2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04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February 29, 2012 (unaudited) and August 31, 2011</w:t>
              </w:r>
            </w:hyperlink>
          </w:p>
        </w:tc>
        <w:tc>
          <w:tcPr>
            <w:tcW w:w="3160" w:type="dxa"/>
            <w:vAlign w:val="bottom"/>
            <w:gridSpan w:val="4"/>
          </w:tcPr>
          <w:p>
            <w:pPr>
              <w:spacing w:after="0"/>
              <w:rPr>
                <w:sz w:val="17"/>
                <w:szCs w:val="17"/>
                <w:color w:val="auto"/>
              </w:rPr>
            </w:pPr>
          </w:p>
        </w:tc>
        <w:tc>
          <w:tcPr>
            <w:tcW w:w="840" w:type="dxa"/>
            <w:vAlign w:val="bottom"/>
            <w:gridSpan w:val="6"/>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Operations (unaudited) for the Three and Six Months Ended February 29, 2012 and February 28,</w:t>
              </w:r>
            </w:hyperlink>
          </w:p>
        </w:tc>
        <w:tc>
          <w:tcPr>
            <w:tcW w:w="840" w:type="dxa"/>
            <w:vAlign w:val="bottom"/>
            <w:gridSpan w:val="6"/>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2011</w:t>
              </w:r>
            </w:hyperlink>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Statements of Cash Flows (unaudited) for the Six Months Ended February 29, 2012 and February 28, 2011</w:t>
              </w:r>
            </w:hyperlink>
          </w:p>
        </w:tc>
        <w:tc>
          <w:tcPr>
            <w:tcW w:w="840" w:type="dxa"/>
            <w:vAlign w:val="bottom"/>
            <w:gridSpan w:val="6"/>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8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740" w:type="dxa"/>
            <w:vAlign w:val="bottom"/>
            <w:gridSpan w:val="2"/>
          </w:tcPr>
          <w:p>
            <w:pPr>
              <w:spacing w:after="0"/>
              <w:rPr>
                <w:sz w:val="17"/>
                <w:szCs w:val="17"/>
                <w:color w:val="auto"/>
              </w:rPr>
            </w:pPr>
          </w:p>
        </w:tc>
        <w:tc>
          <w:tcPr>
            <w:tcW w:w="840" w:type="dxa"/>
            <w:vAlign w:val="bottom"/>
            <w:gridSpan w:val="6"/>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4-13</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62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6"/>
              </w:rPr>
            </w:pPr>
            <w:hyperlink w:anchor="page17">
              <w:r>
                <w:rPr>
                  <w:rFonts w:ascii="Arial" w:cs="Arial" w:eastAsia="Arial" w:hAnsi="Arial"/>
                  <w:sz w:val="18"/>
                  <w:szCs w:val="18"/>
                  <w:color w:val="0000EE"/>
                  <w:w w:val="86"/>
                </w:rPr>
                <w:t>14-27</w:t>
              </w:r>
            </w:hyperlink>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620" w:type="dxa"/>
            <w:vAlign w:val="bottom"/>
            <w:gridSpan w:val="3"/>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840" w:type="dxa"/>
            <w:vAlign w:val="bottom"/>
            <w:gridSpan w:val="6"/>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17"/>
                <w:szCs w:val="17"/>
                <w:color w:val="auto"/>
              </w:rPr>
            </w:pPr>
          </w:p>
        </w:tc>
        <w:tc>
          <w:tcPr>
            <w:tcW w:w="620" w:type="dxa"/>
            <w:vAlign w:val="bottom"/>
            <w:gridSpan w:val="3"/>
          </w:tcPr>
          <w:p>
            <w:pPr>
              <w:spacing w:after="0"/>
              <w:rPr>
                <w:sz w:val="17"/>
                <w:szCs w:val="17"/>
                <w:color w:val="auto"/>
              </w:rPr>
            </w:pPr>
          </w:p>
        </w:tc>
        <w:tc>
          <w:tcPr>
            <w:tcW w:w="4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120" w:type="dxa"/>
            <w:vAlign w:val="bottom"/>
            <w:gridSpan w:val="6"/>
          </w:tcPr>
          <w:p>
            <w:pPr>
              <w:spacing w:after="0"/>
              <w:rPr>
                <w:sz w:val="17"/>
                <w:szCs w:val="17"/>
                <w:color w:val="auto"/>
              </w:rPr>
            </w:pPr>
          </w:p>
        </w:tc>
        <w:tc>
          <w:tcPr>
            <w:tcW w:w="6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9420" w:type="dxa"/>
            <w:vAlign w:val="bottom"/>
            <w:gridSpan w:val="20"/>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7400" w:type="dxa"/>
            <w:vAlign w:val="bottom"/>
            <w:gridSpan w:val="10"/>
          </w:tcPr>
          <w:p>
            <w:pPr>
              <w:spacing w:after="0"/>
              <w:rPr>
                <w:sz w:val="17"/>
                <w:szCs w:val="17"/>
                <w:color w:val="auto"/>
              </w:rPr>
            </w:pPr>
          </w:p>
        </w:tc>
        <w:tc>
          <w:tcPr>
            <w:tcW w:w="6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942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840" w:type="dxa"/>
            <w:vAlign w:val="bottom"/>
            <w:gridSpan w:val="6"/>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840" w:type="dxa"/>
            <w:vAlign w:val="bottom"/>
            <w:gridSpan w:val="6"/>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3.</w:t>
              </w:r>
            </w:hyperlink>
          </w:p>
        </w:tc>
        <w:tc>
          <w:tcPr>
            <w:tcW w:w="620" w:type="dxa"/>
            <w:vAlign w:val="bottom"/>
            <w:gridSpan w:val="3"/>
          </w:tcPr>
          <w:p>
            <w:pPr>
              <w:spacing w:after="0"/>
              <w:rPr>
                <w:sz w:val="17"/>
                <w:szCs w:val="17"/>
                <w:color w:val="auto"/>
              </w:rPr>
            </w:pPr>
          </w:p>
        </w:tc>
        <w:tc>
          <w:tcPr>
            <w:tcW w:w="4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5080" w:type="dxa"/>
            <w:vAlign w:val="bottom"/>
            <w:gridSpan w:val="5"/>
          </w:tcPr>
          <w:p>
            <w:pPr>
              <w:spacing w:after="0"/>
              <w:rPr>
                <w:sz w:val="17"/>
                <w:szCs w:val="17"/>
                <w:color w:val="auto"/>
              </w:rPr>
            </w:pPr>
          </w:p>
        </w:tc>
        <w:tc>
          <w:tcPr>
            <w:tcW w:w="6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4.</w:t>
              </w:r>
            </w:hyperlink>
          </w:p>
        </w:tc>
        <w:tc>
          <w:tcPr>
            <w:tcW w:w="620" w:type="dxa"/>
            <w:vAlign w:val="bottom"/>
            <w:gridSpan w:val="3"/>
          </w:tcPr>
          <w:p>
            <w:pPr>
              <w:spacing w:after="0"/>
              <w:rPr>
                <w:sz w:val="17"/>
                <w:szCs w:val="17"/>
                <w:color w:val="auto"/>
              </w:rPr>
            </w:pPr>
          </w:p>
        </w:tc>
        <w:tc>
          <w:tcPr>
            <w:tcW w:w="23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7100" w:type="dxa"/>
            <w:vAlign w:val="bottom"/>
            <w:gridSpan w:val="9"/>
          </w:tcPr>
          <w:p>
            <w:pPr>
              <w:spacing w:after="0"/>
              <w:rPr>
                <w:sz w:val="17"/>
                <w:szCs w:val="17"/>
                <w:color w:val="auto"/>
              </w:rPr>
            </w:pPr>
          </w:p>
        </w:tc>
        <w:tc>
          <w:tcPr>
            <w:tcW w:w="6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5.</w:t>
              </w:r>
            </w:hyperlink>
          </w:p>
        </w:tc>
        <w:tc>
          <w:tcPr>
            <w:tcW w:w="62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660" w:type="dxa"/>
            <w:vAlign w:val="bottom"/>
            <w:gridSpan w:val="11"/>
          </w:tcPr>
          <w:p>
            <w:pPr>
              <w:spacing w:after="0"/>
              <w:rPr>
                <w:sz w:val="17"/>
                <w:szCs w:val="17"/>
                <w:color w:val="auto"/>
              </w:rPr>
            </w:pPr>
          </w:p>
        </w:tc>
        <w:tc>
          <w:tcPr>
            <w:tcW w:w="66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6.</w:t>
              </w:r>
            </w:hyperlink>
          </w:p>
        </w:tc>
        <w:tc>
          <w:tcPr>
            <w:tcW w:w="620" w:type="dxa"/>
            <w:vAlign w:val="bottom"/>
            <w:gridSpan w:val="3"/>
          </w:tcPr>
          <w:p>
            <w:pPr>
              <w:spacing w:after="0"/>
              <w:rPr>
                <w:sz w:val="17"/>
                <w:szCs w:val="17"/>
                <w:color w:val="auto"/>
              </w:rPr>
            </w:pPr>
          </w:p>
        </w:tc>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8820" w:type="dxa"/>
            <w:vAlign w:val="bottom"/>
            <w:gridSpan w:val="16"/>
          </w:tcPr>
          <w:p>
            <w:pPr>
              <w:spacing w:after="0"/>
              <w:rPr>
                <w:sz w:val="17"/>
                <w:szCs w:val="17"/>
                <w:color w:val="auto"/>
              </w:rPr>
            </w:pPr>
          </w:p>
        </w:tc>
        <w:tc>
          <w:tcPr>
            <w:tcW w:w="6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196"/>
        </w:trPr>
        <w:tc>
          <w:tcPr>
            <w:tcW w:w="16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7"/>
              </w:rPr>
            </w:pPr>
            <w:hyperlink w:anchor="page34">
              <w:r>
                <w:rPr>
                  <w:rFonts w:ascii="Arial" w:cs="Arial" w:eastAsia="Arial" w:hAnsi="Arial"/>
                  <w:sz w:val="18"/>
                  <w:szCs w:val="18"/>
                  <w:b w:val="1"/>
                  <w:bCs w:val="1"/>
                  <w:color w:val="0000EE"/>
                  <w:w w:val="97"/>
                </w:rPr>
                <w:t>SIGNATURE PAGE</w:t>
              </w:r>
            </w:hyperlink>
          </w:p>
        </w:tc>
        <w:tc>
          <w:tcPr>
            <w:tcW w:w="8980" w:type="dxa"/>
            <w:vAlign w:val="bottom"/>
            <w:gridSpan w:val="17"/>
          </w:tcPr>
          <w:p>
            <w:pPr>
              <w:spacing w:after="0"/>
              <w:rPr>
                <w:sz w:val="17"/>
                <w:szCs w:val="17"/>
                <w:color w:val="auto"/>
              </w:rPr>
            </w:pPr>
          </w:p>
        </w:tc>
        <w:tc>
          <w:tcPr>
            <w:tcW w:w="6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r>
      <w:tr>
        <w:trPr>
          <w:trHeight w:val="196"/>
        </w:trPr>
        <w:tc>
          <w:tcPr>
            <w:tcW w:w="10580" w:type="dxa"/>
            <w:vAlign w:val="bottom"/>
            <w:gridSpan w:val="25"/>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 INDEX</w:t>
              </w:r>
            </w:hyperlink>
          </w:p>
        </w:tc>
        <w:tc>
          <w:tcPr>
            <w:tcW w:w="840" w:type="dxa"/>
            <w:vAlign w:val="bottom"/>
            <w:gridSpan w:val="6"/>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5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subsidiary, Zerust Prevenção de Corrosão S.A., all of which are consolidated on NTIC’s consolidated financial statements. NTIC’s consolidated financial statements do not include the accounts of any of its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spacing w:after="0" w:line="276" w:lineRule="auto"/>
        <w:rPr>
          <w:sz w:val="20"/>
          <w:szCs w:val="20"/>
          <w:color w:val="auto"/>
        </w:rPr>
      </w:pPr>
      <w:r>
        <w:rPr>
          <w:rFonts w:ascii="Arial" w:cs="Arial" w:eastAsia="Arial" w:hAnsi="Arial"/>
          <w:sz w:val="17"/>
          <w:szCs w:val="17"/>
          <w:i w:val="1"/>
          <w:iCs w:val="1"/>
          <w:color w:val="auto"/>
        </w:rPr>
        <w:t>References in this report to NTIC’s joint ventures do not include NTIC’s majority owned Brazilian subsidiary, Zerust Prevenção de Corrosão S.A. As used in this report, references to “Zerust Brazil” refer to NTIC’s majority owned Brazilian subsidiary, Zerust Prevenção de Corrosão S.A. As used in this report, references to “EXCOR” refer to NTIC’s primary joint venture in Germany, Excor Korrosionsschutz – Technologien und Produkte GmbH, references to “NTI ASEAN” refer to NTIC’s joint venture holding company for NTIC’s joint venture investments in the Association of Southeast Asian Nations (ASEAN) region, NTI ASEAN, LLC, and references to “HNTI” refer to NTIC’s joint venture in India, Harita NTI Limited.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274"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8480" w:type="dxa"/>
            <w:vAlign w:val="bottom"/>
            <w:gridSpan w:val="3"/>
          </w:tcPr>
          <w:p>
            <w:pPr>
              <w:spacing w:after="0"/>
              <w:rPr>
                <w:sz w:val="20"/>
                <w:szCs w:val="20"/>
                <w:color w:val="auto"/>
              </w:rPr>
            </w:pPr>
            <w:r>
              <w:rPr>
                <w:rFonts w:ascii="Arial" w:cs="Arial" w:eastAsia="Arial" w:hAnsi="Arial"/>
                <w:sz w:val="22"/>
                <w:szCs w:val="22"/>
                <w:b w:val="1"/>
                <w:bCs w:val="1"/>
                <w:color w:val="auto"/>
              </w:rPr>
              <w:t>PART I - FINANCIAL INFORMATION</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ITEM 1.</w:t>
            </w:r>
          </w:p>
        </w:tc>
        <w:tc>
          <w:tcPr>
            <w:tcW w:w="7680" w:type="dxa"/>
            <w:vAlign w:val="bottom"/>
          </w:tcPr>
          <w:p>
            <w:pPr>
              <w:ind w:left="340"/>
              <w:spacing w:after="0"/>
              <w:rPr>
                <w:sz w:val="20"/>
                <w:szCs w:val="20"/>
                <w:color w:val="auto"/>
              </w:rPr>
            </w:pPr>
            <w:r>
              <w:rPr>
                <w:rFonts w:ascii="Arial" w:cs="Arial" w:eastAsia="Arial" w:hAnsi="Arial"/>
                <w:sz w:val="22"/>
                <w:szCs w:val="22"/>
                <w:b w:val="1"/>
                <w:bCs w:val="1"/>
                <w:i w:val="1"/>
                <w:iCs w:val="1"/>
                <w:color w:val="auto"/>
              </w:rPr>
              <w:t>FINANCIAL STATEMENTS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FEBRUARY 29, 2012 (UNAUDITED)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2011 (AUDITED)</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768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February 29, 2012</w:t>
            </w: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August 31, 2011</w:t>
            </w:r>
          </w:p>
        </w:tc>
        <w:tc>
          <w:tcPr>
            <w:tcW w:w="0" w:type="dxa"/>
            <w:vAlign w:val="bottom"/>
          </w:tcPr>
          <w:p>
            <w:pPr>
              <w:spacing w:after="0"/>
              <w:rPr>
                <w:sz w:val="1"/>
                <w:szCs w:val="1"/>
                <w:color w:val="auto"/>
              </w:rPr>
            </w:pPr>
          </w:p>
        </w:tc>
      </w:tr>
      <w:tr>
        <w:trPr>
          <w:trHeight w:val="20"/>
        </w:trPr>
        <w:tc>
          <w:tcPr>
            <w:tcW w:w="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vMerge w:val="continue"/>
          </w:tcPr>
          <w:p>
            <w:pPr>
              <w:spacing w:after="0"/>
              <w:rPr>
                <w:sz w:val="15"/>
                <w:szCs w:val="15"/>
                <w:color w:val="auto"/>
              </w:rPr>
            </w:pPr>
          </w:p>
        </w:tc>
        <w:tc>
          <w:tcPr>
            <w:tcW w:w="7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3,335,798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w w:val="95"/>
              </w:rPr>
              <w:t>Trade excluding joint ventures, less allowance for doubtful accounts of $20,000 at February 29, 2012 and</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August 31, 2011</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2,746,853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Trade joint ventures</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1,465,840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Fees for services provided to joint ventures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3,936,941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3,842,854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786,126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364,805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221,600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14,458,274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13,490,514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3,544,149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3,636,335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Investments in joint ventures</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18,900,336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20,559,509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1,410,700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Patents and trademarks, net</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910,721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903,038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7"/>
              </w:rPr>
              <w:t>Other</w:t>
            </w:r>
          </w:p>
        </w:tc>
        <w:tc>
          <w:tcPr>
            <w:tcW w:w="76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43,846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21,265,603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22,912,893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39,268,026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40,039,742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tcBorders>
              <w:top w:val="single" w:sz="8" w:color="CCEEFF"/>
            </w:tcBorders>
            <w:gridSpan w:val="2"/>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Current portion of note payable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1,104,046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 payable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130,755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Payroll and related benefits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846,956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Deferred joint venture royalties</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141,363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182,916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2,587,239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4,404,766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NOTE PAYABLE, NET OF CURRENT PORTION (Note 6)</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971,474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0"/>
              </w:rPr>
              <w:t>Common stock, $0.02 par value per share; authorized 10,000,000 shares; issued and outstanding 4,399,290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4,353,058, respectively</w:t>
            </w:r>
          </w:p>
        </w:tc>
        <w:tc>
          <w:tcPr>
            <w:tcW w:w="3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87,986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10,935,216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23,376,789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21,811,838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1,250,368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2,496,940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35,650,359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34,533,648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58,954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35,709,313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34,625,443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39,268,026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40,039,742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12"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29, 2012 AND FEBRUARY 28, 2011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92"/>
              </w:rPr>
              <w:t>Six Months Ended</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February 29, 2012</w:t>
            </w: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February 28, 2011</w:t>
            </w: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February 29, 2012</w:t>
            </w: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February 28, 2011</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sales, excluding joint ventures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4,125,618</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4,093,107</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8,403,261</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7,539,410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Net sales, to joint ventures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848,710</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685,011</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1,403,181</w:t>
            </w: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1,337,149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net sales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4,974,328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4,778,118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9,806,442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8,876,559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3,480,082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3,006,232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6,689,558</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5,696,937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1,494,246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1,771,886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3,116,884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3,179,622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 of joint ventures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1,224,675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1,129,659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2,582,355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2,824,790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Fees for services provided to joint ventures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1,298,126</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1,402,149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2,743,378</w:t>
            </w: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2,853,929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joint venture operations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2,522,801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2,531,808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5,325,733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5,678,719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Selling expenses</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1,014,082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921,554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2,122,568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1,920,607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1,100,812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1,069,636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2,370,825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2,173,803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Expenses incurred in support of joint ventures</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235,557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249,275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435,821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477,996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974,777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907,170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1,789,082</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2,100,626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3,325,228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3,147,635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6,718,296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6,673,032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691,819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1,156,059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1,724,321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2,185,309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20,691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6,725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13,650</w:t>
            </w: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703,991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1,141,219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1,745,412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2,158,093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140,000</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206,000</w:t>
            </w: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603,991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1,001,219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1,539,412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1,896,093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NET INCOME ATTRIBUTABLE TO NON CONTROLLING</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52,180</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(25,538)</w:t>
            </w:r>
          </w:p>
        </w:tc>
        <w:tc>
          <w:tcPr>
            <w:tcW w:w="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606,193</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949,039</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1,564,950</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1,848,820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ind w:left="9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4,398,356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4,340,934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4,366,932</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4,281,399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ind w:left="96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4,466,435</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4,419,921</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4,440,001</w:t>
            </w: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4,351,177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SIX MONTHS ENDED FEBRUARY 29, 2012 AND FEBRUARY 28,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6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0"/>
              </w:rPr>
              <w:t>Six Months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February 29, 2012</w:t>
            </w:r>
          </w:p>
        </w:tc>
        <w:tc>
          <w:tcPr>
            <w:tcW w:w="100" w:type="dxa"/>
            <w:vAlign w:val="bottom"/>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February 28, 2011</w:t>
            </w:r>
          </w:p>
        </w:tc>
        <w:tc>
          <w:tcPr>
            <w:tcW w:w="0" w:type="dxa"/>
            <w:vAlign w:val="bottom"/>
          </w:tcPr>
          <w:p>
            <w:pPr>
              <w:spacing w:after="0"/>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1,539,412</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1,896,093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Expensing of fair value of stock options vested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145,046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64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163,171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Amortization expense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77,493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640"/>
              <w:spacing w:after="0"/>
              <w:rPr>
                <w:sz w:val="20"/>
                <w:szCs w:val="20"/>
                <w:color w:val="auto"/>
              </w:rPr>
            </w:pPr>
            <w:r>
              <w:rPr>
                <w:rFonts w:ascii="Arial" w:cs="Arial" w:eastAsia="Arial" w:hAnsi="Arial"/>
                <w:sz w:val="18"/>
                <w:szCs w:val="18"/>
                <w:color w:val="auto"/>
              </w:rPr>
              <w:t>Equity in income from joint ventures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(2,582,355)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(2,824,790)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Trade, excluding joint ventures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(290,512)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Trade, joint ventures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(316,174)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Fees for services receivables, joint ventures</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164,795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96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(111,041)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9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(902,749)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Income tax payable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96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(198,639)</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(2,790,007)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(2,416,393)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Investment in joint ventures</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received from joint ventures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3,036,344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2,195,506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(80,698)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Additions to patents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(85,176)</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2,870,470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2,092,028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Repayment of note payable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(38,059)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15,040</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69,436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3,266,362</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1,776,162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3,335,798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1,864,215</w:t>
            </w:r>
          </w:p>
        </w:tc>
        <w:tc>
          <w:tcPr>
            <w:tcW w:w="0" w:type="dxa"/>
            <w:vAlign w:val="bottom"/>
          </w:tcPr>
          <w:p>
            <w:pPr>
              <w:spacing w:after="0"/>
              <w:rPr>
                <w:sz w:val="1"/>
                <w:szCs w:val="1"/>
                <w:color w:val="auto"/>
              </w:rPr>
            </w:pPr>
          </w:p>
        </w:tc>
      </w:tr>
      <w:tr>
        <w:trPr>
          <w:trHeight w:val="413"/>
        </w:trPr>
        <w:tc>
          <w:tcPr>
            <w:tcW w:w="828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280" w:type="dxa"/>
            <w:vAlign w:val="bottom"/>
            <w:gridSpan w:val="2"/>
          </w:tcPr>
          <w:p>
            <w:pPr>
              <w:jc w:val="right"/>
              <w:ind w:right="243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2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ind w:right="41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55"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29, 2012 and August 31, 2011 and the results of their operations for the three and six months ended February 29, 2012 and February 28, 2011 and their cash flows for the six months ended February 29, 2012 and February 28, 2011, in conformity with accounting principles generally accepted in the United States of America (U.S. GAAP).</w:t>
      </w:r>
    </w:p>
    <w:p>
      <w:pPr>
        <w:spacing w:after="0" w:line="215" w:lineRule="exact"/>
        <w:rPr>
          <w:sz w:val="20"/>
          <w:szCs w:val="20"/>
          <w:color w:val="auto"/>
        </w:rPr>
      </w:pPr>
    </w:p>
    <w:p>
      <w:pPr>
        <w:jc w:val="both"/>
        <w:ind w:right="860"/>
        <w:spacing w:after="0" w:line="312"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2011. These consolidated financial statements also should be read in conjunction with the “Management’s Discussion and Analysis of Financial Condition and Results of Operations” section appearing in this report.</w:t>
      </w:r>
    </w:p>
    <w:p>
      <w:pPr>
        <w:spacing w:after="0" w:line="1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results for the three and six months ended February 29, 2012 are not necessarily indicative of the results that may be expected for the full fiscal year ending August 31, 2012.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events occurring after the date of the consolidated financial statements requiring recording or disclosure in the financial statements.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2.</w:t>
            </w:r>
          </w:p>
        </w:tc>
        <w:tc>
          <w:tcPr>
            <w:tcW w:w="808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84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2"/>
              </w:rPr>
              <w:t>February 29, 2012</w:t>
            </w:r>
          </w:p>
        </w:tc>
        <w:tc>
          <w:tcPr>
            <w:tcW w:w="100" w:type="dxa"/>
            <w:vAlign w:val="bottom"/>
          </w:tcPr>
          <w:p>
            <w:pPr>
              <w:spacing w:after="0"/>
              <w:rPr>
                <w:sz w:val="24"/>
                <w:szCs w:val="2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August 31, 2011</w:t>
            </w:r>
          </w:p>
        </w:tc>
      </w:tr>
      <w:tr>
        <w:trPr>
          <w:trHeight w:val="21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1,314,770</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1,320,082</w:t>
            </w: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2,622,171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2,522,772</w:t>
            </w:r>
          </w:p>
        </w:tc>
      </w:tr>
      <w:tr>
        <w:trPr>
          <w:trHeight w:val="263"/>
        </w:trPr>
        <w:tc>
          <w:tcPr>
            <w:tcW w:w="40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3,936,941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3,842,854</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rPr>
              <w:t>3.</w:t>
            </w:r>
          </w:p>
        </w:tc>
        <w:tc>
          <w:tcPr>
            <w:tcW w:w="83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84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February 29, 2012</w:t>
            </w:r>
          </w:p>
        </w:tc>
        <w:tc>
          <w:tcPr>
            <w:tcW w:w="100" w:type="dxa"/>
            <w:vAlign w:val="bottom"/>
          </w:tcPr>
          <w:p>
            <w:pPr>
              <w:spacing w:after="0"/>
              <w:rPr>
                <w:sz w:val="24"/>
                <w:szCs w:val="2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August 31, 2011</w:t>
            </w: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340" w:type="dxa"/>
            <w:vAlign w:val="bottom"/>
            <w:gridSpan w:val="2"/>
            <w:shd w:val="clear" w:color="auto" w:fill="CCEEFF"/>
          </w:tcPr>
          <w:p>
            <w:pPr>
              <w:ind w:left="7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3,114,367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3,110,867</w:t>
            </w:r>
          </w:p>
        </w:tc>
        <w:tc>
          <w:tcPr>
            <w:tcW w:w="0" w:type="dxa"/>
            <w:vAlign w:val="bottom"/>
          </w:tcPr>
          <w:p>
            <w:pPr>
              <w:spacing w:after="0"/>
              <w:rPr>
                <w:sz w:val="1"/>
                <w:szCs w:val="1"/>
                <w:color w:val="auto"/>
              </w:rPr>
            </w:pPr>
          </w:p>
        </w:tc>
      </w:tr>
      <w:tr>
        <w:trPr>
          <w:trHeight w:val="230"/>
        </w:trPr>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2,283,131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2,213,269</w:t>
            </w: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5,707,863</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5,634,501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(2,163,714)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(1,998,166)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8340" w:type="dxa"/>
            <w:vAlign w:val="bottom"/>
            <w:gridSpan w:val="2"/>
          </w:tcPr>
          <w:p>
            <w:pPr>
              <w:ind w:left="79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3,544,149</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3,636,335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980" w:type="dxa"/>
            <w:vAlign w:val="bottom"/>
            <w:vMerge w:val="restart"/>
          </w:tcPr>
          <w:p>
            <w:pPr>
              <w:jc w:val="right"/>
              <w:ind w:right="2630"/>
              <w:spacing w:after="0"/>
              <w:rPr>
                <w:sz w:val="20"/>
                <w:szCs w:val="20"/>
                <w:color w:val="auto"/>
              </w:rPr>
            </w:pPr>
            <w:r>
              <w:rPr>
                <w:rFonts w:ascii="Arial" w:cs="Arial" w:eastAsia="Arial" w:hAnsi="Arial"/>
                <w:sz w:val="18"/>
                <w:szCs w:val="18"/>
                <w:color w:val="auto"/>
              </w:rPr>
              <w:t>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 w:type="dxa"/>
            <w:vAlign w:val="bottom"/>
            <w:shd w:val="clear" w:color="auto" w:fill="808080"/>
          </w:tcPr>
          <w:p>
            <w:pPr>
              <w:spacing w:after="0"/>
              <w:rPr>
                <w:sz w:val="5"/>
                <w:szCs w:val="5"/>
                <w:color w:val="auto"/>
              </w:rPr>
            </w:pPr>
          </w:p>
        </w:tc>
        <w:tc>
          <w:tcPr>
            <w:tcW w:w="79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8080" w:type="dxa"/>
            <w:vAlign w:val="bottom"/>
          </w:tcPr>
          <w:p>
            <w:pPr>
              <w:ind w:left="240"/>
              <w:spacing w:after="0"/>
              <w:rPr>
                <w:sz w:val="20"/>
                <w:szCs w:val="20"/>
                <w:color w:val="auto"/>
              </w:rPr>
            </w:pPr>
            <w:r>
              <w:rPr>
                <w:rFonts w:ascii="Arial" w:cs="Arial" w:eastAsia="Arial" w:hAnsi="Arial"/>
                <w:sz w:val="18"/>
                <w:szCs w:val="18"/>
                <w:b w:val="1"/>
                <w:bCs w:val="1"/>
                <w:color w:val="auto"/>
              </w:rPr>
              <w:t>PATENTS AND TRADEMARKS, NET</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848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February 29, 2012</w:t>
            </w:r>
          </w:p>
        </w:tc>
        <w:tc>
          <w:tcPr>
            <w:tcW w:w="100" w:type="dxa"/>
            <w:vAlign w:val="bottom"/>
          </w:tcPr>
          <w:p>
            <w:pPr>
              <w:spacing w:after="0"/>
              <w:rPr>
                <w:sz w:val="24"/>
                <w:szCs w:val="2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August 31, 2011</w:t>
            </w:r>
          </w:p>
        </w:tc>
      </w:tr>
      <w:tr>
        <w:trPr>
          <w:trHeight w:val="21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1,843,900</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1,758,722</w:t>
            </w: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(933,179)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(855,684)</w:t>
            </w:r>
          </w:p>
        </w:tc>
      </w:tr>
      <w:tr>
        <w:trPr>
          <w:trHeight w:val="263"/>
        </w:trPr>
        <w:tc>
          <w:tcPr>
            <w:tcW w:w="40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910,721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903,038</w:t>
            </w: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$160,000 in each of the next five fiscal years.</w:t>
      </w:r>
    </w:p>
    <w:p>
      <w:pPr>
        <w:spacing w:after="0" w:line="20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approximate U.S. GAAP in all material respects. All material profits recorded on sales from the Company to its joint ventures, that remain in inventory, have been eliminated for financial reporting purposes.</w:t>
      </w:r>
    </w:p>
    <w:p>
      <w:pPr>
        <w:spacing w:after="0" w:line="21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 Technologien und Produkte GmbH (EXCOR), the Company’s joint venture holding company in the Association of Southeast Asian Nations, or ASEAN, region, NTI ASEAN, LLC (NTI ASEAN), and all of the Company’s other joint ventures, are summarized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February 29, 2012</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NTI ASEAN</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$61,449,882</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$20,754,978</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$ 15,429,546</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$25,265,358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68,109,529</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23,378,049</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15,577,183</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29,154,297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22,008,135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3,797,080</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6,499,839</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11,711,216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5,190,921</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990,752</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4,200,169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40,910,473</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19,580,969</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8,086,592</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13,242,912</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18,900,336</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9,790,486</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2,990,939</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6,118,911</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August 31, 2011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NTI ASEAN</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$66,956,061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$ 24,411,880</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$ 14,565,219</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$27,978,962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73,155,916</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27,093,874</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14,759,582</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31,302,460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24,712,555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5,145,239</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6,123,684</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13,443,632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4,605,837</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1,020,034</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3,585,803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43,837,523</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21,948,635</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7,615,864</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14,273,025</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20,559,509</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10,931,819</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2,803,194</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6,824,496</w:t>
            </w:r>
          </w:p>
        </w:tc>
      </w:tr>
      <w:tr>
        <w:trPr>
          <w:trHeight w:val="350"/>
        </w:trPr>
        <w:tc>
          <w:tcPr>
            <w:tcW w:w="6400" w:type="dxa"/>
            <w:vAlign w:val="bottom"/>
          </w:tcPr>
          <w:p>
            <w:pPr>
              <w:ind w:left="566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5"/>
        </w:trPr>
        <w:tc>
          <w:tcPr>
            <w:tcW w:w="6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64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10"/>
          </w:tcPr>
          <w:p>
            <w:pPr>
              <w:jc w:val="right"/>
              <w:ind w:right="770"/>
              <w:spacing w:after="0"/>
              <w:rPr>
                <w:sz w:val="20"/>
                <w:szCs w:val="20"/>
                <w:color w:val="auto"/>
              </w:rPr>
            </w:pPr>
            <w:r>
              <w:rPr>
                <w:rFonts w:ascii="Arial" w:cs="Arial" w:eastAsia="Arial" w:hAnsi="Arial"/>
                <w:sz w:val="18"/>
                <w:szCs w:val="18"/>
                <w:b w:val="1"/>
                <w:bCs w:val="1"/>
                <w:color w:val="auto"/>
              </w:rPr>
              <w:t>Six Months Ended February 29, 2012</w:t>
            </w:r>
          </w:p>
        </w:tc>
        <w:tc>
          <w:tcPr>
            <w:tcW w:w="60" w:type="dxa"/>
            <w:vAlign w:val="bottom"/>
          </w:tcPr>
          <w:p>
            <w:pPr>
              <w:spacing w:after="0"/>
              <w:rPr>
                <w:sz w:val="20"/>
                <w:szCs w:val="20"/>
                <w:color w:val="auto"/>
              </w:rPr>
            </w:pPr>
          </w:p>
        </w:tc>
      </w:tr>
      <w:tr>
        <w:trPr>
          <w:trHeight w:val="223"/>
        </w:trPr>
        <w:tc>
          <w:tcPr>
            <w:tcW w:w="6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NTI ASEAN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All Other</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54,792,662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16,958,519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10,482,144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27,351,999</w:t>
            </w:r>
          </w:p>
        </w:tc>
        <w:tc>
          <w:tcPr>
            <w:tcW w:w="60" w:type="dxa"/>
            <w:vAlign w:val="bottom"/>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Gross profit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25,945,925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8,860,381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4,705,397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12,380,147</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4,798,435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3,158,682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1,276,056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363,697</w:t>
            </w:r>
          </w:p>
        </w:tc>
        <w:tc>
          <w:tcPr>
            <w:tcW w:w="60" w:type="dxa"/>
            <w:vAlign w:val="bottom"/>
          </w:tcPr>
          <w:p>
            <w:pPr>
              <w:spacing w:after="0"/>
              <w:rPr>
                <w:sz w:val="18"/>
                <w:szCs w:val="18"/>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 joint ventures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2,582,355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1,576,496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692,115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313,744</w:t>
            </w:r>
          </w:p>
        </w:tc>
        <w:tc>
          <w:tcPr>
            <w:tcW w:w="60" w:type="dxa"/>
            <w:vAlign w:val="bottom"/>
          </w:tcPr>
          <w:p>
            <w:pPr>
              <w:spacing w:after="0"/>
              <w:rPr>
                <w:sz w:val="20"/>
                <w:szCs w:val="20"/>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10"/>
          </w:tcPr>
          <w:p>
            <w:pPr>
              <w:jc w:val="right"/>
              <w:ind w:right="770"/>
              <w:spacing w:after="0"/>
              <w:rPr>
                <w:sz w:val="20"/>
                <w:szCs w:val="20"/>
                <w:color w:val="auto"/>
              </w:rPr>
            </w:pPr>
            <w:r>
              <w:rPr>
                <w:rFonts w:ascii="Arial" w:cs="Arial" w:eastAsia="Arial" w:hAnsi="Arial"/>
                <w:sz w:val="18"/>
                <w:szCs w:val="18"/>
                <w:b w:val="1"/>
                <w:bCs w:val="1"/>
                <w:color w:val="auto"/>
              </w:rPr>
              <w:t>Six Months Ended February 28, 2011</w:t>
            </w:r>
          </w:p>
        </w:tc>
      </w:tr>
      <w:tr>
        <w:trPr>
          <w:trHeight w:val="223"/>
        </w:trPr>
        <w:tc>
          <w:tcPr>
            <w:tcW w:w="6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53,405,322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16,737,132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8,690,315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27,977,875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24,910,772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8,506,310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4,055,738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12,348,724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5,277,712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3,116,690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1,053,512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1,107,510</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 joint ventures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2,824,790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1,547,773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558,260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718,757</w:t>
            </w:r>
          </w:p>
        </w:tc>
      </w:tr>
    </w:tbl>
    <w:p>
      <w:pPr>
        <w:spacing w:after="0" w:line="214"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Company records expenses that are directly attributable to the joint ventures on the statements of operations on the line “Expenses incurred in support of joint ventures”. The expenses include items such as employee compensation and benefit expenses, travel expense and consulting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six months ended February 29, 2012 and February 28, 2011.</w:t>
      </w:r>
    </w:p>
    <w:p>
      <w:pPr>
        <w:spacing w:after="0" w:line="248"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purchase of its corporate headquarters, in September 2006, Northern Technologies Holding Company, LLC (NTI LLC) obtained a term loan from PNC Bank, National Association (PNC Bank) with a principal amount of $1,275,000 that was to mature on May 1, 2011. On January 10, 2011, NTI LLC refinanced its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The term loan is secured by a first lien on the real estate and building owned by NTI LLC and all of the assets of the Company and is guaranteed by the Company.</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a revolving line of credit with PNC Bank of $3,000,000. No amounts were outstanding under the line of credit as of February 29, 2012 and August 31, 2011.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February 29, 2012, the interest rate was 3.24% and the weighted average rate was 3.13% for the six months ended February 29, 2012. As of February 28, 2011, the interest rate was 2.35% and the weighted average rate was 2.39% for the six months ended February 28, 2011. The revolving line of credit is secured by cash, receivables and inventory.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9" w:name="page10"/>
    <w:bookmarkEnd w:id="9"/>
    <w:p>
      <w:pPr>
        <w:ind w:right="160"/>
        <w:spacing w:after="0" w:line="257" w:lineRule="auto"/>
        <w:rPr>
          <w:sz w:val="20"/>
          <w:szCs w:val="20"/>
          <w:color w:val="auto"/>
        </w:rPr>
      </w:pPr>
      <w:r>
        <w:rPr>
          <w:rFonts w:ascii="Arial" w:cs="Arial" w:eastAsia="Arial" w:hAnsi="Arial"/>
          <w:sz w:val="18"/>
          <w:szCs w:val="18"/>
          <w:color w:val="auto"/>
        </w:rPr>
        <w:t>The term loan and the line of credit are governed under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w:t>
      </w:r>
    </w:p>
    <w:p>
      <w:pPr>
        <w:spacing w:after="0" w:line="21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January 10, 2012, the Company and PNC Bank entered into a Waiver and First Amendment to Loan Documents pursuant to which the Company and PNC Bank amended the loan agreement and other documents evidencing the Company’s $3,000,000 line of credit with PNC Bank effective as of January 11, 2012 to extend the maturity date of the line of credit from January 10, 2012 to January 9, 2013, and waive a technical covenant default by the Company to deliver a compliance certificate for the period ending November 30, 2011. All other terms of the line of credit and the loan agreement and other documents evidencing the line of credit remain the same.</w:t>
      </w:r>
    </w:p>
    <w:p>
      <w:pPr>
        <w:spacing w:after="0" w:line="211"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six months ended February 29, 2012, the Company did not purchase or retire any shares of its common stock. The following stock options to purchase shares of common stock were exercised during the six months ended February 29, 2012: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8500" w:type="dxa"/>
            <w:vAlign w:val="bottom"/>
            <w:gridSpan w:val="3"/>
          </w:tcPr>
          <w:p>
            <w:pPr>
              <w:jc w:val="center"/>
              <w:ind w:right="5740"/>
              <w:spacing w:after="0"/>
              <w:rPr>
                <w:sz w:val="20"/>
                <w:szCs w:val="20"/>
                <w:color w:val="auto"/>
              </w:rPr>
            </w:pPr>
            <w:r>
              <w:rPr>
                <w:rFonts w:ascii="Arial" w:cs="Arial" w:eastAsia="Arial" w:hAnsi="Arial"/>
                <w:sz w:val="18"/>
                <w:szCs w:val="18"/>
                <w:color w:val="auto"/>
                <w:w w:val="90"/>
              </w:rPr>
              <w:t>Exercise Price</w:t>
            </w:r>
          </w:p>
        </w:tc>
      </w:tr>
      <w:tr>
        <w:trPr>
          <w:trHeight w:val="21"/>
        </w:trPr>
        <w:tc>
          <w:tcPr>
            <w:tcW w:w="7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20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1,966</w:t>
            </w:r>
          </w:p>
        </w:tc>
        <w:tc>
          <w:tcPr>
            <w:tcW w:w="8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7.65</w:t>
            </w:r>
          </w:p>
        </w:tc>
        <w:tc>
          <w:tcPr>
            <w:tcW w:w="66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-136525</wp:posOffset>
            </wp:positionV>
            <wp:extent cx="361886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0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granted stock options under the Northern Technologies International Corporation Amended and Restated 2007 Stock Incentive Plan (the 2007 Plan) to purchase an aggregate of 26,000 shares of its common stock to directors during the six months ended February 29, 2012. The per share exercise price of the stock options is $16.45, which is equal to the fair market value of the Company’s common stock on the date of grant.</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six months ended February 29, 2012, the Company granted stock bonuses under the 2007 Plan for an aggregate of 42,707 shares of its common stock to various employees at a grant price of $14.42 per share. The aggregate fair value of the shares of the Company’s common stock as of the date of grant of the stock bonuses was $615,830, based on the closing sale price of a share of the Company’s common stock on the date of grant. The fair value of common stock granted during the six months ended February 29, 2012 was based on fiscal 2011 performance and was included in accrued liabilities at August 31, 2011.</w:t>
      </w:r>
    </w:p>
    <w:p>
      <w:pPr>
        <w:spacing w:after="0" w:line="2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six months ended February 28, 2011, the Company did not purchase or retire any shares of its common stock. The following stock options to purchase shares of common stock were exercised during the six months ended February 28, 2011: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8500" w:type="dxa"/>
            <w:vAlign w:val="bottom"/>
            <w:gridSpan w:val="3"/>
          </w:tcPr>
          <w:p>
            <w:pPr>
              <w:ind w:left="860"/>
              <w:spacing w:after="0"/>
              <w:rPr>
                <w:sz w:val="20"/>
                <w:szCs w:val="20"/>
                <w:color w:val="auto"/>
              </w:rPr>
            </w:pPr>
            <w:r>
              <w:rPr>
                <w:rFonts w:ascii="Arial" w:cs="Arial" w:eastAsia="Arial" w:hAnsi="Arial"/>
                <w:sz w:val="18"/>
                <w:szCs w:val="18"/>
                <w:color w:val="auto"/>
              </w:rPr>
              <w:t>Exercise Price</w:t>
            </w:r>
          </w:p>
        </w:tc>
      </w:tr>
      <w:tr>
        <w:trPr>
          <w:trHeight w:val="21"/>
        </w:trPr>
        <w:tc>
          <w:tcPr>
            <w:tcW w:w="7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2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40,000</w:t>
            </w:r>
          </w:p>
        </w:tc>
        <w:tc>
          <w:tcPr>
            <w:tcW w:w="8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5.38</w:t>
            </w:r>
          </w:p>
        </w:tc>
        <w:tc>
          <w:tcPr>
            <w:tcW w:w="660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jc w:val="right"/>
              <w:ind w:right="250"/>
              <w:spacing w:after="0"/>
              <w:rPr>
                <w:sz w:val="20"/>
                <w:szCs w:val="20"/>
                <w:color w:val="auto"/>
              </w:rPr>
            </w:pPr>
            <w:r>
              <w:rPr>
                <w:rFonts w:ascii="Arial" w:cs="Arial" w:eastAsia="Arial" w:hAnsi="Arial"/>
                <w:sz w:val="18"/>
                <w:szCs w:val="18"/>
                <w:color w:val="auto"/>
              </w:rPr>
              <w:t>2,000</w:t>
            </w:r>
          </w:p>
        </w:tc>
        <w:tc>
          <w:tcPr>
            <w:tcW w:w="88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66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666</w:t>
            </w:r>
          </w:p>
        </w:tc>
        <w:tc>
          <w:tcPr>
            <w:tcW w:w="8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660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jc w:val="right"/>
              <w:ind w:right="250"/>
              <w:spacing w:after="0"/>
              <w:rPr>
                <w:sz w:val="20"/>
                <w:szCs w:val="20"/>
                <w:color w:val="auto"/>
              </w:rPr>
            </w:pPr>
            <w:r>
              <w:rPr>
                <w:rFonts w:ascii="Arial" w:cs="Arial" w:eastAsia="Arial" w:hAnsi="Arial"/>
                <w:sz w:val="18"/>
                <w:szCs w:val="18"/>
                <w:color w:val="auto"/>
              </w:rPr>
              <w:t>2,000</w:t>
            </w:r>
          </w:p>
        </w:tc>
        <w:tc>
          <w:tcPr>
            <w:tcW w:w="88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66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4,000</w:t>
            </w:r>
          </w:p>
        </w:tc>
        <w:tc>
          <w:tcPr>
            <w:tcW w:w="8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w:t>
            </w:r>
          </w:p>
        </w:tc>
        <w:tc>
          <w:tcPr>
            <w:tcW w:w="660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jc w:val="right"/>
              <w:ind w:right="250"/>
              <w:spacing w:after="0"/>
              <w:rPr>
                <w:sz w:val="20"/>
                <w:szCs w:val="20"/>
                <w:color w:val="auto"/>
              </w:rPr>
            </w:pPr>
            <w:r>
              <w:rPr>
                <w:rFonts w:ascii="Arial" w:cs="Arial" w:eastAsia="Arial" w:hAnsi="Arial"/>
                <w:sz w:val="18"/>
                <w:szCs w:val="18"/>
                <w:color w:val="auto"/>
              </w:rPr>
              <w:t>1,334</w:t>
            </w:r>
          </w:p>
        </w:tc>
        <w:tc>
          <w:tcPr>
            <w:tcW w:w="88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66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4,000</w:t>
            </w:r>
          </w:p>
        </w:tc>
        <w:tc>
          <w:tcPr>
            <w:tcW w:w="8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9.76</w:t>
            </w:r>
          </w:p>
        </w:tc>
        <w:tc>
          <w:tcPr>
            <w:tcW w:w="6600" w:type="dxa"/>
            <w:vAlign w:val="bottom"/>
            <w:shd w:val="clear" w:color="auto" w:fill="CCEEFF"/>
          </w:tcPr>
          <w:p>
            <w:pPr>
              <w:spacing w:after="0"/>
              <w:rPr>
                <w:sz w:val="18"/>
                <w:szCs w:val="18"/>
                <w:color w:val="auto"/>
              </w:rPr>
            </w:pPr>
          </w:p>
        </w:tc>
      </w:tr>
      <w:tr>
        <w:trPr>
          <w:trHeight w:val="230"/>
        </w:trPr>
        <w:tc>
          <w:tcPr>
            <w:tcW w:w="2040" w:type="dxa"/>
            <w:vAlign w:val="bottom"/>
            <w:gridSpan w:val="2"/>
          </w:tcPr>
          <w:p>
            <w:pPr>
              <w:jc w:val="right"/>
              <w:ind w:right="250"/>
              <w:spacing w:after="0"/>
              <w:rPr>
                <w:sz w:val="20"/>
                <w:szCs w:val="20"/>
                <w:color w:val="auto"/>
              </w:rPr>
            </w:pPr>
            <w:r>
              <w:rPr>
                <w:rFonts w:ascii="Arial" w:cs="Arial" w:eastAsia="Arial" w:hAnsi="Arial"/>
                <w:sz w:val="18"/>
                <w:szCs w:val="18"/>
                <w:color w:val="auto"/>
              </w:rPr>
              <w:t>5,333</w:t>
            </w:r>
          </w:p>
        </w:tc>
        <w:tc>
          <w:tcPr>
            <w:tcW w:w="8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12.84</w:t>
            </w:r>
          </w:p>
        </w:tc>
        <w:tc>
          <w:tcPr>
            <w:tcW w:w="6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-1106170</wp:posOffset>
            </wp:positionV>
            <wp:extent cx="361886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-831850</wp:posOffset>
            </wp:positionV>
            <wp:extent cx="361886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-557530</wp:posOffset>
            </wp:positionV>
            <wp:extent cx="361886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-282575</wp:posOffset>
            </wp:positionV>
            <wp:extent cx="361886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right="660"/>
        <w:spacing w:after="0" w:line="342"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to purchase an aggregate of 30,000 shares of its common stock to various employees and directors during the six months ended February 28, 2011.</w:t>
      </w:r>
    </w:p>
    <w:p>
      <w:pPr>
        <w:spacing w:after="0" w:line="15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six months ended February 28, 2011, the Company granted stock bonuses under the Northern Technologies International Corporation Amended and Restated 2007 Stock Incentive Plan for an aggregate of 22,686 shares of its common stock to various employees. The fair value of the shares of the Company’s common stock as of the date of grant of the stock bonuses was $319,649, based on the closing sale price of a share of the Company’s common stock on the date of grant. The fair value of common stock granted during the six months ended February 28, 2011 was based on fiscal 2010 performance and was included in accrued liabilities at August 31, 2010.</w:t>
      </w:r>
    </w:p>
    <w:p>
      <w:pPr>
        <w:spacing w:after="0" w:line="211"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TOTAL 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comprehensive (loss) income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0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29,</w:t>
            </w:r>
          </w:p>
        </w:tc>
        <w:tc>
          <w:tcPr>
            <w:tcW w:w="120" w:type="dxa"/>
            <w:vAlign w:val="bottom"/>
          </w:tcPr>
          <w:p>
            <w:pPr>
              <w:spacing w:after="0"/>
              <w:rPr>
                <w:sz w:val="16"/>
                <w:szCs w:val="16"/>
                <w:color w:val="auto"/>
              </w:rPr>
            </w:pPr>
          </w:p>
        </w:tc>
        <w:tc>
          <w:tcPr>
            <w:tcW w:w="110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w w:val="91"/>
              </w:rPr>
              <w:t>February 28,</w:t>
            </w:r>
          </w:p>
        </w:tc>
      </w:tr>
      <w:tr>
        <w:trPr>
          <w:trHeight w:val="234"/>
        </w:trPr>
        <w:tc>
          <w:tcPr>
            <w:tcW w:w="4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603,991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1,001,219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1,539,412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1,896,093</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Other comprehensive income (loss) – foreign currency translation adjustment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753,338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(1,246,572)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1,158,202</w:t>
            </w:r>
          </w:p>
        </w:tc>
      </w:tr>
      <w:tr>
        <w:trPr>
          <w:trHeight w:val="263"/>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535,684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1,754,557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292,840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3,054,295</w:t>
            </w:r>
          </w:p>
        </w:tc>
      </w:tr>
      <w:tr>
        <w:trPr>
          <w:trHeight w:val="440"/>
        </w:trPr>
        <w:tc>
          <w:tcPr>
            <w:tcW w:w="4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9.</w:t>
            </w:r>
          </w:p>
        </w:tc>
        <w:tc>
          <w:tcPr>
            <w:tcW w:w="6260" w:type="dxa"/>
            <w:vAlign w:val="bottom"/>
            <w:tcBorders>
              <w:top w:val="single" w:sz="8" w:color="CCEEFF"/>
            </w:tcBorders>
          </w:tcPr>
          <w:p>
            <w:pPr>
              <w:ind w:left="240"/>
              <w:spacing w:after="0"/>
              <w:rPr>
                <w:sz w:val="20"/>
                <w:szCs w:val="20"/>
                <w:color w:val="auto"/>
              </w:rPr>
            </w:pPr>
            <w:r>
              <w:rPr>
                <w:rFonts w:ascii="Arial" w:cs="Arial" w:eastAsia="Arial" w:hAnsi="Arial"/>
                <w:sz w:val="18"/>
                <w:szCs w:val="18"/>
                <w:b w:val="1"/>
                <w:bCs w:val="1"/>
                <w:color w:val="auto"/>
              </w:rPr>
              <w:t>NET INCOME PER COMMON SHARE</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9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Options to purchase shares of common stock of 26,000 were excluded from the computation of common share equivalents for the three and six months ended February 29, 2012, as the exercise prices of such options were greater than market price of a share of common stock. No options to purchase shares of common stock were excluded from the computation of common share equivalents for both the three and six months ended February 28, 2011.</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earnings per share computation for the three and six months ended February 29, 2012 and February 28, 2011: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29,</w:t>
            </w:r>
          </w:p>
        </w:tc>
        <w:tc>
          <w:tcPr>
            <w:tcW w:w="12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234"/>
        </w:trPr>
        <w:tc>
          <w:tcPr>
            <w:tcW w:w="4880" w:type="dxa"/>
            <w:vAlign w:val="bottom"/>
            <w:gridSpan w:val="2"/>
          </w:tcPr>
          <w:p>
            <w:pPr>
              <w:spacing w:after="0"/>
              <w:rPr>
                <w:sz w:val="20"/>
                <w:szCs w:val="20"/>
                <w:color w:val="auto"/>
              </w:rPr>
            </w:pPr>
            <w:r>
              <w:rPr>
                <w:rFonts w:ascii="Arial" w:cs="Arial" w:eastAsia="Arial" w:hAnsi="Arial"/>
                <w:sz w:val="18"/>
                <w:szCs w:val="18"/>
                <w:color w:val="auto"/>
              </w:rPr>
              <w:t>Numerators:</w:t>
            </w:r>
          </w:p>
        </w:tc>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9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606,193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949,039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1,564,950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1,848,820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4,398,356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4,340,934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4,366,932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4,281,399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7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68,079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78,987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73,069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4,466,435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4,419,921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4,440,001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4,351,177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9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98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80" w:type="dxa"/>
            <w:vAlign w:val="bottom"/>
          </w:tcPr>
          <w:p>
            <w:pPr>
              <w:jc w:val="right"/>
              <w:ind w:right="81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86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10" w:lineRule="exact"/>
        <w:rPr>
          <w:sz w:val="20"/>
          <w:szCs w:val="20"/>
          <w:color w:val="auto"/>
        </w:rPr>
      </w:pPr>
    </w:p>
    <w:p>
      <w:pPr>
        <w:ind w:left="600" w:hanging="592"/>
        <w:spacing w:after="0"/>
        <w:tabs>
          <w:tab w:leader="none" w:pos="6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including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administers these plans.</w:t>
      </w:r>
    </w:p>
    <w:p>
      <w:pPr>
        <w:spacing w:after="0" w:line="17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granted options to purchase 26,000 and 30,000 shares of its common stock during the six months ended February 29, 2012 and February 28, 2011, respectively. The fair value of option grants is determined at date of grant, using the Black-Scholes option pricing model with the assumptions listed below. Based on these valuations, the Company recognized compensation expense of $145,046 and $109,880 during the six months ended February 29, 2012 and February 28, 2011, respectively, related to the options that vested during such time period. The stock-based expense recorded reduced after-tax net income per share by $0.03 for each of the six months ended February 29, 2012 and February 28, 2011. As of February 29, 2012, the total compensation cost for non-vested options not yet recognized in the Company’s consolidated statements of operations was $171,427 net of estimated forfeitures. Additional stock-based compensation expense of $143,351 is expected through the remainder of fiscal year 2012, and expense of $31,196 and $0 is expected to be recognized during fiscal 2013 and fiscal 2014, respectively. Future option grants will impact the compensation expense recognized.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600" w:type="dxa"/>
            <w:vAlign w:val="bottom"/>
          </w:tcPr>
          <w:p>
            <w:pPr>
              <w:ind w:left="800"/>
              <w:spacing w:after="0"/>
              <w:rPr>
                <w:sz w:val="20"/>
                <w:szCs w:val="20"/>
                <w:color w:val="auto"/>
              </w:rPr>
            </w:pPr>
            <w:r>
              <w:rPr>
                <w:rFonts w:ascii="Arial" w:cs="Arial" w:eastAsia="Arial" w:hAnsi="Arial"/>
                <w:sz w:val="18"/>
                <w:szCs w:val="18"/>
                <w:b w:val="1"/>
                <w:bCs w:val="1"/>
                <w:color w:val="auto"/>
              </w:rPr>
              <w:t>February 29,</w:t>
            </w:r>
          </w:p>
        </w:tc>
        <w:tc>
          <w:tcPr>
            <w:tcW w:w="380" w:type="dxa"/>
            <w:vAlign w:val="bottom"/>
          </w:tcPr>
          <w:p>
            <w:pPr>
              <w:spacing w:after="0"/>
              <w:rPr>
                <w:sz w:val="18"/>
                <w:szCs w:val="18"/>
                <w:color w:val="auto"/>
              </w:rPr>
            </w:pPr>
          </w:p>
        </w:tc>
        <w:tc>
          <w:tcPr>
            <w:tcW w:w="2620" w:type="dxa"/>
            <w:vAlign w:val="bottom"/>
          </w:tcPr>
          <w:p>
            <w:pPr>
              <w:ind w:left="820"/>
              <w:spacing w:after="0"/>
              <w:rPr>
                <w:sz w:val="20"/>
                <w:szCs w:val="20"/>
                <w:color w:val="auto"/>
              </w:rPr>
            </w:pPr>
            <w:r>
              <w:rPr>
                <w:rFonts w:ascii="Arial" w:cs="Arial" w:eastAsia="Arial" w:hAnsi="Arial"/>
                <w:sz w:val="18"/>
                <w:szCs w:val="18"/>
                <w:b w:val="1"/>
                <w:bCs w:val="1"/>
                <w:color w:val="auto"/>
              </w:rPr>
              <w:t>February 28,</w:t>
            </w:r>
          </w:p>
        </w:tc>
      </w:tr>
      <w:tr>
        <w:trPr>
          <w:trHeight w:val="234"/>
        </w:trPr>
        <w:tc>
          <w:tcPr>
            <w:tcW w:w="582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3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30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0.00%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volatility</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48.8%</w:t>
            </w:r>
          </w:p>
        </w:tc>
        <w:tc>
          <w:tcPr>
            <w:tcW w:w="300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49.2%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2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5 years</w:t>
            </w:r>
          </w:p>
        </w:tc>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5 years</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1.31%</w:t>
            </w:r>
          </w:p>
        </w:tc>
        <w:tc>
          <w:tcPr>
            <w:tcW w:w="300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1.31%</w:t>
            </w:r>
          </w:p>
        </w:tc>
      </w:tr>
    </w:tbl>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weighted average fair value of options granted during the six months ended February 29, 2012 and February 28, 2011 was $7.14 and $3.60, respectively. The weighted average remaining contractual life of the options outstanding as of February 29, 2012 and February 28, 2011 was 2.07 years and 3.20 years, respectively.</w:t>
      </w:r>
    </w:p>
    <w:p>
      <w:pPr>
        <w:spacing w:after="0" w:line="204"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sales by geographic location as a percentage of total consolidated net sales for the three and six months ended February 29, 2012 and February 28, 2011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6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89"/>
              </w:rPr>
              <w:t>February 29,</w:t>
            </w:r>
          </w:p>
        </w:tc>
        <w:tc>
          <w:tcPr>
            <w:tcW w:w="100" w:type="dxa"/>
            <w:vAlign w:val="bottom"/>
          </w:tcPr>
          <w:p>
            <w:pPr>
              <w:spacing w:after="0"/>
              <w:rPr>
                <w:sz w:val="16"/>
                <w:szCs w:val="16"/>
                <w:color w:val="auto"/>
              </w:rPr>
            </w:pPr>
          </w:p>
        </w:tc>
        <w:tc>
          <w:tcPr>
            <w:tcW w:w="11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February 28,</w:t>
            </w:r>
          </w:p>
        </w:tc>
        <w:tc>
          <w:tcPr>
            <w:tcW w:w="100" w:type="dxa"/>
            <w:vAlign w:val="bottom"/>
          </w:tcPr>
          <w:p>
            <w:pPr>
              <w:spacing w:after="0"/>
              <w:rPr>
                <w:sz w:val="16"/>
                <w:szCs w:val="16"/>
                <w:color w:val="auto"/>
              </w:rPr>
            </w:pPr>
          </w:p>
        </w:tc>
        <w:tc>
          <w:tcPr>
            <w:tcW w:w="11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1"/>
              </w:rPr>
              <w:t>February 29,</w:t>
            </w:r>
          </w:p>
        </w:tc>
        <w:tc>
          <w:tcPr>
            <w:tcW w:w="100" w:type="dxa"/>
            <w:vAlign w:val="bottom"/>
          </w:tcPr>
          <w:p>
            <w:pPr>
              <w:spacing w:after="0"/>
              <w:rPr>
                <w:sz w:val="16"/>
                <w:szCs w:val="16"/>
                <w:color w:val="auto"/>
              </w:rPr>
            </w:pPr>
          </w:p>
        </w:tc>
        <w:tc>
          <w:tcPr>
            <w:tcW w:w="11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February 28,</w:t>
            </w:r>
          </w:p>
        </w:tc>
      </w:tr>
      <w:tr>
        <w:trPr>
          <w:trHeight w:val="234"/>
        </w:trPr>
        <w:tc>
          <w:tcPr>
            <w:tcW w:w="6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Outside the U.S.A to:</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Joint ventures in which the Company is a shareholder directly and indirectly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6140" w:type="dxa"/>
            <w:vAlign w:val="bottom"/>
          </w:tcPr>
          <w:p>
            <w:pPr>
              <w:ind w:left="340"/>
              <w:spacing w:after="0"/>
              <w:rPr>
                <w:sz w:val="20"/>
                <w:szCs w:val="20"/>
                <w:color w:val="auto"/>
              </w:rPr>
            </w:pPr>
            <w:r>
              <w:rPr>
                <w:rFonts w:ascii="Arial" w:cs="Arial" w:eastAsia="Arial" w:hAnsi="Arial"/>
                <w:sz w:val="18"/>
                <w:szCs w:val="18"/>
                <w:color w:val="auto"/>
              </w:rPr>
              <w:t>Unaffiliated customers</w:t>
            </w:r>
          </w:p>
        </w:tc>
        <w:tc>
          <w:tcPr>
            <w:tcW w:w="3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28.4%</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22.8%</w:t>
            </w:r>
          </w:p>
        </w:tc>
      </w:tr>
      <w:tr>
        <w:trPr>
          <w:trHeight w:val="210"/>
        </w:trPr>
        <w:tc>
          <w:tcPr>
            <w:tcW w:w="6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six months ended February 29, 2012 and February 28, 2011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1"/>
        </w:trPr>
        <w:tc>
          <w:tcPr>
            <w:tcW w:w="34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for 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3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February 29,</w:t>
            </w: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Services Provided</w:t>
            </w:r>
          </w:p>
        </w:tc>
      </w:tr>
      <w:tr>
        <w:trPr>
          <w:trHeight w:val="234"/>
        </w:trPr>
        <w:tc>
          <w:tcPr>
            <w:tcW w:w="34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Joint Ventures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to Joint Ventures</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251,387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264,476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Japan</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214,984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233,170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163,689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161,158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Sweden</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148,277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150,000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159,107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Finland</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118,911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122,565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80,639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76,702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193,235</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234,971</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w:t>
            </w:r>
          </w:p>
        </w:tc>
      </w:tr>
      <w:tr>
        <w:trPr>
          <w:trHeight w:val="210"/>
        </w:trPr>
        <w:tc>
          <w:tcPr>
            <w:tcW w:w="342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1,298,126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1,402,149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608"/>
        </w:trPr>
        <w:tc>
          <w:tcPr>
            <w:tcW w:w="3420" w:type="dxa"/>
            <w:vAlign w:val="bottom"/>
          </w:tcPr>
          <w:p>
            <w:pPr>
              <w:spacing w:after="0"/>
              <w:rPr>
                <w:sz w:val="24"/>
                <w:szCs w:val="24"/>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05"/>
        </w:trPr>
        <w:tc>
          <w:tcPr>
            <w:tcW w:w="34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61"/>
        </w:trPr>
        <w:tc>
          <w:tcPr>
            <w:tcW w:w="3420" w:type="dxa"/>
            <w:vAlign w:val="bottom"/>
            <w:shd w:val="clear" w:color="auto" w:fill="808080"/>
          </w:tcPr>
          <w:p>
            <w:pPr>
              <w:spacing w:after="0"/>
              <w:rPr>
                <w:sz w:val="5"/>
                <w:szCs w:val="5"/>
                <w:color w:val="auto"/>
              </w:rPr>
            </w:pPr>
          </w:p>
        </w:tc>
        <w:tc>
          <w:tcPr>
            <w:tcW w:w="24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91"/>
        </w:trPr>
        <w:tc>
          <w:tcPr>
            <w:tcW w:w="35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 of Total Fees</w:t>
            </w:r>
          </w:p>
        </w:tc>
      </w:tr>
      <w:tr>
        <w:trPr>
          <w:trHeight w:val="216"/>
        </w:trPr>
        <w:tc>
          <w:tcPr>
            <w:tcW w:w="3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for Services</w:t>
            </w:r>
          </w:p>
        </w:tc>
      </w:tr>
      <w:tr>
        <w:trPr>
          <w:trHeight w:val="216"/>
        </w:trPr>
        <w:tc>
          <w:tcPr>
            <w:tcW w:w="3560" w:type="dxa"/>
            <w:vAlign w:val="bottom"/>
          </w:tcPr>
          <w:p>
            <w:pPr>
              <w:spacing w:after="0"/>
              <w:rPr>
                <w:sz w:val="18"/>
                <w:szCs w:val="18"/>
                <w:color w:val="auto"/>
              </w:rPr>
            </w:pPr>
          </w:p>
        </w:tc>
        <w:tc>
          <w:tcPr>
            <w:tcW w:w="3460" w:type="dxa"/>
            <w:vAlign w:val="bottom"/>
            <w:gridSpan w:val="3"/>
          </w:tcPr>
          <w:p>
            <w:pPr>
              <w:ind w:left="2340"/>
              <w:spacing w:after="0"/>
              <w:rPr>
                <w:sz w:val="20"/>
                <w:szCs w:val="20"/>
                <w:color w:val="auto"/>
              </w:rPr>
            </w:pPr>
            <w:r>
              <w:rPr>
                <w:rFonts w:ascii="Arial" w:cs="Arial" w:eastAsia="Arial" w:hAnsi="Arial"/>
                <w:sz w:val="18"/>
                <w:szCs w:val="18"/>
                <w:b w:val="1"/>
                <w:bCs w:val="1"/>
                <w:color w:val="auto"/>
              </w:rPr>
              <w:t>February 29,</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Provided to Joint</w:t>
            </w: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Provided to Joint</w:t>
            </w:r>
          </w:p>
        </w:tc>
      </w:tr>
      <w:tr>
        <w:trPr>
          <w:trHeight w:val="234"/>
        </w:trPr>
        <w:tc>
          <w:tcPr>
            <w:tcW w:w="35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Ventures</w:t>
            </w: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5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503,522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509,170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Germany</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500,833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521,753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304,934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294,111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India</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299,844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361,869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268,643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323,590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Finland</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251,407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266,776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160,138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159,344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454,057</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417,316</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w:t>
            </w:r>
          </w:p>
        </w:tc>
      </w:tr>
      <w:tr>
        <w:trPr>
          <w:trHeight w:val="210"/>
        </w:trPr>
        <w:tc>
          <w:tcPr>
            <w:tcW w:w="35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2,743,378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2,853,929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Company’s net sales for the three and six months ended February 29, 2012 and February 28, 2011 by segment: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666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29,</w:t>
            </w:r>
          </w:p>
        </w:tc>
        <w:tc>
          <w:tcPr>
            <w:tcW w:w="12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28,</w:t>
            </w:r>
          </w:p>
        </w:tc>
      </w:tr>
      <w:tr>
        <w:trPr>
          <w:trHeight w:val="234"/>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4,570,779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4,576,313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9,023,425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8,451,741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Natur-Tec™ sales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403,549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201,805</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783,017</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424,818</w:t>
            </w:r>
          </w:p>
        </w:tc>
      </w:tr>
      <w:tr>
        <w:trPr>
          <w:trHeight w:val="210"/>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4,974,328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4,778,118</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9,806,442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8,876,559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cost of goods sold for the three and six months ended February 29, 2012 and February 28, 2011 by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Product</w:t>
            </w:r>
          </w:p>
        </w:tc>
        <w:tc>
          <w:tcPr>
            <w:tcW w:w="11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Product</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29,</w:t>
            </w:r>
          </w:p>
        </w:tc>
        <w:tc>
          <w:tcPr>
            <w:tcW w:w="10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Product</w:t>
            </w:r>
          </w:p>
        </w:tc>
        <w:tc>
          <w:tcPr>
            <w:tcW w:w="0" w:type="dxa"/>
            <w:vAlign w:val="bottom"/>
          </w:tcPr>
          <w:p>
            <w:pPr>
              <w:spacing w:after="0"/>
              <w:rPr>
                <w:sz w:val="1"/>
                <w:szCs w:val="1"/>
                <w:color w:val="auto"/>
              </w:rPr>
            </w:pPr>
          </w:p>
        </w:tc>
      </w:tr>
      <w:tr>
        <w:trPr>
          <w:trHeight w:val="234"/>
        </w:trPr>
        <w:tc>
          <w:tcPr>
            <w:tcW w:w="272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10"/>
        </w:trPr>
        <w:tc>
          <w:tcPr>
            <w:tcW w:w="2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ZERUST®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2,569,588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2,382,989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5,027,387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4,529,828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720" w:type="dxa"/>
            <w:vAlign w:val="bottom"/>
          </w:tcPr>
          <w:p>
            <w:pPr>
              <w:ind w:left="340"/>
              <w:spacing w:after="0"/>
              <w:rPr>
                <w:sz w:val="20"/>
                <w:szCs w:val="20"/>
                <w:color w:val="auto"/>
              </w:rPr>
            </w:pPr>
            <w:r>
              <w:rPr>
                <w:rFonts w:ascii="Arial" w:cs="Arial" w:eastAsia="Arial" w:hAnsi="Arial"/>
                <w:sz w:val="18"/>
                <w:szCs w:val="18"/>
                <w:color w:val="auto"/>
              </w:rPr>
              <w:t>Natur-Tec™</w:t>
            </w: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361,704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176,805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658,265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357,435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548,790</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446,438</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1,003,906</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809,674</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7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3,480,082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3,006,232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6,689,558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5,696,937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firstLine="8"/>
        <w:spacing w:after="0" w:line="277" w:lineRule="auto"/>
        <w:tabs>
          <w:tab w:leader="none" w:pos="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4" w:name="page15"/>
    <w:bookmarkEnd w:id="14"/>
    <w:p>
      <w:pPr>
        <w:ind w:right="8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The geographical distribution of long-lived assets is set forth as follows:</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73"/>
        </w:trPr>
        <w:tc>
          <w:tcPr>
            <w:tcW w:w="848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February 29, 2012</w:t>
            </w:r>
          </w:p>
        </w:tc>
        <w:tc>
          <w:tcPr>
            <w:tcW w:w="100" w:type="dxa"/>
            <w:vAlign w:val="bottom"/>
          </w:tcPr>
          <w:p>
            <w:pPr>
              <w:spacing w:after="0"/>
              <w:rPr>
                <w:sz w:val="24"/>
                <w:szCs w:val="2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August 31, 2011</w:t>
            </w: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3,406,106</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3,499,518</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Brazil</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138,043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136,817</w:t>
            </w:r>
          </w:p>
        </w:tc>
      </w:tr>
      <w:tr>
        <w:trPr>
          <w:trHeight w:val="263"/>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3,544,149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3,636,335</w:t>
            </w: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Long-lived assets consist primarily of property and equipment. These assets are periodically reviewed to assure the net realizable value from the estimated future production based on forecasted sales exceeds the carrying value of the assets.</w:t>
      </w:r>
    </w:p>
    <w:p>
      <w:pPr>
        <w:spacing w:after="0" w:line="193"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expenses all costs related to product research and development as incurred. The Company incurred $1,789,082 and $2,100,626 of expense during the six months ended February 29, 2012 and February 28, 2011, respectively, in connection with its research and development activities. These costs related to product research and development are net of reimbursements related to certain research and development contracts of $228,576 and $212,992 for the six months ended February 29, 2012 and February 28, 2011, respectively. The net fees are accounted for in the “Research and Development Expenses” section of the consolidated statements of operations.</w:t>
      </w:r>
    </w:p>
    <w:p>
      <w:pPr>
        <w:spacing w:after="0" w:line="2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certain research and development contracts. The Company accrues proceeds received under such contracts and offsets research and development expenses incurred in equal installments over the timelines associated with completion of the contracts’ specific objectives and milestones. At February 29, 2012 and August 31, 2011, the Company did not have any deferred amounts in other accrued liabilities as the Company had not yet performed under the obligations of the contract at that time.</w:t>
      </w:r>
    </w:p>
    <w:p>
      <w:pPr>
        <w:spacing w:after="0" w:line="210"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27, 2011, the Compensation Committee of the Board of Directors of the Company approved the material terms of an annual bonus plan for the Company’s executive officers and certain officers and employees for the fiscal year ending August 31, 2012. For fiscal 2012 as in past years, the total amount available under the bonus plan will be up to 25% of the Company’s earnings before interest, taxes and other income (EBITOI) and will be $0 if EBITOI is below 70% of a pre-established target EBITOI for fiscal 2012. Each plan participant’s percentage of the overall bonus pool will be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2012 compared to the pre-established target EBITOI for fiscal 2012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of which will be determined by the Company’s Board of Directors, upon recommendation of the Compensation Committee, after the completion of the Company’s consolidated financial statements for fiscal 2012.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There was $542,720 for management bonuses accrued for six months ended February 29, 2012 compared to a management bonus accrual of $765,000 for the six months ended February 28, 2011.</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subsidiary of the Company, NTI Facilities, Inc., leases property located at 23205 Mercantile Road, Beachwood, Ohio. Remaining rentals payable under such leases are as follows: fiscal 2012 - $119,250; fiscal 2013 - $238,500; fiscal 2014 - $59,500 and thereafter - $0.</w:t>
      </w:r>
    </w:p>
    <w:p>
      <w:pPr>
        <w:spacing w:after="0" w:line="19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One customer accounted for 28.9% of the Company’s trade receivables, excluding joint ventures at February 28, 2011. Three joint ventures accounted for 60.0% and 69.0% of the Company’s trade joint venture receivables at February 29, 2012 and February 28, 2011, respectively.</w:t>
      </w:r>
    </w:p>
    <w:p>
      <w:pPr>
        <w:spacing w:after="0" w:line="17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16" w:name="page17"/>
    <w:bookmarkEnd w:id="16"/>
    <w:p>
      <w:pPr>
        <w:ind w:left="1140" w:right="820" w:hanging="1133"/>
        <w:spacing w:after="0" w:line="251" w:lineRule="auto"/>
        <w:tabs>
          <w:tab w:leader="none" w:pos="1120" w:val="left"/>
        </w:tabs>
        <w:rPr>
          <w:sz w:val="20"/>
          <w:szCs w:val="20"/>
          <w:color w:val="auto"/>
        </w:rPr>
      </w:pPr>
      <w:r>
        <w:rPr>
          <w:rFonts w:ascii="Arial" w:cs="Arial" w:eastAsia="Arial" w:hAnsi="Arial"/>
          <w:sz w:val="22"/>
          <w:szCs w:val="22"/>
          <w:b w:val="1"/>
          <w:bCs w:val="1"/>
          <w:i w:val="1"/>
          <w:iCs w:val="1"/>
          <w:color w:val="auto"/>
        </w:rPr>
        <w:t>ITEM 2.</w:t>
      </w:r>
      <w:r>
        <w:rPr>
          <w:sz w:val="20"/>
          <w:szCs w:val="20"/>
          <w:color w:val="auto"/>
        </w:rPr>
        <w:tab/>
      </w:r>
      <w:r>
        <w:rPr>
          <w:rFonts w:ascii="Arial" w:cs="Arial" w:eastAsia="Arial" w:hAnsi="Arial"/>
          <w:sz w:val="22"/>
          <w:szCs w:val="22"/>
          <w:b w:val="1"/>
          <w:bCs w:val="1"/>
          <w:i w:val="1"/>
          <w:iCs w:val="1"/>
          <w:color w:val="auto"/>
        </w:rPr>
        <w:t>MANAGEMENT’S DISCUSSION AND ANALYSIS OF FINANCIAL CONDITION AND RESULTS OF OPERATIONS</w:t>
      </w:r>
    </w:p>
    <w:p>
      <w:pPr>
        <w:spacing w:after="0" w:line="2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NTIC develops and markets proprietary environmentally beneficial products and services in over 55 countries either directly or via a network of joint ventures, independent distributors and agents. NTIC’s primary business is corrosion prevention marketed mainly under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NTIC has been selling its proprietary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These products are intended to reduce NTIC’s customers’ carbon footprint and provide environmentally sound disposal options.</w:t>
      </w:r>
    </w:p>
    <w:p>
      <w:pPr>
        <w:spacing w:after="0" w:line="231" w:lineRule="exact"/>
        <w:rPr>
          <w:sz w:val="20"/>
          <w:szCs w:val="20"/>
          <w:color w:val="auto"/>
        </w:rPr>
      </w:pPr>
    </w:p>
    <w:p>
      <w:pPr>
        <w:ind w:right="80"/>
        <w:spacing w:after="0" w:line="206" w:lineRule="auto"/>
        <w:rPr>
          <w:sz w:val="20"/>
          <w:szCs w:val="20"/>
          <w:color w:val="auto"/>
        </w:rPr>
      </w:pPr>
      <w:r>
        <w:rPr>
          <w:rFonts w:ascii="Arial" w:cs="Arial" w:eastAsia="Arial" w:hAnsi="Arial"/>
          <w:sz w:val="18"/>
          <w:szCs w:val="18"/>
          <w:color w:val="auto"/>
        </w:rPr>
        <w:t>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through a direct sales force as well as a network of independent distributors and agents. Internationally, NTIC sells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through its majority owned Brazilian subsidiary, Zerust Prevenção de Corrosão S.A. (Zerust Brazil), and joint venture arrangements in North America, Europe and Asia.</w:t>
      </w:r>
    </w:p>
    <w:p>
      <w:pPr>
        <w:spacing w:after="0" w:line="236" w:lineRule="exact"/>
        <w:rPr>
          <w:sz w:val="20"/>
          <w:szCs w:val="20"/>
          <w:color w:val="auto"/>
        </w:rPr>
      </w:pPr>
    </w:p>
    <w:p>
      <w:pPr>
        <w:jc w:val="both"/>
        <w:ind w:right="80"/>
        <w:spacing w:after="0" w:line="241" w:lineRule="auto"/>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For the past several years, NTIC has focused its sales and marketing efforts on the oil and gas industry since the infrastructure that supports that industry is typically constructed using metals that are highly susceptible to corrosion and NTIC believes that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30" w:lineRule="exact"/>
        <w:rPr>
          <w:sz w:val="20"/>
          <w:szCs w:val="20"/>
          <w:color w:val="auto"/>
        </w:rPr>
      </w:pPr>
    </w:p>
    <w:p>
      <w:pPr>
        <w:ind w:right="100"/>
        <w:spacing w:after="0" w:line="216" w:lineRule="auto"/>
        <w:rPr>
          <w:sz w:val="20"/>
          <w:szCs w:val="20"/>
          <w:color w:val="auto"/>
        </w:rPr>
      </w:pPr>
      <w:r>
        <w:rPr>
          <w:rFonts w:ascii="Arial" w:cs="Arial" w:eastAsia="Arial" w:hAnsi="Arial"/>
          <w:sz w:val="17"/>
          <w:szCs w:val="17"/>
          <w:color w:val="auto"/>
        </w:rPr>
        <w:t>Petroleo Brasileiro S.A. (Petrobras), an oil company located in Brazil, has conducted extensive multi-year product field trials of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against competitive alternatives. During fiscal 2010, Zerust Brazil received a Phase 1 contract for an initial implementation of $1.4 million (BRL$ 2.5 million) in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which was delivered in fiscal 2010 and fiscal 2011. During fiscal 2011, Zerust Brazil signed a Phase 2 contract with Petrobras to supply $2.4 million (BRL$ 4.21 million) in ZERUST</w:t>
      </w:r>
      <w:r>
        <w:rPr>
          <w:rFonts w:ascii="Arial" w:cs="Arial" w:eastAsia="Arial" w:hAnsi="Arial"/>
          <w:sz w:val="24"/>
          <w:szCs w:val="24"/>
          <w:color w:val="auto"/>
          <w:vertAlign w:val="superscript"/>
        </w:rPr>
        <w:t>®</w:t>
      </w:r>
      <w:r>
        <w:rPr>
          <w:rFonts w:ascii="Arial" w:cs="Arial" w:eastAsia="Arial" w:hAnsi="Arial"/>
          <w:sz w:val="17"/>
          <w:szCs w:val="17"/>
          <w:color w:val="auto"/>
        </w:rPr>
        <w:t>products. During fiscal 2012, Petrobras expanded this Phase 2 contract to supply an additional $657,000 (BRL$ 1.15 million) in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bringing the total Phase 2 contract value to $3.1 million (BRL$ 5.36 million) in ZERUST® products. Zerust Brazil delivered the entire balance of $2.5 million (BRL$ 4.38 million) of remaining product for the Phase 2 contracts to Petrobras in March 2012; and this revenue will be reflected in the third quarter of fiscal 2012.</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67" w:right="259" w:bottom="1440" w:gutter="0" w:footer="0" w:header="0"/>
        </w:sectPr>
      </w:pPr>
    </w:p>
    <w:bookmarkStart w:id="17" w:name="page18"/>
    <w:bookmarkEnd w:id="17"/>
    <w:p>
      <w:pPr>
        <w:ind w:right="240"/>
        <w:spacing w:after="0" w:line="213" w:lineRule="auto"/>
        <w:rPr>
          <w:sz w:val="20"/>
          <w:szCs w:val="20"/>
          <w:color w:val="auto"/>
        </w:rPr>
      </w:pPr>
      <w:r>
        <w:rPr>
          <w:rFonts w:ascii="Arial" w:cs="Arial" w:eastAsia="Arial" w:hAnsi="Arial"/>
          <w:sz w:val="18"/>
          <w:szCs w:val="18"/>
          <w:color w:val="auto"/>
        </w:rPr>
        <w:t>NTIC is also pursuing opportunities to market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prevention solutions to other targeted potential customers in the oil and gas industry across several countries through NTIC’s joint venture partners and other strategic partners. NTIC believes the sale of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to customers in the oil and gas industry will involve a long sales cycle, likely including a one- to two-year trial period with each customer and a slow integration process thereafter.</w:t>
      </w:r>
    </w:p>
    <w:p>
      <w:pPr>
        <w:spacing w:after="0" w:line="23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Natur-Tec® bio-based and biodegradable plastics are manufactured using NTIC’s patented and/or proprietary technologies and are intended to replace conventional petroleum-based plastics. The Natur-Tec® bioplastics portfolio includes biopolymer resin compounds which are available in several grades tailored for a variety of applications, such as blown-film extrusion, extrusion coating, injection molding and rigid, engineered plastics, and finished products, including shopping and grocery bags, lawn and leaf bags, can liners, pet waste collection bags, cutlery, packaging foam and coated paper products, which are engineered to be fully biodegradable in a composting environment. In North America, NTIC markets its Natur-Tec® resin compounds and finished products primarily through a network of national and regional distributors and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some of its joint venture arrangements, including in particular its joint venture in India, Harita NTI Limited (HNTI).</w:t>
      </w:r>
    </w:p>
    <w:p>
      <w:pPr>
        <w:spacing w:after="0" w:line="20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fiscal 2011, NTIC and HNTI signed a memorandum of understanding with the Indian conglomerate ITC Limited to jointly develop and commercialize biopolymer extrusion coated paper products targeted at the consumer goods packaging market in India. The two companies will jointly develop solutions in the Indian market towards providing biodegradable/compostable products such as food service ware, food packaging, personal care product packaging and other fast-moving consumer goods packaging. In 2011, the Indian government enacted legislation banning the use of certain non-biodegradable plastics for laminate packaging for tobacco and food segments. As a result, HNTI has experienced significant demand for Natur-Tec® compostable resins in this potentially large market for laminate packaging. In addition, during fiscal 2011, NTIC entered into an agreement with Italy-based Naturfuels s.r.l. to distribute its Natur-Tec® bioplastic materials and products in the Italian market. Under the terms of the distribution agreement, NTIC will supply Naturfuels with NTIC’s patented high-strength Natur-Tec® compostable film grade resin compounds to be used for the production of bio-plastic shopping and garbage bags on conventional plastic film production equipment. In 2011, the Italian government passed legislation banning the use of non-biodegradable plastic shopping bags. However, enforcement of this law has recently been delayed until late 2012 to allow Italian bag manufacturers to exhaust their current supply of conventional polyolefinic resins before completely changing to certified compostable resins. As a result, resin sales to Naturfuels are not expected to have a material effect on NTIC’s operating results until late in fiscal 2012 or 2013.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6"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NTIC participates, either directly or indirectly, in 24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and NTIC’s Polymer Energy LLC joint venture manufactures and sells Polymer Energy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equipment that converts waste plastic into diesel, gasoline and heavy fractions. NTIC historically has funded its joint venture investments with cash generated from operations.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8" w:name="page19"/>
    <w:bookmarkEnd w:id="18"/>
    <w:p>
      <w:pPr>
        <w:ind w:right="40"/>
        <w:spacing w:after="0" w:line="269"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With respect to NTIC’s ASEAN joint venture holding company (NTI ASEAN), NTIC does not receive a fee for such services, but rather receives a bi-annual dividend based on available cash.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owns only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2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NTIC does not consolidate the results of its joint ventures in its consolidated financial statements. NTIC’s investments in its joint ventures are accounted for using the equity method. Although Zerust Brazil originated as a joint venture of NTIC, it is no longer considered a joint venture, but rather it is a majority owned subsidiary of NTIC and thus, unlike NTIC’s joint ventures, its results are consolidated in NTIC’s consolidated financial statements. NTIC holds 85% of the equity and 85% of the voting rights of Zerust Brazil. Although NTIC owns a 62.5% ownership interest in Polymer Energy LLC, NTIC has not consolidated the Polymer Energy LLC joint venture in NTIC’s consolidated financial statements for the three and six months ended February 29, 2012 or any prior period since Polymer Energy LLC has had limited activity since its inception in 2003 and NTIC believes that the impact of not consolidating this entity on NTIC’s consolidated financial statement has been immaterial. No license fees were received by Polymer Energy LLC and no other financial activity took place during the three and six months ended February 29, 2012, and accordingly, during such period, NTIC received and recorded no fees for services provided to joint ventures in its consolidated financial statements attributable to its ownership interest in Polymer Energy LLC.</w:t>
      </w:r>
    </w:p>
    <w:p>
      <w:pPr>
        <w:spacing w:after="0" w:line="1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NTIC considers EXCOR and NTI ASEAN to be individually significant to NTIC’s consolidated assets and income; and therefore, provides certain additional information regarding these entities in the notes to NTIC’s consolidated financial statements and in this section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NTIC’s consolidated net sales increased 4.1% and 10.5% during the three and six months ended February 29, 2012 compared to the three and six months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ended February 28, 2011. These increases were primarily a result of increased demand and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as well as for the six month period</w:t>
      </w:r>
    </w:p>
    <w:p>
      <w:pPr>
        <w:spacing w:after="0" w:line="205" w:lineRule="auto"/>
        <w:rPr>
          <w:sz w:val="20"/>
          <w:szCs w:val="20"/>
          <w:color w:val="auto"/>
        </w:rPr>
      </w:pPr>
      <w:r>
        <w:rPr>
          <w:rFonts w:ascii="Arial" w:cs="Arial" w:eastAsia="Arial" w:hAnsi="Arial"/>
          <w:sz w:val="16"/>
          <w:szCs w:val="16"/>
          <w:color w:val="auto"/>
        </w:rPr>
        <w:t>comparison increased demand and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packaging products and services. During the three and six months ended</w:t>
      </w:r>
    </w:p>
    <w:p>
      <w:pPr>
        <w:spacing w:after="0" w:line="205" w:lineRule="auto"/>
        <w:rPr>
          <w:sz w:val="20"/>
          <w:szCs w:val="20"/>
          <w:color w:val="auto"/>
        </w:rPr>
      </w:pPr>
      <w:r>
        <w:rPr>
          <w:rFonts w:ascii="Arial" w:cs="Arial" w:eastAsia="Arial" w:hAnsi="Arial"/>
          <w:sz w:val="16"/>
          <w:szCs w:val="16"/>
          <w:color w:val="auto"/>
        </w:rPr>
        <w:t>February 29, 2012, 91.9% and 92.0% of NTIC’s consolidated net sales, respectively, were derived from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which</w:t>
      </w:r>
    </w:p>
    <w:p>
      <w:pPr>
        <w:spacing w:after="0"/>
        <w:rPr>
          <w:sz w:val="20"/>
          <w:szCs w:val="20"/>
          <w:color w:val="auto"/>
        </w:rPr>
      </w:pPr>
      <w:r>
        <w:rPr>
          <w:rFonts w:ascii="Arial" w:cs="Arial" w:eastAsia="Arial" w:hAnsi="Arial"/>
          <w:sz w:val="16"/>
          <w:szCs w:val="16"/>
          <w:color w:val="auto"/>
        </w:rPr>
        <w:t>decreased 0.1% and increased 6.8% to $4,570,779 and $9,023,425 during the three and six months ended February 29, 2012, respectively, compared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$4,576,313 and $8,451,741 during the three and six months ended February 28, 2011, respectively, due to changes in demand from existing customers and the</w:t>
      </w:r>
    </w:p>
    <w:p>
      <w:pPr>
        <w:spacing w:after="0" w:line="237" w:lineRule="auto"/>
        <w:rPr>
          <w:sz w:val="20"/>
          <w:szCs w:val="20"/>
          <w:color w:val="auto"/>
        </w:rPr>
      </w:pPr>
      <w:r>
        <w:rPr>
          <w:rFonts w:ascii="Arial" w:cs="Arial" w:eastAsia="Arial" w:hAnsi="Arial"/>
          <w:sz w:val="16"/>
          <w:szCs w:val="16"/>
          <w:color w:val="auto"/>
        </w:rPr>
        <w:t>addition of new customers. NTIC has focused its sales efforts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by strategically targeting customers with specific corrosion</w:t>
      </w:r>
    </w:p>
    <w:p>
      <w:pPr>
        <w:spacing w:after="0"/>
        <w:rPr>
          <w:sz w:val="20"/>
          <w:szCs w:val="20"/>
          <w:color w:val="auto"/>
        </w:rPr>
      </w:pPr>
      <w:r>
        <w:rPr>
          <w:rFonts w:ascii="Arial" w:cs="Arial" w:eastAsia="Arial" w:hAnsi="Arial"/>
          <w:sz w:val="16"/>
          <w:szCs w:val="16"/>
          <w:color w:val="auto"/>
        </w:rPr>
        <w:t>issues in new market areas, including the oil and gas industry and other industrial sectors that offer sizable growth opportunities. NTIC’s consolidated net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sales for the three and six months ended February 29, 2012 included $611,612 and $1,216,532, respectively, of sales made by Zerust Brazil, and of those</w:t>
      </w:r>
    </w:p>
    <w:p>
      <w:pPr>
        <w:spacing w:after="0" w:line="237" w:lineRule="auto"/>
        <w:tabs>
          <w:tab w:leader="none" w:pos="7800" w:val="left"/>
        </w:tabs>
        <w:rPr>
          <w:sz w:val="20"/>
          <w:szCs w:val="20"/>
          <w:color w:val="auto"/>
        </w:rPr>
      </w:pPr>
      <w:r>
        <w:rPr>
          <w:rFonts w:ascii="Arial" w:cs="Arial" w:eastAsia="Arial" w:hAnsi="Arial"/>
          <w:sz w:val="18"/>
          <w:szCs w:val="18"/>
          <w:color w:val="auto"/>
        </w:rPr>
        <w:t>sales, $105,000 and $150,861, respectively, in sales were made to the oil and gas industry sector in Brazil.</w:t>
      </w:r>
      <w:r>
        <w:rPr>
          <w:sz w:val="20"/>
          <w:szCs w:val="20"/>
          <w:color w:val="auto"/>
        </w:rPr>
        <w:tab/>
      </w:r>
      <w:r>
        <w:rPr>
          <w:rFonts w:ascii="Arial" w:cs="Arial" w:eastAsia="Arial" w:hAnsi="Arial"/>
          <w:sz w:val="16"/>
          <w:szCs w:val="16"/>
          <w:color w:val="auto"/>
        </w:rPr>
        <w:t>Overall demand for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w:t>
      </w:r>
    </w:p>
    <w:p>
      <w:pPr>
        <w:spacing w:after="0"/>
        <w:rPr>
          <w:sz w:val="20"/>
          <w:szCs w:val="20"/>
          <w:color w:val="auto"/>
        </w:rPr>
      </w:pPr>
      <w:r>
        <w:rPr>
          <w:rFonts w:ascii="Arial" w:cs="Arial" w:eastAsia="Arial" w:hAnsi="Arial"/>
          <w:sz w:val="18"/>
          <w:szCs w:val="18"/>
          <w:color w:val="auto"/>
        </w:rPr>
        <w:t>services depends heavily on the overall health of the markets in which NTIC sells its products, including in particular the automotive market.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9" w:name="page20"/>
    <w:bookmarkEnd w:id="19"/>
    <w:p>
      <w:pPr>
        <w:spacing w:after="0" w:line="234" w:lineRule="auto"/>
        <w:rPr>
          <w:sz w:val="20"/>
          <w:szCs w:val="20"/>
          <w:color w:val="auto"/>
        </w:rPr>
      </w:pPr>
      <w:r>
        <w:rPr>
          <w:rFonts w:ascii="Arial" w:cs="Arial" w:eastAsia="Arial" w:hAnsi="Arial"/>
          <w:sz w:val="16"/>
          <w:szCs w:val="16"/>
          <w:color w:val="auto"/>
        </w:rPr>
        <w:t>During the three and six months ended February 29, 2012, 8.1% and 8.0%, of NTIC’s consolidated net sales were derived from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compared to 4.2% and 4.8% during the three and six months ended February 28, 2011, respectively. Net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increased 100.0% and 84.3% during the three and six months ended February 29, 2012 compared to the three and six months ended February 28, 2011. These increases were due to increased sales to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distributors on the West Coast of the United States. NTIC has continued to strengthen and expand its West Coast distribution network in California, as well as expand its industrial distribution reach to geographical “green” hotspots such as Oregon, Washington, Minnesota and New England. Additionally, NTIC has continued to target key national and regional retailers utilizing independent sales agents. Demand for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depends primarily on market acceptance and the extent of NTIC’s distribution network.</w:t>
      </w:r>
    </w:p>
    <w:p>
      <w:pPr>
        <w:spacing w:after="0" w:line="231" w:lineRule="exact"/>
        <w:rPr>
          <w:sz w:val="20"/>
          <w:szCs w:val="20"/>
          <w:color w:val="auto"/>
        </w:rPr>
      </w:pPr>
    </w:p>
    <w:p>
      <w:pPr>
        <w:jc w:val="both"/>
        <w:ind w:right="120"/>
        <w:spacing w:after="0" w:line="316" w:lineRule="auto"/>
        <w:rPr>
          <w:sz w:val="20"/>
          <w:szCs w:val="20"/>
          <w:color w:val="auto"/>
        </w:rPr>
      </w:pPr>
      <w:r>
        <w:rPr>
          <w:rFonts w:ascii="Arial" w:cs="Arial" w:eastAsia="Arial" w:hAnsi="Arial"/>
          <w:sz w:val="16"/>
          <w:szCs w:val="16"/>
          <w:color w:val="auto"/>
        </w:rPr>
        <w:t>Cost of goods sold as a percentage of net sales increased to 70.0% and 68.2% during the three and six months ended February 29, 2012 compared to 62.9% and 64.2% during the three and six months ended February 28, 2011 primarily as a result of a slight increase in shipping costs, production overhead and raw material prices and a higher percentage of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which generally carry smaller margins than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NTIC’s equity in income of joint ventures increased 8.4% and decreased 8.6% to $1,224,675 and $2,582,355, respectively, during the three and six months ended February 29, 2012 compared to $1,129,659 and $2,824,790 during the three and six months ended February 28, 2011, which was primarily a result of changes in the profitability of NTIC’s largest joint venture, EXCOR in Germany during the most recent period. NTIC recognized a 7.4% and 3.9% decrease in fees for services provided to joint ventures during the three and six months ended February 29, 2012 compared to the three and six months ended February 28, 2011, respectively. These decreases were primarily a result of the weakening of the EURO and other currencies compared to the U.S. dollar, and correlated with a 1.2% decrease and 2.6% increase in total net sales of NTIC’s joint ventures to $25,997,430 and $54,792,662 during the three and six months ended February 29, 2012, respectively, compared the three and six months ended February 28, 2011.</w:t>
      </w:r>
    </w:p>
    <w:p>
      <w:pPr>
        <w:spacing w:after="0" w:line="1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NTIC’s total operating expenses increased slightly 0.7%, or $45,264, to $6,718,296 during the six months ended February 29, 2012 compared to the six months ended February 28, 2011.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0" w:name="page21"/>
    <w:bookmarkEnd w:id="20"/>
    <w:p>
      <w:pPr>
        <w:ind w:right="60"/>
        <w:spacing w:after="0" w:line="273" w:lineRule="auto"/>
        <w:rPr>
          <w:sz w:val="20"/>
          <w:szCs w:val="20"/>
          <w:color w:val="auto"/>
        </w:rPr>
      </w:pPr>
      <w:r>
        <w:rPr>
          <w:rFonts w:ascii="Arial" w:cs="Arial" w:eastAsia="Arial" w:hAnsi="Arial"/>
          <w:sz w:val="17"/>
          <w:szCs w:val="17"/>
          <w:color w:val="auto"/>
        </w:rPr>
        <w:t>NTIC expenses all costs related to product research and development as incurred. NTIC incurred $1,789,082 and $2,100,626 of expense during the six months ended February 29, 2012 and February 28, 2011, respectively, in connection with its research and development activities. These represent net amounts after being reduced by reimbursements related to certain research and development contracts. Such reimbursements totaled $228,576 and $212,992 for the six months ended February 29, 2012 and February 28, 2011, respectively. NTIC anticipates that it will spend between $4,000,000 and $4,200,000 in total during fiscal 2012 on research and development activities related to its new technologies. This estimate is a net range after being reduced by anticipated reimbursements related to certain research and development contracts.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NTIC decreased 36.3%, to $606,193, or $0.14 per diluted common share, for the three months ended February 29, 2012 compared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$949,039, or $0.22 per diluted common share, for the three months ended February 28, 2011. Net income attributable to NTIC decreased 15.4%,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$1,564,950, or $0.35 per diluted common share, for the six months ended February 29, 2012 compared to $1,848,820, or $0.42 per diluted common share,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months ended February 28, 2011. These decreases were primarily the result of decreases in income from NTIC’s joint ventures. NTIC anticipates that</w:t>
      </w:r>
    </w:p>
    <w:p>
      <w:pPr>
        <w:spacing w:after="0" w:line="237" w:lineRule="auto"/>
        <w:rPr>
          <w:sz w:val="20"/>
          <w:szCs w:val="20"/>
          <w:color w:val="auto"/>
        </w:rPr>
      </w:pPr>
      <w:r>
        <w:rPr>
          <w:rFonts w:ascii="Arial" w:cs="Arial" w:eastAsia="Arial" w:hAnsi="Arial"/>
          <w:sz w:val="16"/>
          <w:szCs w:val="16"/>
          <w:color w:val="auto"/>
        </w:rPr>
        <w:t>its quarterly net income will remain subject to significant volatility primarily due to the financial performance of its joint ventures and sales of its ZERUST</w:t>
      </w:r>
      <w:r>
        <w:rPr>
          <w:rFonts w:ascii="Arial" w:cs="Arial" w:eastAsia="Arial" w:hAnsi="Arial"/>
          <w:sz w:val="22"/>
          <w:szCs w:val="22"/>
          <w:color w:val="auto"/>
          <w:vertAlign w:val="superscript"/>
        </w:rPr>
        <w:t>®</w:t>
      </w:r>
    </w:p>
    <w:p>
      <w:pPr>
        <w:spacing w:after="0" w:line="205" w:lineRule="auto"/>
        <w:rPr>
          <w:sz w:val="20"/>
          <w:szCs w:val="20"/>
          <w:color w:val="auto"/>
        </w:rPr>
      </w:pPr>
      <w:r>
        <w:rPr>
          <w:rFonts w:ascii="Arial" w:cs="Arial" w:eastAsia="Arial" w:hAnsi="Arial"/>
          <w:sz w:val="16"/>
          <w:szCs w:val="16"/>
          <w:color w:val="auto"/>
        </w:rPr>
        <w:t>products and services into the oil and gas industry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bioplastics products, which sales fluctuate more on a quarterly basis than the traditional</w:t>
      </w:r>
    </w:p>
    <w:p>
      <w:pPr>
        <w:spacing w:after="0"/>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1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NTIC’s working capital was $11,871,035 at February 29, 2012, including $3,335,798 in cash and cash equivalents compared to $9,085,748 at August 31, 2011, including $3,266,362 in cash and cash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and six months ended February 29, 2012 and February 28, 2011.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1"/>
        </w:trPr>
        <w:tc>
          <w:tcPr>
            <w:tcW w:w="442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1"/>
              </w:rPr>
              <w:t>February 29,</w:t>
            </w:r>
          </w:p>
        </w:tc>
        <w:tc>
          <w:tcPr>
            <w:tcW w:w="100" w:type="dxa"/>
            <w:vAlign w:val="bottom"/>
          </w:tcPr>
          <w:p>
            <w:pPr>
              <w:spacing w:after="0"/>
              <w:rPr>
                <w:sz w:val="16"/>
                <w:szCs w:val="16"/>
                <w:color w:val="auto"/>
              </w:rPr>
            </w:pPr>
          </w:p>
        </w:tc>
        <w:tc>
          <w:tcPr>
            <w:tcW w:w="108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1"/>
              </w:rPr>
              <w:t>February 28,</w:t>
            </w:r>
          </w:p>
        </w:tc>
        <w:tc>
          <w:tcPr>
            <w:tcW w:w="12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420" w:type="dxa"/>
            <w:vAlign w:val="bottom"/>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Net Sales</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  4,125,618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4,093,107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848,710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685,011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163,699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3,480,082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3,006,232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473,850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1,224,675</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1,129,659</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95,016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1,298,126</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1,402,149</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Selling expenses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1,014,082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921,554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92,528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1,100,812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1,069,636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235,557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249,275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974,777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907,170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1"/>
        </w:trPr>
        <w:tc>
          <w:tcPr>
            <w:tcW w:w="442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1"/>
              </w:rPr>
              <w:t>February 29,</w:t>
            </w:r>
          </w:p>
        </w:tc>
        <w:tc>
          <w:tcPr>
            <w:tcW w:w="100" w:type="dxa"/>
            <w:vAlign w:val="bottom"/>
          </w:tcPr>
          <w:p>
            <w:pPr>
              <w:spacing w:after="0"/>
              <w:rPr>
                <w:sz w:val="16"/>
                <w:szCs w:val="16"/>
                <w:color w:val="auto"/>
              </w:rPr>
            </w:pPr>
          </w:p>
        </w:tc>
        <w:tc>
          <w:tcPr>
            <w:tcW w:w="108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1"/>
              </w:rPr>
              <w:t>February 28,</w:t>
            </w:r>
          </w:p>
        </w:tc>
        <w:tc>
          <w:tcPr>
            <w:tcW w:w="120" w:type="dxa"/>
            <w:vAlign w:val="bottom"/>
          </w:tcPr>
          <w:p>
            <w:pPr>
              <w:spacing w:after="0"/>
              <w:rPr>
                <w:sz w:val="16"/>
                <w:szCs w:val="16"/>
                <w:color w:val="auto"/>
              </w:rPr>
            </w:pPr>
          </w:p>
        </w:tc>
        <w:tc>
          <w:tcPr>
            <w:tcW w:w="10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120" w:type="dxa"/>
            <w:vAlign w:val="bottom"/>
            <w:gridSpan w:val="2"/>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420" w:type="dxa"/>
            <w:vAlign w:val="bottom"/>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Net Sales</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  8,403,261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7,539,410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863,851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1,403,181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1,337,149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66,032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6,689,558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5,696,937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992,621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2,582,355</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2,824,790</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(242,435)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2,743,378</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2,853,929</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Selling expenses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2,122,568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1,920,607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201,961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2,370,825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2,173,803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197,022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435,821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477,996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(42,175)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1,789,082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2,100,626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365"/>
        </w:trPr>
        <w:tc>
          <w:tcPr>
            <w:tcW w:w="4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gridSpan w:val="2"/>
          </w:tcPr>
          <w:p>
            <w:pPr>
              <w:jc w:val="right"/>
              <w:ind w:right="8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5"/>
        </w:trPr>
        <w:tc>
          <w:tcPr>
            <w:tcW w:w="4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61"/>
        </w:trPr>
        <w:tc>
          <w:tcPr>
            <w:tcW w:w="44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ind w:right="40"/>
        <w:spacing w:after="0" w:line="256"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4.1% and 10.5% to $4,974,328 and $9,806,442, respectively, during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29, 2012 compared to the three and six months ended February 28, 2011. NTIC’s consolidated net sales to unaffiliated customers excluding NTIC’s joint ventures increased 0.8% and 11.5% to $4,125,618 and $8,403,261, respectively, during the three and six months ended February 29, 2012 compared to the same respective prior year periods. These increases were primarily a result of increased demand and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as well as for the six month period, increased demand and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packaging products and services. Net sales to joint ventures increased 23.9% and 4.9% to $848,710 and $1,403,181 during the three and six months ended February 29, 2012, respectively, compared to the same respective prior year periods. These increases were due to increases in demand primarily as a result of the economic recovery of the international manufacturing sector, partially offset by decreased pricing due to increased competition.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NTIC’s net sales by product category for the three and six months ended February 29, 2012 and February 28, 2011 by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666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29,</w:t>
            </w:r>
          </w:p>
        </w:tc>
        <w:tc>
          <w:tcPr>
            <w:tcW w:w="12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28,</w:t>
            </w:r>
          </w:p>
        </w:tc>
      </w:tr>
      <w:tr>
        <w:trPr>
          <w:trHeight w:val="234"/>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4,570,779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4,576,313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9,023,425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8,451,741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Natur-Tec™ sales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403,549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201,805</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783,017</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424,818</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4,974,328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4,778,118</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9,806,442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8,876,559</w:t>
            </w:r>
          </w:p>
        </w:tc>
      </w:tr>
      <w:tr>
        <w:trPr>
          <w:trHeight w:val="218"/>
        </w:trPr>
        <w:tc>
          <w:tcPr>
            <w:tcW w:w="6660" w:type="dxa"/>
            <w:vAlign w:val="bottom"/>
          </w:tcPr>
          <w:p>
            <w:pPr>
              <w:spacing w:after="0"/>
              <w:rPr>
                <w:sz w:val="20"/>
                <w:szCs w:val="20"/>
                <w:color w:val="auto"/>
              </w:rPr>
            </w:pPr>
            <w:r>
              <w:rPr>
                <w:rFonts w:ascii="Arial" w:cs="Arial" w:eastAsia="Arial" w:hAnsi="Arial"/>
                <w:sz w:val="18"/>
                <w:szCs w:val="18"/>
                <w:color w:val="auto"/>
              </w:rPr>
              <w:t>__________________</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340" w:right="8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net sales by NTIC’s joint ventures which are not combined with NTIC’s sales in NTIC’s consolidated financial statements or in any description of NTIC’s sales.</w:t>
      </w:r>
    </w:p>
    <w:p>
      <w:pPr>
        <w:spacing w:after="0" w:line="213"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During the three and six months ended February 29, 2012, 91.9% and 92.0% of NTIC’s consolidated net sales, respectively, were derived from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which decreased 0.1% and increased 6.8% to $4,570,779 and $9,023,425 during the three and six months ended February 29, 2012, respectively, compared to $4,576,313 and $8,451,741 during the three and six months ended February 28, 2011, respectively, due to changes in demand from existing customers and the addition of new customers. NTIC has focused its sales efforts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by strategically targeting customers with specific corrosion issues in new market areas, including the oil and gas industry and other industrial sectors that offer sizable growth opportunities.</w:t>
      </w:r>
    </w:p>
    <w:p>
      <w:pPr>
        <w:spacing w:after="0" w:line="23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NTIC’s consolidated net sales during the three and six months ended February 29, 2012 included $611,612 and $1,216,532, respectively, of sales made by Zerust Brazil, and of those sales, $105,000 and $150,861, respectively, in sales were made to the oil and gas industry sector in Brazil.</w:t>
      </w:r>
    </w:p>
    <w:p>
      <w:pPr>
        <w:spacing w:after="0" w:line="17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During the three and six months ended February 29, 2012, 8.1% and 8.0% of NTIC’s consolidated net sales, respectively, were derived from sales of Natur-Tec® products, which increased 100.0% and 84.3% to $403,549 and $783,017 during the three and six months ended February 29, 2012, respectively, compared to the three and six months ended February 28, 2011. These increases were due to increased sales to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distributors on the West Coast of the United States. NTIC has continued to strengthen and expand its West Coast distribution network in California, as well as expand its industrial distribution reach to geographical “green” hotspots such as Oregon, Washington, Minnesota and New England. Additionally, NTIC has continued to target key national and regional retailers utilizing independent sales agents. Demand for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depends primarily on market acceptance and the extent of NTIC’s distribution network.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increased 15.8% and 17.4% for the three and six months ended February 29, 2012, respectively,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six months ended February 28, 2011 primarily as a result of increased net sales as described above. Cost of goods sold as a percentage of net sales increased to 70.0% and 68.2% for the three and six months ended February 29, 2012, respectively, compared to 62.9% and 64.2% for the three and six months ended February 28, 2011, respectively, primarily as a result of a slight increase in shipping costs, production overhead and raw material prices and a higher percentage of sales of Natur-Tec® products, which generally carry smaller margins than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w:t>
      </w:r>
    </w:p>
    <w:p>
      <w:pPr>
        <w:spacing w:after="0" w:line="10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Equity in Income of Joint Ventures. </w:t>
      </w:r>
      <w:r>
        <w:rPr>
          <w:rFonts w:ascii="Arial" w:cs="Arial" w:eastAsia="Arial" w:hAnsi="Arial"/>
          <w:sz w:val="16"/>
          <w:szCs w:val="16"/>
          <w:color w:val="auto"/>
        </w:rPr>
        <w:t>NTIC had equity in income of joint ventures of $1,224,675 and $2,582,355 during the three and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29, 2012, respectively, compared to equity in income of joint ventures of $1,129,659 and $2,824,790 during the three and six months ended February 28, 2011, respectively. Of the total equity in income of joint ventures, NTIC had equity in income of joint ventures of $1,576,496 attributable to EXCOR during the six months ended February 29, 2012 compared to $1,547,773 attributable to EXCOR during the six months ended February 28, 2011. Of the total equity in income of joint ventures, NTIC had equity in income of joint ventures of $692,115 attributable to NTI ASEAN during the six months ended February 29, 2012 compared to $558,260 attributable to NTI ASEAN during the six months ended February 28, 2011. NTIC had equity in income of all other joint ventures of $313,744 during the six months ended February 29, 2012 compared to $718,757 during the six months ended February 28, 2011.</w:t>
      </w:r>
    </w:p>
    <w:p>
      <w:pPr>
        <w:spacing w:after="0" w:line="19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Fees for Services Provided to Joint Ventures. </w:t>
      </w:r>
      <w:r>
        <w:rPr>
          <w:rFonts w:ascii="Arial" w:cs="Arial" w:eastAsia="Arial" w:hAnsi="Arial"/>
          <w:sz w:val="16"/>
          <w:szCs w:val="16"/>
          <w:color w:val="auto"/>
        </w:rPr>
        <w:t>NTIC recognized fee income for services provided to joint ventures of $1,298,126 and $2,743,378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six months ended February 29, 2012, respectively, compared to $1,402,149 and $2,853,929 during the three and six months ended February 28, 2011, respectively, representing a decrease of 7.4% and 3.9%, respectively. These decreases were primarily a result of the weakening of the EURO and other currencies compared to the U.S. dollar, and correlated with a 1.2% decrease and 2.6% increase in total net sales of NTIC’s joint ventures to $25,997,430 and $54,792,662 during the three and six months ended February 29, 2012, respectively, compared the three and six months ended February 28, 2011. Total net sales of NTIC’s joint ventures were adversely affected by the European sovereign debt crises, which we believe also adversely affected net sales of NTIC’s other non-European joint ventures. Sales of NTIC’s joint ventures are not included in NTIC’s product sales and are not combined with NTIC’s sales in NTIC’s consolidated financial statements or in any description of NTIC’s sales. Of the total fee income for services provided to its joint ventures, fees of $500,833 were attributable to EXCOR during the six months ended February 29, 2012 compared to $521,753 attributable to EXCOR during the six months ended February 28, 2011. This decrease was the result of foreign currency exchange rate fluctuations. NTIC does not receive fees attributable to NTI ASEAN. NTIC receives dividend payments based on fees paid from the joint ventures that comprise the NTI ASEAN investments.</w:t>
      </w:r>
    </w:p>
    <w:p>
      <w:pPr>
        <w:spacing w:after="0" w:line="20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sponsors a worldwide joint venture conference periodically in which all of NTIC’s joint ventures and subsidiaries are invited to participate. NTIC defers a portion of its fees for services provided to joint ventures in each accounting period leading up to the next conference, reflecting that NTIC has not fully earned the payments received during that period. The next joint venture conference is scheduled to be held in summer of 2012 or 2013. No additional income during the three and six months ended February 29, 2012 and February 28, 2011 was deferred related to this future conference since $288,000 had been accrued prior to such time, which represents the amount that NTIC expects to spend to hold the next conference. This amount is based on the historical experience of NTIC, current conditions and the intentions of NTIC’s management. NTIC does not anticipate deferring any additional fees for services provided to joint ventures until after the next conference. The costs associated with these joint venture conferences are offset against the deferral as incurred, generally in the period in which the conference is held and immediately before.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ind w:right="340"/>
        <w:spacing w:after="0" w:line="297"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10.0% and 10.5% for the three and six months ended February 29, 2012 and February 28, 2011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respective periods in fiscal 2011 due to increases in compensation and employee benefits, lab testing related expenses, commission expenses, travel and related expenses, consulting expenses and selling expenses incurred at Zerust Brazil. Selling expenses as a percentage of net sales increased to 20.4% and remained stable at 21.6% for the three and six months ended February 29, 2012, from 19.3% and 21.6% during the three and six months ended February 28, 2011, due primarily to the increase in net sales, partially offset by the increase in selling expenses as previously described.</w:t>
      </w:r>
    </w:p>
    <w:p>
      <w:pPr>
        <w:spacing w:after="0" w:line="18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2.9% and 9.1% for the three and six months ended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29, 2012 compared to the same respective periods in fiscal 2011 due to an increase in compensation and benefits expenses associated with an increase in headcount and annual performance raises, partially offset by a decrease in consulting expenses. As a percentage of net sales, general and administrative expenses decreased to 22.1% and 24.2% for the three and six months ended February 29, 2012 from 22.4% and 24.5% for the three and six months ended February 28, 2011.</w:t>
      </w:r>
    </w:p>
    <w:p>
      <w:pPr>
        <w:spacing w:after="0" w:line="21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Expenses Incurred in Support of Joint Ventures. </w:t>
      </w:r>
      <w:r>
        <w:rPr>
          <w:rFonts w:ascii="Arial" w:cs="Arial" w:eastAsia="Arial" w:hAnsi="Arial"/>
          <w:sz w:val="17"/>
          <w:szCs w:val="17"/>
          <w:color w:val="auto"/>
        </w:rPr>
        <w:t>Expenses incurred in support of NTIC’s joint ventures were $235,557 and $435,821during the three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February 29, 2012, respectively, compared to $249,275 and $477,996 during the three and six months ended February 28, 2011, representing a decrease of 5.5% and 8.8%, respectively. These decreases were due to a decrease in travel and legal expenses.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7.5% and decreased 14.8%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29, 2012 compared to the same respective periods in fiscal 2011.</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$11,955 and $16,082 during the three and six months ended February 29, 2012,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$676 and $4,609 during the three and six months ended February 28, 2011, respectively, primarily due to increased cash balances earning interest during the most recent periods.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$7,284 and $13,250 during the three and six months ended February 29, 2012,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$22,241 and $45,475 during the three and six months ended February 28, 2011, respectively, primarily due to lower average outstanding debt levels during the most recent periods.</w:t>
      </w:r>
    </w:p>
    <w:p>
      <w:pPr>
        <w:spacing w:after="0" w:line="20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Income Before Income Tax Expense</w:t>
      </w:r>
      <w:r>
        <w:rPr>
          <w:rFonts w:ascii="Arial" w:cs="Arial" w:eastAsia="Arial" w:hAnsi="Arial"/>
          <w:sz w:val="17"/>
          <w:szCs w:val="17"/>
          <w:color w:val="auto"/>
        </w:rPr>
        <w:t>. Income before income tax expense decreased to $703,991 and $1,745,412 for the three and six months ended February</w:t>
      </w:r>
      <w:r>
        <w:rPr>
          <w:rFonts w:ascii="Arial" w:cs="Arial" w:eastAsia="Arial" w:hAnsi="Arial"/>
          <w:sz w:val="17"/>
          <w:szCs w:val="17"/>
          <w:i w:val="1"/>
          <w:iCs w:val="1"/>
          <w:color w:val="auto"/>
        </w:rPr>
        <w:t xml:space="preserve"> </w:t>
      </w:r>
      <w:r>
        <w:rPr>
          <w:rFonts w:ascii="Arial" w:cs="Arial" w:eastAsia="Arial" w:hAnsi="Arial"/>
          <w:sz w:val="17"/>
          <w:szCs w:val="17"/>
          <w:color w:val="auto"/>
        </w:rPr>
        <w:t>29, 2012, respectively, compared to $1,141,219 and $2,158,093 for the three and six months ended February 28, 2011,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$100,000 and $206,000 during the three and six months ended February 29, 2012, respectively, compared</w:t>
      </w:r>
    </w:p>
    <w:p>
      <w:pPr>
        <w:spacing w:after="0" w:line="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$140,000 and $262,000 during the three and six months ended February 28, 2011, respectively. Income tax expense was calculated based on management’s estimate of NTIC’s annual effective income tax rate. NTIC’s annual effective income tax rate during the three months ended November 30, 2011 and 2010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and that NTIC’s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4" w:name="page25"/>
    <w:bookmarkEnd w:id="24"/>
    <w:p>
      <w:pPr>
        <w:ind w:right="8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volatility of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strengthening of the U.S. dollar compared to the Euro and other foreign currencies during the three and six months ended February 29, 2012 compared to the same respective periods in fiscal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i w:val="1"/>
          <w:iCs w:val="1"/>
          <w:color w:val="auto"/>
        </w:rPr>
        <w:t>Sources of Cash and Working Capital</w:t>
      </w:r>
      <w:r>
        <w:rPr>
          <w:rFonts w:ascii="Arial" w:cs="Arial" w:eastAsia="Arial" w:hAnsi="Arial"/>
          <w:sz w:val="17"/>
          <w:szCs w:val="17"/>
          <w:color w:val="auto"/>
        </w:rPr>
        <w:t>. As of February 29, 2012, NTIC’s working capital was $11,871,035, including $3,335,798 in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compared to working capital of $9,085,748, including $3,266,362 in cash and cash equivalents, at August 31, 2011.</w:t>
      </w:r>
    </w:p>
    <w:p>
      <w:pPr>
        <w:spacing w:after="0" w:line="17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As of February 29, 2012, NTIC had a term loan with a principal amount of $1,141,788 outstanding that Northern Technologies Holding Company, LLC (NTI LLC) obtained from PNC Bank, National Association (PNC Bank) in connection with the purchase of NTIC’s corporate headquarters in September</w:t>
      </w:r>
    </w:p>
    <w:p>
      <w:pPr>
        <w:spacing w:after="0" w:line="255" w:lineRule="auto"/>
        <w:rPr>
          <w:sz w:val="20"/>
          <w:szCs w:val="20"/>
          <w:color w:val="auto"/>
        </w:rPr>
      </w:pPr>
      <w:r>
        <w:rPr>
          <w:rFonts w:ascii="Arial" w:cs="Arial" w:eastAsia="Arial" w:hAnsi="Arial"/>
          <w:sz w:val="18"/>
          <w:szCs w:val="18"/>
          <w:color w:val="auto"/>
        </w:rPr>
        <w:t>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NTIC and is guaranteed by NTIC.</w:t>
      </w: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February 29, 2012, NTIC also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February 29, 2012, the interest rate on the line of credit was 3.24%.</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5" w:name="page26"/>
    <w:bookmarkEnd w:id="25"/>
    <w:p>
      <w:pPr>
        <w:ind w:right="20"/>
        <w:spacing w:after="0" w:line="279" w:lineRule="auto"/>
        <w:rPr>
          <w:sz w:val="20"/>
          <w:szCs w:val="20"/>
          <w:color w:val="auto"/>
        </w:rPr>
      </w:pPr>
      <w:r>
        <w:rPr>
          <w:rFonts w:ascii="Arial" w:cs="Arial" w:eastAsia="Arial" w:hAnsi="Arial"/>
          <w:sz w:val="17"/>
          <w:szCs w:val="17"/>
          <w:color w:val="auto"/>
        </w:rPr>
        <w:t>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19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January 10, 2012, NTIC and PNC Bank entered into a Waiver and First Amendment to Loan Documents pursuant to which NTIC and PNC Bank amended the loan agreement and other documents evidencing NTIC’s $3,000,000 line of credit with PNC Bank effective as of January 11, 2012 to extend the maturity date of the line of credit from January 10, 2012 to January 9, 2013, and waive a technical covenant default by NTIC to deliver a compliance certificate for the period ending November 30, 2011. All other terms of the line of credit and the loan agreement and other documents evidencing the line of credit remain the same. NTIC expects to remain in compliance with all loan agreement covenants during the remainder of fiscal 2012.</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2012, NTIC expects to continue to invest in research and development and in marketing efforts and resources into its new businesses, product lines and markets, including in particular the application of its corrosion prevention technology into the oil and gas industry and its bio-plastics products.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21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the six months ended February 29, 2012 was $2,790,007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from NTIC’s equity in income from joint ventures and increases in receivables, inventories and prepaid expenses and a decrease in accounts payables, accrued liabilities and income taxes payable, partially offset by NTIC’s net income, depreciation and amortization. Cash flows used in operations for the six months ended February 28, 2011 was $2,416,393, which resulted principally from NTIC’s equity in income from joint ventures and increases in receivables, inventories and prepaid expenses and a decrease in accounts payables, partially offset by NTIC’s net income and increases in income taxes payable and accrued liabilities.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ind w:right="6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NTIC experienced a slight increase in receivables and inventory as of February 29, 2012 compared to August 31, 2011 due to the increase in net sales and a desire to stock more products to shorten lead times and anticipate customer demand. Trade receivables excluding joint ventures as of February 29, 2012 increased $231,537 compared to August 31, 2011, primarily related to the increase in NTIC’s net sales.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trade receivables excluding joint ventures balances as of February 29, 2012 increased 11 days to an average of 61 days from balances outstanding from these customers as of August 31, 2011.</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Outstanding trade receivables from joint ventures as of February 29, 2012 decreased $316,174 compared to August 31, 2011, primarily due to the timing of payments, which resulted in an increase of outstanding balances from trade receivables from joint ventures as of February 29, 2012 of 34 days from an average of 123 days from balances outstanding from these customers compared to August 31, 2011. The significant average days outstanding of trade receivables from joint ventures as of February 29, 2012 were primarily due to the current receivable balance at NTIC’s joint venture in India. NTIC has made separate arrangements for payments on product that NTIC’s joint venture in India has purchased from NTIC until the product is sold.</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Outstanding services fees receivable from joint ventures as of February 29, 2012 decreased $164,795 compared to August 31, 2011, primarily resulting from an extension of terms mostly associated with NTIC’s joint venture in India which resulted in an increase of 20 days of fees receivable outstanding as of February 29, 2012 to an average of 138 days compared to August 31, 2011.</w:t>
      </w:r>
    </w:p>
    <w:p>
      <w:pPr>
        <w:spacing w:after="0" w:line="2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Net cash provided by investing activities for the six months ended February 29, 2012 was $2,870,470 which was comprised of dividends received from joint ventures partially offset by additions to property and equipment and additions to patents. Net cash used in investing activities for the six months ended February 28, 2011 was $2,092,028 which was comprised of dividends received from joint ventures and proceeds from sale of property and equipment partially offset by additions to property and equipment, additions to patents and investments in joint ventures.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ind w:right="140"/>
        <w:spacing w:after="0" w:line="279" w:lineRule="auto"/>
        <w:rPr>
          <w:sz w:val="20"/>
          <w:szCs w:val="20"/>
          <w:color w:val="auto"/>
        </w:rPr>
      </w:pPr>
      <w:r>
        <w:rPr>
          <w:rFonts w:ascii="Arial" w:cs="Arial" w:eastAsia="Arial" w:hAnsi="Arial"/>
          <w:sz w:val="17"/>
          <w:szCs w:val="17"/>
          <w:color w:val="auto"/>
        </w:rPr>
        <w:t>Net cash used in financing activities for the six months ended February 29, 2012 was $605, which resulted from proceeds from option exercises and NTIC’s employee stock purchase plan, partially offset by principal payments on the bank loan for NTIC’s corporate headquarters buildings. Net cash provided by financing activities for the six months ended February 28, 2011 was $403,009, which resulted from proceeds from option exercises and NTIC’s employee stock purchase plan, partially offset by principal payments on the bank loan for NTIC’s corporate headquarters buildings.</w:t>
      </w:r>
    </w:p>
    <w:p>
      <w:pPr>
        <w:spacing w:after="0" w:line="19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had no material lease or other material capital commitments as of February 29, 2012, except a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entered into by NTI Facilities, Inc., a subsidiary of NTIC, for 16,994 square feet of office, manufacturing, laboratory and warehouse space in Beachwood, Ohio, requiring monthly payments of $17,500, which are adjusted annually according to the annual consumer price index, through November 2014.</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 spent approximately $80,698 on capital expenditures during the six months ended February 29, 2012 and expects to spend an aggregate of approximately $1,200,000 on capital expenditures during fiscal 2012. Such anticipated capital expenditures for fiscal 2012 relate primarily to the expansion of its laboratory facilities in Circle Pines, Minnesota and the purchase of new equipment.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9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29, 2012,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4" w:lineRule="exact"/>
        <w:rPr>
          <w:sz w:val="20"/>
          <w:szCs w:val="20"/>
          <w:color w:val="auto"/>
        </w:rPr>
      </w:pPr>
    </w:p>
    <w:p>
      <w:pPr>
        <w:ind w:left="980" w:hanging="13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ind w:left="134" w:hanging="134"/>
        <w:spacing w:after="0"/>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52" w:lineRule="exact"/>
        <w:rPr>
          <w:rFonts w:ascii="Arial" w:cs="Arial" w:eastAsia="Arial" w:hAnsi="Arial"/>
          <w:sz w:val="18"/>
          <w:szCs w:val="18"/>
          <w:color w:val="auto"/>
        </w:rPr>
      </w:pPr>
    </w:p>
    <w:p>
      <w:pPr>
        <w:ind w:left="134" w:right="20" w:hanging="134"/>
        <w:spacing w:after="0" w:line="277" w:lineRule="auto"/>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97" w:lineRule="exact"/>
        <w:rPr>
          <w:rFonts w:ascii="Arial" w:cs="Arial" w:eastAsia="Arial" w:hAnsi="Arial"/>
          <w:sz w:val="18"/>
          <w:szCs w:val="18"/>
          <w:color w:val="auto"/>
        </w:rPr>
      </w:pPr>
    </w:p>
    <w:p>
      <w:pPr>
        <w:ind w:left="134" w:hanging="134"/>
        <w:spacing w:after="0"/>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variability in NTIC’s equity income of joint ventures, which in turn, subjects NTIC’s earnings to quarterly fluctuations;</w:t>
      </w:r>
    </w:p>
    <w:p>
      <w:pPr>
        <w:spacing w:after="0" w:line="252" w:lineRule="exact"/>
        <w:rPr>
          <w:rFonts w:ascii="Arial" w:cs="Arial" w:eastAsia="Arial" w:hAnsi="Arial"/>
          <w:sz w:val="18"/>
          <w:szCs w:val="18"/>
          <w:color w:val="auto"/>
        </w:rPr>
      </w:pPr>
    </w:p>
    <w:p>
      <w:pPr>
        <w:ind w:left="134" w:hanging="134"/>
        <w:spacing w:after="0" w:line="277" w:lineRule="auto"/>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97" w:lineRule="exact"/>
        <w:rPr>
          <w:rFonts w:ascii="Arial" w:cs="Arial" w:eastAsia="Arial" w:hAnsi="Arial"/>
          <w:sz w:val="18"/>
          <w:szCs w:val="18"/>
          <w:color w:val="auto"/>
        </w:rPr>
      </w:pPr>
    </w:p>
    <w:p>
      <w:pPr>
        <w:ind w:left="134" w:hanging="134"/>
        <w:spacing w:after="0"/>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52" w:lineRule="exact"/>
        <w:rPr>
          <w:rFonts w:ascii="Arial" w:cs="Arial" w:eastAsia="Arial" w:hAnsi="Arial"/>
          <w:sz w:val="18"/>
          <w:szCs w:val="18"/>
          <w:color w:val="auto"/>
        </w:rPr>
      </w:pPr>
    </w:p>
    <w:p>
      <w:pPr>
        <w:jc w:val="both"/>
        <w:ind w:left="134" w:hanging="134"/>
        <w:spacing w:after="0" w:line="226" w:lineRule="auto"/>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30" w:lineRule="exact"/>
        <w:rPr>
          <w:rFonts w:ascii="Arial" w:cs="Arial" w:eastAsia="Arial" w:hAnsi="Arial"/>
          <w:sz w:val="18"/>
          <w:szCs w:val="18"/>
          <w:color w:val="auto"/>
        </w:rPr>
      </w:pPr>
    </w:p>
    <w:p>
      <w:pPr>
        <w:ind w:left="134" w:hanging="134"/>
        <w:spacing w:after="0"/>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52" w:lineRule="exact"/>
        <w:rPr>
          <w:rFonts w:ascii="Arial" w:cs="Arial" w:eastAsia="Arial" w:hAnsi="Arial"/>
          <w:sz w:val="18"/>
          <w:szCs w:val="18"/>
          <w:color w:val="auto"/>
        </w:rPr>
      </w:pPr>
    </w:p>
    <w:p>
      <w:pPr>
        <w:ind w:left="134" w:hanging="134"/>
        <w:spacing w:after="0"/>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52" w:lineRule="exact"/>
        <w:rPr>
          <w:rFonts w:ascii="Arial" w:cs="Arial" w:eastAsia="Arial" w:hAnsi="Arial"/>
          <w:sz w:val="18"/>
          <w:szCs w:val="18"/>
          <w:color w:val="auto"/>
        </w:rPr>
      </w:pPr>
    </w:p>
    <w:p>
      <w:pPr>
        <w:ind w:left="134" w:hanging="134"/>
        <w:spacing w:after="0" w:line="216" w:lineRule="auto"/>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30" w:lineRule="exact"/>
        <w:rPr>
          <w:rFonts w:ascii="Arial" w:cs="Arial" w:eastAsia="Arial" w:hAnsi="Arial"/>
          <w:sz w:val="18"/>
          <w:szCs w:val="18"/>
          <w:color w:val="auto"/>
        </w:rPr>
      </w:pPr>
    </w:p>
    <w:p>
      <w:pPr>
        <w:ind w:left="134" w:hanging="134"/>
        <w:spacing w:after="0" w:line="216" w:lineRule="auto"/>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30" w:lineRule="exact"/>
        <w:rPr>
          <w:rFonts w:ascii="Arial" w:cs="Arial" w:eastAsia="Arial" w:hAnsi="Arial"/>
          <w:sz w:val="18"/>
          <w:szCs w:val="18"/>
          <w:color w:val="auto"/>
        </w:rPr>
      </w:pPr>
    </w:p>
    <w:p>
      <w:pPr>
        <w:ind w:left="134" w:hanging="134"/>
        <w:spacing w:after="0"/>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52" w:lineRule="exact"/>
        <w:rPr>
          <w:rFonts w:ascii="Arial" w:cs="Arial" w:eastAsia="Arial" w:hAnsi="Arial"/>
          <w:sz w:val="18"/>
          <w:szCs w:val="18"/>
          <w:color w:val="auto"/>
        </w:rPr>
      </w:pPr>
    </w:p>
    <w:p>
      <w:pPr>
        <w:ind w:left="134" w:hanging="134"/>
        <w:spacing w:after="0"/>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52" w:lineRule="exact"/>
        <w:rPr>
          <w:rFonts w:ascii="Arial" w:cs="Arial" w:eastAsia="Arial" w:hAnsi="Arial"/>
          <w:sz w:val="18"/>
          <w:szCs w:val="18"/>
          <w:color w:val="auto"/>
        </w:rPr>
      </w:pPr>
    </w:p>
    <w:p>
      <w:pPr>
        <w:ind w:left="134" w:hanging="134"/>
        <w:spacing w:after="0" w:line="277" w:lineRule="auto"/>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97" w:lineRule="exact"/>
        <w:rPr>
          <w:rFonts w:ascii="Arial" w:cs="Arial" w:eastAsia="Arial" w:hAnsi="Arial"/>
          <w:sz w:val="18"/>
          <w:szCs w:val="18"/>
          <w:color w:val="auto"/>
        </w:rPr>
      </w:pPr>
    </w:p>
    <w:p>
      <w:pPr>
        <w:ind w:left="134" w:hanging="134"/>
        <w:spacing w:after="0" w:line="216" w:lineRule="auto"/>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transition the manufacturing of certain select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 house at NTIC’s corporate headquarters location in Circle Pines, Minnesota;</w:t>
      </w:r>
    </w:p>
    <w:p>
      <w:pPr>
        <w:spacing w:after="0" w:line="230" w:lineRule="exact"/>
        <w:rPr>
          <w:rFonts w:ascii="Arial" w:cs="Arial" w:eastAsia="Arial" w:hAnsi="Arial"/>
          <w:sz w:val="18"/>
          <w:szCs w:val="18"/>
          <w:color w:val="auto"/>
        </w:rPr>
      </w:pPr>
    </w:p>
    <w:p>
      <w:pPr>
        <w:ind w:left="134" w:hanging="134"/>
        <w:spacing w:after="0"/>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00" w:lineRule="exact"/>
        <w:rPr>
          <w:sz w:val="20"/>
          <w:szCs w:val="20"/>
          <w:color w:val="auto"/>
        </w:rPr>
      </w:pPr>
    </w:p>
    <w:p>
      <w:pPr>
        <w:spacing w:after="0" w:line="201" w:lineRule="exact"/>
        <w:rPr>
          <w:sz w:val="20"/>
          <w:szCs w:val="20"/>
          <w:color w:val="auto"/>
        </w:rPr>
      </w:pPr>
    </w:p>
    <w:p>
      <w:pPr>
        <w:ind w:left="477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574"/>
          </w:cols>
          <w:pgMar w:left="1086" w:top="517" w:right="239" w:bottom="1440" w:gutter="0" w:footer="0" w:header="0"/>
        </w:sectPr>
      </w:pPr>
    </w:p>
    <w:bookmarkStart w:id="30" w:name="page31"/>
    <w:bookmarkEnd w:id="30"/>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5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2011 under the heading “Part I. Item 1A. Risk Factors.”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20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i w:val="1"/>
          <w:iCs w:val="1"/>
          <w:color w:val="auto"/>
        </w:rPr>
        <w:t>ITEM 3.</w:t>
      </w:r>
      <w:r>
        <w:rPr>
          <w:sz w:val="20"/>
          <w:szCs w:val="20"/>
          <w:color w:val="auto"/>
        </w:rPr>
        <w:tab/>
      </w:r>
      <w:r>
        <w:rPr>
          <w:rFonts w:ascii="Arial" w:cs="Arial" w:eastAsia="Arial" w:hAnsi="Arial"/>
          <w:sz w:val="19"/>
          <w:szCs w:val="19"/>
          <w:b w:val="1"/>
          <w:bCs w:val="1"/>
          <w:i w:val="1"/>
          <w:i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i w:val="1"/>
          <w:iCs w:val="1"/>
          <w:color w:val="auto"/>
        </w:rPr>
        <w:t>ITEM 4.</w:t>
      </w:r>
      <w:r>
        <w:rPr>
          <w:sz w:val="20"/>
          <w:szCs w:val="20"/>
          <w:color w:val="auto"/>
        </w:rPr>
        <w:tab/>
      </w:r>
      <w:r>
        <w:rPr>
          <w:rFonts w:ascii="Arial" w:cs="Arial" w:eastAsia="Arial" w:hAnsi="Arial"/>
          <w:sz w:val="19"/>
          <w:szCs w:val="19"/>
          <w:b w:val="1"/>
          <w:bCs w:val="1"/>
          <w:i w:val="1"/>
          <w:iCs w:val="1"/>
          <w:color w:val="auto"/>
        </w:rPr>
        <w:t>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February 29, 2012 that has materially affected, or is reasonably likely to materially affect NTIC’s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i w:val="1"/>
          <w:iCs w:val="1"/>
          <w:color w:val="auto"/>
        </w:rPr>
        <w:t>ITEM 1.</w:t>
      </w:r>
      <w:r>
        <w:rPr>
          <w:sz w:val="20"/>
          <w:szCs w:val="20"/>
          <w:color w:val="auto"/>
        </w:rPr>
        <w:tab/>
      </w:r>
      <w:r>
        <w:rPr>
          <w:rFonts w:ascii="Arial" w:cs="Arial" w:eastAsia="Arial" w:hAnsi="Arial"/>
          <w:sz w:val="19"/>
          <w:szCs w:val="19"/>
          <w:b w:val="1"/>
          <w:bCs w:val="1"/>
          <w:i w:val="1"/>
          <w:iCs w:val="1"/>
          <w:color w:val="auto"/>
        </w:rPr>
        <w:t>LEGAL PROCEEDINGS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i w:val="1"/>
          <w:iCs w:val="1"/>
          <w:color w:val="auto"/>
        </w:rPr>
        <w:t>ITEM 1A.</w:t>
      </w:r>
      <w:r>
        <w:rPr>
          <w:sz w:val="20"/>
          <w:szCs w:val="20"/>
          <w:color w:val="auto"/>
        </w:rPr>
        <w:tab/>
      </w:r>
      <w:r>
        <w:rPr>
          <w:rFonts w:ascii="Arial" w:cs="Arial" w:eastAsia="Arial" w:hAnsi="Arial"/>
          <w:sz w:val="19"/>
          <w:szCs w:val="19"/>
          <w:b w:val="1"/>
          <w:bCs w:val="1"/>
          <w:i w:val="1"/>
          <w:iCs w:val="1"/>
          <w:color w:val="auto"/>
        </w:rPr>
        <w:t>RISK FACTORS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i w:val="1"/>
          <w:iCs w:val="1"/>
          <w:color w:val="auto"/>
        </w:rPr>
        <w:t>ITEM 2.</w:t>
      </w:r>
      <w:r>
        <w:rPr>
          <w:sz w:val="20"/>
          <w:szCs w:val="20"/>
          <w:color w:val="auto"/>
        </w:rPr>
        <w:tab/>
      </w:r>
      <w:r>
        <w:rPr>
          <w:rFonts w:ascii="Arial" w:cs="Arial" w:eastAsia="Arial" w:hAnsi="Arial"/>
          <w:sz w:val="19"/>
          <w:szCs w:val="19"/>
          <w:b w:val="1"/>
          <w:bCs w:val="1"/>
          <w:i w:val="1"/>
          <w:iCs w:val="1"/>
          <w:color w:val="auto"/>
        </w:rPr>
        <w:t>UNREGISTERED SALES OF EQUITY SECURITIES AND USE OF PROCEEDS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three months ended February 29, 2012, NTIC did not issue any shares of its common stock or other equity securities of NTIC that were not registered under the Securities Act of 1933, as amended.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February 29, 2012, NTIC did not purchase any shares of its common stock or other equity securities of NTIC.</w:t>
      </w:r>
    </w:p>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i w:val="1"/>
          <w:iCs w:val="1"/>
          <w:color w:val="auto"/>
        </w:rPr>
        <w:t>ITEM 3.</w:t>
      </w:r>
      <w:r>
        <w:rPr>
          <w:sz w:val="20"/>
          <w:szCs w:val="20"/>
          <w:color w:val="auto"/>
        </w:rPr>
        <w:tab/>
      </w:r>
      <w:r>
        <w:rPr>
          <w:rFonts w:ascii="Arial" w:cs="Arial" w:eastAsia="Arial" w:hAnsi="Arial"/>
          <w:sz w:val="19"/>
          <w:szCs w:val="19"/>
          <w:b w:val="1"/>
          <w:bCs w:val="1"/>
          <w:i w:val="1"/>
          <w:iCs w:val="1"/>
          <w:color w:val="auto"/>
        </w:rPr>
        <w:t>DEFAULTS UPON SENIOR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i w:val="1"/>
          <w:iCs w:val="1"/>
          <w:color w:val="auto"/>
        </w:rPr>
        <w:t>ITEM 4.</w:t>
      </w:r>
      <w:r>
        <w:rPr>
          <w:sz w:val="20"/>
          <w:szCs w:val="20"/>
          <w:color w:val="auto"/>
        </w:rPr>
        <w:tab/>
      </w:r>
      <w:r>
        <w:rPr>
          <w:rFonts w:ascii="Arial" w:cs="Arial" w:eastAsia="Arial" w:hAnsi="Arial"/>
          <w:sz w:val="19"/>
          <w:szCs w:val="19"/>
          <w:b w:val="1"/>
          <w:bCs w:val="1"/>
          <w:i w:val="1"/>
          <w:iCs w:val="1"/>
          <w:color w:val="auto"/>
        </w:rPr>
        <w:t>MINE SAFETY DISCLOSURES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i w:val="1"/>
          <w:iCs w:val="1"/>
          <w:color w:val="auto"/>
        </w:rPr>
        <w:t>ITEM 5.</w:t>
      </w:r>
      <w:r>
        <w:rPr>
          <w:sz w:val="20"/>
          <w:szCs w:val="20"/>
          <w:color w:val="auto"/>
        </w:rPr>
        <w:tab/>
      </w:r>
      <w:r>
        <w:rPr>
          <w:rFonts w:ascii="Arial" w:cs="Arial" w:eastAsia="Arial" w:hAnsi="Arial"/>
          <w:sz w:val="21"/>
          <w:szCs w:val="21"/>
          <w:b w:val="1"/>
          <w:bCs w:val="1"/>
          <w:i w:val="1"/>
          <w:iCs w:val="1"/>
          <w:color w:val="auto"/>
        </w:rPr>
        <w:t>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i w:val="1"/>
          <w:iCs w:val="1"/>
          <w:color w:val="auto"/>
        </w:rPr>
        <w:t>ITEM 6.</w:t>
      </w:r>
      <w:r>
        <w:rPr>
          <w:sz w:val="20"/>
          <w:szCs w:val="20"/>
          <w:color w:val="auto"/>
        </w:rPr>
        <w:tab/>
      </w:r>
      <w:r>
        <w:rPr>
          <w:rFonts w:ascii="Arial" w:cs="Arial" w:eastAsia="Arial" w:hAnsi="Arial"/>
          <w:sz w:val="22"/>
          <w:szCs w:val="22"/>
          <w:b w:val="1"/>
          <w:bCs w:val="1"/>
          <w:i w:val="1"/>
          <w:iCs w:val="1"/>
          <w:color w:val="auto"/>
        </w:rPr>
        <w:t>EXHIBITS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1"/>
              </w:rPr>
              <w:t>Waiver and First Amendment to Loan Documents dated as of January 10, 2012 between Northern Technologies International Corporation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and PNC Bank, National Association (incorporated by reference to Exhibit 10.6 to NTIC’s Quarterly Report on Form 10-Q for the fiscal</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quarter ended November 30, 2011 (File No. 001-11038))</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bl>
    <w:p>
      <w:pPr>
        <w:spacing w:after="0" w:line="202" w:lineRule="exact"/>
        <w:rPr>
          <w:sz w:val="20"/>
          <w:szCs w:val="20"/>
          <w:color w:val="auto"/>
        </w:rPr>
      </w:pPr>
    </w:p>
    <w:p>
      <w:pPr>
        <w:ind w:left="1380" w:right="140" w:hanging="933"/>
        <w:spacing w:after="0" w:line="291" w:lineRule="auto"/>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materials from Northern Technologies International Corporation’s Quarterly Report on Form 10-Q for the fiscal quarter ended February 29, 2012, formatted in XBRL (Extensible Business Reporting Language): (i) the unaudited Consolidated Balance Sheets,</w:t>
      </w:r>
    </w:p>
    <w:p>
      <w:pPr>
        <w:ind w:left="1380" w:right="340" w:firstLine="6"/>
        <w:spacing w:after="0" w:line="250" w:lineRule="auto"/>
        <w:tabs>
          <w:tab w:leader="none" w:pos="16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unaudited Consolidated Statements of Operations, (iii) the unaudited Consolidated Statements of Cash Flows, and (iv) Notes to Condensed Financial Statements (furnished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right="60" w:hanging="652"/>
        <w:spacing w:after="0" w:line="29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3" w:name="page34"/>
    <w:bookmarkEnd w:id="33"/>
    <w:p>
      <w:pPr>
        <w:jc w:val="center"/>
        <w:ind w:right="-159"/>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172085</wp:posOffset>
            </wp:positionV>
            <wp:extent cx="1346200" cy="634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62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Date: April 12, 2012</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6"/>
        </w:trPr>
        <w:tc>
          <w:tcPr>
            <w:tcW w:w="45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5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 and Duly Authorized to</w:t>
            </w:r>
          </w:p>
        </w:tc>
      </w:tr>
      <w:tr>
        <w:trPr>
          <w:trHeight w:val="230"/>
        </w:trPr>
        <w:tc>
          <w:tcPr>
            <w:tcW w:w="4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261"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6860" w:type="dxa"/>
            <w:vAlign w:val="bottom"/>
            <w:tcBorders>
              <w:top w:val="single" w:sz="8" w:color="auto"/>
              <w:right w:val="single" w:sz="8" w:color="auto"/>
            </w:tcBorders>
          </w:tcPr>
          <w:p>
            <w:pPr>
              <w:spacing w:after="0"/>
              <w:rPr>
                <w:sz w:val="18"/>
                <w:szCs w:val="18"/>
                <w:color w:val="auto"/>
              </w:rPr>
            </w:pPr>
          </w:p>
        </w:tc>
        <w:tc>
          <w:tcPr>
            <w:tcW w:w="3400" w:type="dxa"/>
            <w:vAlign w:val="bottom"/>
            <w:tcBorders>
              <w:top w:val="single" w:sz="8" w:color="auto"/>
              <w:right w:val="single" w:sz="8" w:color="auto"/>
            </w:tcBorders>
          </w:tcPr>
          <w:p>
            <w:pPr>
              <w:spacing w:after="0"/>
              <w:rPr>
                <w:sz w:val="18"/>
                <w:szCs w:val="18"/>
                <w:color w:val="auto"/>
              </w:rPr>
            </w:pPr>
          </w:p>
        </w:tc>
      </w:tr>
      <w:tr>
        <w:trPr>
          <w:trHeight w:val="265"/>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6860" w:type="dxa"/>
            <w:vAlign w:val="bottom"/>
            <w:tcBorders>
              <w:bottom w:val="single" w:sz="8" w:color="auto"/>
              <w:right w:val="single" w:sz="8" w:color="auto"/>
            </w:tcBorders>
          </w:tcPr>
          <w:p>
            <w:pPr>
              <w:ind w:left="2960"/>
              <w:spacing w:after="0"/>
              <w:rPr>
                <w:sz w:val="20"/>
                <w:szCs w:val="20"/>
                <w:color w:val="auto"/>
              </w:rPr>
            </w:pPr>
            <w:r>
              <w:rPr>
                <w:rFonts w:ascii="Arial" w:cs="Arial" w:eastAsia="Arial" w:hAnsi="Arial"/>
                <w:sz w:val="18"/>
                <w:szCs w:val="18"/>
                <w:b w:val="1"/>
                <w:bCs w:val="1"/>
                <w:color w:val="auto"/>
              </w:rPr>
              <w:t>Description</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178"/>
        </w:trPr>
        <w:tc>
          <w:tcPr>
            <w:tcW w:w="1180" w:type="dxa"/>
            <w:vAlign w:val="bottom"/>
            <w:tcBorders>
              <w:left w:val="single" w:sz="8" w:color="auto"/>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10.1</w:t>
            </w:r>
          </w:p>
        </w:tc>
        <w:tc>
          <w:tcPr>
            <w:tcW w:w="686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6"/>
              </w:rPr>
              <w:t>Waiver and First Amendment to Loan Documents dated as of January 10, 2012 between</w:t>
            </w:r>
          </w:p>
        </w:tc>
        <w:tc>
          <w:tcPr>
            <w:tcW w:w="34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2"/>
              </w:rPr>
              <w:t>Incorporated by reference to Exhibit 10.6 to</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Northern Technologies International Corporation and PNC Bank, National Association</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NTIC’s Quarterly Report on Form 10-Q for</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fiscal quarter ended November 30, 2011</w:t>
            </w: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(File No. 001-11038)</w:t>
            </w: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6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Certification of Chief Executive Officer Pursuant to Section 302 of the Sarbanes-Oxley Act of</w:t>
            </w:r>
          </w:p>
        </w:tc>
        <w:tc>
          <w:tcPr>
            <w:tcW w:w="3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Filed herewith</w:t>
            </w: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2002</w:t>
            </w:r>
          </w:p>
        </w:tc>
        <w:tc>
          <w:tcPr>
            <w:tcW w:w="3400" w:type="dxa"/>
            <w:vAlign w:val="bottom"/>
            <w:tcBorders>
              <w:bottom w:val="single" w:sz="8" w:color="auto"/>
              <w:right w:val="single" w:sz="8" w:color="auto"/>
            </w:tcBorders>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31.2</w:t>
            </w:r>
          </w:p>
        </w:tc>
        <w:tc>
          <w:tcPr>
            <w:tcW w:w="6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Certification of Chief Financial Officer Pursuant to Section 302 of the Sarbanes-Oxley Act of</w:t>
            </w:r>
          </w:p>
        </w:tc>
        <w:tc>
          <w:tcPr>
            <w:tcW w:w="3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Filed herewith</w:t>
            </w: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2002</w:t>
            </w:r>
          </w:p>
        </w:tc>
        <w:tc>
          <w:tcPr>
            <w:tcW w:w="3400" w:type="dxa"/>
            <w:vAlign w:val="bottom"/>
            <w:tcBorders>
              <w:bottom w:val="single" w:sz="8" w:color="auto"/>
              <w:right w:val="single" w:sz="8" w:color="auto"/>
            </w:tcBorders>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32.1</w:t>
            </w:r>
          </w:p>
        </w:tc>
        <w:tc>
          <w:tcPr>
            <w:tcW w:w="6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Certification of Chief Executive Officer Pursuant to 18 U.S.C. Section 1350, as Adopted</w:t>
            </w:r>
          </w:p>
        </w:tc>
        <w:tc>
          <w:tcPr>
            <w:tcW w:w="3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Furnished herewith</w:t>
            </w: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3400" w:type="dxa"/>
            <w:vAlign w:val="bottom"/>
            <w:tcBorders>
              <w:bottom w:val="single" w:sz="8" w:color="auto"/>
              <w:right w:val="single" w:sz="8" w:color="auto"/>
            </w:tcBorders>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32.2</w:t>
            </w:r>
          </w:p>
        </w:tc>
        <w:tc>
          <w:tcPr>
            <w:tcW w:w="6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Certification of Chief Financial Officer Pursuant to 18 U.S.C. Section 1350, as Adopted</w:t>
            </w:r>
          </w:p>
        </w:tc>
        <w:tc>
          <w:tcPr>
            <w:tcW w:w="3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Furnished herewith</w:t>
            </w: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3400" w:type="dxa"/>
            <w:vAlign w:val="bottom"/>
            <w:tcBorders>
              <w:bottom w:val="single" w:sz="8" w:color="auto"/>
              <w:right w:val="single" w:sz="8" w:color="auto"/>
            </w:tcBorders>
          </w:tcPr>
          <w:p>
            <w:pPr>
              <w:spacing w:after="0"/>
              <w:rPr>
                <w:sz w:val="20"/>
                <w:szCs w:val="20"/>
                <w:color w:val="auto"/>
              </w:rPr>
            </w:pPr>
          </w:p>
        </w:tc>
      </w:tr>
      <w:tr>
        <w:trPr>
          <w:trHeight w:val="195"/>
        </w:trPr>
        <w:tc>
          <w:tcPr>
            <w:tcW w:w="11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101</w:t>
            </w:r>
          </w:p>
        </w:tc>
        <w:tc>
          <w:tcPr>
            <w:tcW w:w="6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The following materials from Northern Technologies International Corporation’s Quarterly</w:t>
            </w:r>
          </w:p>
        </w:tc>
        <w:tc>
          <w:tcPr>
            <w:tcW w:w="3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Furnished herewith</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Report on Form 10-Q for the fiscal quarter ended February 29, 2012, formatted in XBRL</w:t>
            </w:r>
          </w:p>
        </w:tc>
        <w:tc>
          <w:tcPr>
            <w:tcW w:w="34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(Extensible Business Reporting Language): (i) the unaudited Consolidated Balance Sheets, (ii)</w:t>
            </w:r>
          </w:p>
        </w:tc>
        <w:tc>
          <w:tcPr>
            <w:tcW w:w="340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the unaudited Consolidated Statements of Operations, (iii) the unaudited Consolidated</w:t>
            </w:r>
          </w:p>
        </w:tc>
        <w:tc>
          <w:tcPr>
            <w:tcW w:w="340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Statements of Cash Flows, and (iv) Notes to Condensed Financial Statements*</w:t>
            </w:r>
          </w:p>
        </w:tc>
        <w:tc>
          <w:tcPr>
            <w:tcW w:w="340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660" w:right="60" w:hanging="652"/>
        <w:spacing w:after="0" w:line="30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ectPr>
          <w:pgSz w:w="11900" w:h="16838" w:orient="portrait"/>
          <w:cols w:equalWidth="0" w:num="1">
            <w:col w:w="11420"/>
          </w:cols>
          <w:pgMar w:left="240" w:top="27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134620</wp:posOffset>
            </wp:positionV>
            <wp:extent cx="2898775" cy="38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3860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April 12,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2">
            <w:col w:w="5000" w:space="720"/>
            <w:col w:w="5700"/>
          </w:cols>
          <w:pgMar w:left="240" w:top="121" w:right="2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271780</wp:posOffset>
            </wp:positionV>
            <wp:extent cx="2898775" cy="643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643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Date: April 12,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2">
            <w:col w:w="5000" w:space="720"/>
            <w:col w:w="5700"/>
          </w:cols>
          <w:pgMar w:left="240" w:top="121" w:right="239" w:bottom="1440" w:gutter="0" w:footer="0" w:header="0"/>
          <w:type w:val="continuous"/>
        </w:sectPr>
      </w:pPr>
    </w:p>
    <w:bookmarkStart w:id="37" w:name="page38"/>
    <w:bookmarkEnd w:id="37"/>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February 29, 2012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2898775"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3860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2012</w:t>
      </w:r>
    </w:p>
    <w:p>
      <w:pPr>
        <w:sectPr>
          <w:pgSz w:w="11900" w:h="16838" w:orient="portrait"/>
          <w:cols w:equalWidth="0" w:num="1">
            <w:col w:w="11420"/>
          </w:cols>
          <w:pgMar w:left="240" w:top="121" w:right="239" w:bottom="1440" w:gutter="0" w:footer="0" w:header="0"/>
        </w:sectPr>
      </w:pPr>
    </w:p>
    <w:bookmarkStart w:id="38" w:name="page39"/>
    <w:bookmarkEnd w:id="38"/>
    <w:p>
      <w:pPr>
        <w:ind w:left="1048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February 29, 2012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898775" cy="643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2012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Roman"/>
      <w:start w:val="10"/>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5"/>
    </w:lvl>
  </w:abstractNum>
  <w:abstractNum w:abstractNumId="4">
    <w:nsid w:val="1BEFD79F"/>
    <w:multiLevelType w:val="hybridMultilevel"/>
    <w:lvl w:ilvl="0">
      <w:lvlJc w:val="left"/>
      <w:lvlText w:val="%1."/>
      <w:numFmt w:val="decimal"/>
      <w:start w:val="6"/>
    </w:lvl>
  </w:abstractNum>
  <w:abstractNum w:abstractNumId="5">
    <w:nsid w:val="41A7C4C9"/>
    <w:multiLevelType w:val="hybridMultilevel"/>
    <w:lvl w:ilvl="0">
      <w:lvlJc w:val="left"/>
      <w:lvlText w:val="%1."/>
      <w:numFmt w:val="decimal"/>
      <w:start w:val="7"/>
    </w:lvl>
  </w:abstractNum>
  <w:abstractNum w:abstractNumId="6">
    <w:nsid w:val="6B68079A"/>
    <w:multiLevelType w:val="hybridMultilevel"/>
    <w:lvl w:ilvl="0">
      <w:lvlJc w:val="left"/>
      <w:lvlText w:val="%1."/>
      <w:numFmt w:val="decimal"/>
      <w:start w:val="8"/>
    </w:lvl>
  </w:abstractNum>
  <w:abstractNum w:abstractNumId="7">
    <w:nsid w:val="4E6AFB66"/>
    <w:multiLevelType w:val="hybridMultilevel"/>
    <w:lvl w:ilvl="0">
      <w:lvlJc w:val="left"/>
      <w:lvlText w:val="%1."/>
      <w:numFmt w:val="decimal"/>
      <w:start w:val="10"/>
    </w:lvl>
  </w:abstractNum>
  <w:abstractNum w:abstractNumId="8">
    <w:nsid w:val="25E45D32"/>
    <w:multiLevelType w:val="hybridMultilevel"/>
    <w:lvl w:ilvl="0">
      <w:lvlJc w:val="left"/>
      <w:lvlText w:val="%1."/>
      <w:numFmt w:val="decimal"/>
      <w:start w:val="1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2"/>
    </w:lvl>
  </w:abstractNum>
  <w:abstractNum w:abstractNumId="11">
    <w:nsid w:val="3F2DBA31"/>
    <w:multiLevelType w:val="hybridMultilevel"/>
    <w:lvl w:ilvl="0">
      <w:lvlJc w:val="left"/>
      <w:lvlText w:val="%1."/>
      <w:numFmt w:val="decimal"/>
      <w:start w:val="13"/>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01"/>
    </w:lvl>
  </w:abstractNum>
  <w:abstractNum w:abstractNumId="17">
    <w:nsid w:val="333AB105"/>
    <w:multiLevelType w:val="hybridMultilevel"/>
    <w:lvl w:ilvl="0">
      <w:lvlJc w:val="left"/>
      <w:lvlText w:val="(%1)"/>
      <w:numFmt w:val="lowerRoman"/>
      <w:start w:val="2"/>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upperLetter"/>
      <w:start w:val="1"/>
    </w:lvl>
    <w:lvl w:ilvl="1">
      <w:lvlJc w:val="left"/>
      <w:lvlText w:val="(%2)"/>
      <w:numFmt w:val="decimal"/>
      <w:start w:val="1"/>
    </w:lvl>
  </w:abstractNum>
  <w:abstractNum w:abstractNumId="23">
    <w:nsid w:val="8EDBDAB"/>
    <w:multiLevelType w:val="hybridMultilevel"/>
    <w:lvl w:ilvl="0">
      <w:lvlJc w:val="left"/>
      <w:lvlText w:val="%1."/>
      <w:numFmt w:val="upperLetter"/>
      <w:start w:val="7"/>
    </w:lvl>
    <w:lvl w:ilvl="1">
      <w:lvlJc w:val="left"/>
      <w:lvlText w:val="%2"/>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2019-12-09T10:31:49Z</dcterms:created>
  <dcterms:modified xsi:type="dcterms:W3CDTF">2019-12-09T10:31:49Z</dcterms:modified>
</cp:coreProperties>
</file>