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153670</wp:posOffset>
            </wp:positionH>
            <wp:positionV relativeFrom="page">
              <wp:posOffset>111760</wp:posOffset>
            </wp:positionV>
            <wp:extent cx="725424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37465"/>
                    </a:xfrm>
                    <a:prstGeom prst="rect">
                      <a:avLst/>
                    </a:prstGeom>
                    <a:noFill/>
                  </pic:spPr>
                </pic:pic>
              </a:graphicData>
            </a:graphic>
          </wp:anchor>
        </w:drawing>
        <w:t>UNITED STATES</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Washington, D.C. 20549</w:t>
      </w:r>
    </w:p>
    <w:p>
      <w:pPr>
        <w:spacing w:after="0" w:line="8"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______________________________</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ectPr>
          <w:pgSz w:w="11900" w:h="16838" w:orient="portrait"/>
          <w:cols w:equalWidth="0" w:num="1">
            <w:col w:w="11380"/>
          </w:cols>
          <w:pgMar w:left="240" w:top="301" w:right="279" w:bottom="1440" w:gutter="0" w:footer="0" w:header="0"/>
        </w:sectPr>
      </w:pP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40" w:lineRule="exact"/>
        <w:rPr>
          <w:sz w:val="24"/>
          <w:szCs w:val="24"/>
          <w:color w:val="auto"/>
        </w:rPr>
      </w:pPr>
    </w:p>
    <w:p>
      <w:pPr>
        <w:sectPr>
          <w:pgSz w:w="11900" w:h="16838" w:orient="portrait"/>
          <w:cols w:equalWidth="0" w:num="2">
            <w:col w:w="1260" w:space="720"/>
            <w:col w:w="9400"/>
          </w:cols>
          <w:pgMar w:left="240" w:top="301" w:right="279" w:bottom="1440" w:gutter="0" w:footer="0" w:header="0"/>
          <w:type w:val="continuous"/>
        </w:sectPr>
      </w:pP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For the quarterly period ended February 28, 2014</w:t>
      </w:r>
    </w:p>
    <w:p>
      <w:pPr>
        <w:sectPr>
          <w:pgSz w:w="11900" w:h="16838" w:orient="portrait"/>
          <w:cols w:equalWidth="0" w:num="1">
            <w:col w:w="11380"/>
          </w:cols>
          <w:pgMar w:left="240" w:top="301" w:right="279" w:bottom="1440" w:gutter="0" w:footer="0" w:header="0"/>
          <w:type w:val="continuous"/>
        </w:sect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8" w:lineRule="exact"/>
        <w:rPr>
          <w:sz w:val="24"/>
          <w:szCs w:val="24"/>
          <w:color w:val="auto"/>
        </w:rPr>
      </w:pPr>
    </w:p>
    <w:p>
      <w:pPr>
        <w:sectPr>
          <w:pgSz w:w="11900" w:h="16838" w:orient="portrait"/>
          <w:cols w:equalWidth="0" w:num="2">
            <w:col w:w="1260" w:space="720"/>
            <w:col w:w="9400"/>
          </w:cols>
          <w:pgMar w:left="240" w:top="301" w:right="279" w:bottom="1440" w:gutter="0" w:footer="0" w:header="0"/>
          <w:type w:val="continuous"/>
        </w:sectPr>
      </w:pPr>
    </w:p>
    <w:p>
      <w:pPr>
        <w:spacing w:after="0" w:line="36" w:lineRule="exact"/>
        <w:rPr>
          <w:sz w:val="24"/>
          <w:szCs w:val="24"/>
          <w:color w:val="auto"/>
        </w:rPr>
      </w:pPr>
    </w:p>
    <w:p>
      <w:pPr>
        <w:ind w:left="2800"/>
        <w:spacing w:after="0"/>
        <w:rPr>
          <w:sz w:val="20"/>
          <w:szCs w:val="20"/>
          <w:color w:val="auto"/>
        </w:rPr>
      </w:pPr>
      <w:r>
        <w:rPr>
          <w:rFonts w:ascii="Arial" w:cs="Arial" w:eastAsia="Arial" w:hAnsi="Arial"/>
          <w:sz w:val="19"/>
          <w:szCs w:val="19"/>
          <w:color w:val="auto"/>
        </w:rPr>
        <w:t>For the transition period from ________________ to __________________.</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Commission File Number: 001-11038</w:t>
      </w:r>
    </w:p>
    <w:p>
      <w:pPr>
        <w:spacing w:after="0" w:line="30" w:lineRule="exact"/>
        <w:rPr>
          <w:sz w:val="24"/>
          <w:szCs w:val="24"/>
          <w:color w:val="auto"/>
        </w:rPr>
      </w:pPr>
    </w:p>
    <w:p>
      <w:pPr>
        <w:ind w:left="484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301" w:right="279" w:bottom="1440" w:gutter="0" w:footer="0" w:header="0"/>
          <w:type w:val="continuous"/>
        </w:sectPr>
      </w:pPr>
    </w:p>
    <w:p>
      <w:pPr>
        <w:spacing w:after="0" w:line="216" w:lineRule="exact"/>
        <w:rPr>
          <w:sz w:val="24"/>
          <w:szCs w:val="24"/>
          <w:color w:val="auto"/>
        </w:rPr>
      </w:pPr>
    </w:p>
    <w:p>
      <w:pPr>
        <w:ind w:left="24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41-0857886</w:t>
      </w:r>
    </w:p>
    <w:p>
      <w:pPr>
        <w:spacing w:after="0" w:line="56" w:lineRule="exact"/>
        <w:rPr>
          <w:sz w:val="24"/>
          <w:szCs w:val="24"/>
          <w:color w:val="auto"/>
        </w:rPr>
      </w:pPr>
    </w:p>
    <w:p>
      <w:pPr>
        <w:sectPr>
          <w:pgSz w:w="11900" w:h="16838" w:orient="portrait"/>
          <w:cols w:equalWidth="0" w:num="2">
            <w:col w:w="7380" w:space="720"/>
            <w:col w:w="3280"/>
          </w:cols>
          <w:pgMar w:left="240" w:top="301" w:right="279" w:bottom="1440" w:gutter="0" w:footer="0" w:header="0"/>
          <w:type w:val="continuous"/>
        </w:sectPr>
      </w:pPr>
    </w:p>
    <w:p>
      <w:pPr>
        <w:ind w:left="7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80" w:space="720"/>
            <w:col w:w="4080"/>
          </w:cols>
          <w:pgMar w:left="240" w:top="301" w:right="279" w:bottom="1440" w:gutter="0" w:footer="0" w:header="0"/>
          <w:type w:val="continuous"/>
        </w:sectPr>
      </w:pP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4201 Woodland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Circle Pines, Minnesota 55014</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(763) 225-6600</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26" w:lineRule="exact"/>
        <w:rPr>
          <w:sz w:val="24"/>
          <w:szCs w:val="24"/>
          <w:color w:val="auto"/>
        </w:rPr>
      </w:pPr>
    </w:p>
    <w:p>
      <w:pPr>
        <w:ind w:right="400" w:firstLine="316"/>
        <w:spacing w:after="0" w:line="25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16" w:lineRule="exact"/>
        <w:rPr>
          <w:sz w:val="24"/>
          <w:szCs w:val="24"/>
          <w:color w:val="auto"/>
        </w:rPr>
      </w:pPr>
    </w:p>
    <w:p>
      <w:pPr>
        <w:ind w:firstLine="316"/>
        <w:spacing w:after="0" w:line="28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w:t>
      </w:r>
    </w:p>
    <w:p>
      <w:pPr>
        <w:spacing w:after="0"/>
        <w:tabs>
          <w:tab w:leader="none" w:pos="2640" w:val="left"/>
        </w:tabs>
        <w:rPr>
          <w:sz w:val="20"/>
          <w:szCs w:val="20"/>
          <w:color w:val="auto"/>
        </w:rPr>
      </w:pPr>
      <w:r>
        <w:rPr>
          <w:rFonts w:ascii="Arial" w:cs="Arial" w:eastAsia="Arial" w:hAnsi="Arial"/>
          <w:sz w:val="18"/>
          <w:szCs w:val="18"/>
          <w:color w:val="auto"/>
        </w:rPr>
        <w:t>submit and post such files).</w:t>
      </w:r>
      <w:r>
        <w:rPr>
          <w:sz w:val="20"/>
          <w:szCs w:val="20"/>
          <w:color w:val="auto"/>
        </w:rPr>
        <w:tab/>
      </w:r>
      <w:r>
        <w:rPr>
          <w:rFonts w:ascii="Arial" w:cs="Arial" w:eastAsia="Arial" w:hAnsi="Arial"/>
          <w:sz w:val="18"/>
          <w:szCs w:val="18"/>
          <w:color w:val="auto"/>
        </w:rPr>
        <w:t>YES [X]  NO [  ]</w:t>
      </w:r>
    </w:p>
    <w:p>
      <w:pPr>
        <w:spacing w:after="0" w:line="228" w:lineRule="exact"/>
        <w:rPr>
          <w:sz w:val="24"/>
          <w:szCs w:val="24"/>
          <w:color w:val="auto"/>
        </w:rPr>
      </w:pPr>
    </w:p>
    <w:p>
      <w:pPr>
        <w:ind w:right="80" w:firstLine="316"/>
        <w:spacing w:after="0" w:line="32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301" w:right="279" w:bottom="1440" w:gutter="0" w:footer="0" w:header="0"/>
          <w:type w:val="continuous"/>
        </w:sectPr>
      </w:pPr>
    </w:p>
    <w:p>
      <w:pPr>
        <w:spacing w:after="0" w:line="16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Large accelerated filer [  ]</w:t>
      </w:r>
    </w:p>
    <w:p>
      <w:pPr>
        <w:spacing w:after="0" w:line="15" w:lineRule="exact"/>
        <w:rPr>
          <w:sz w:val="24"/>
          <w:szCs w:val="24"/>
          <w:color w:val="auto"/>
        </w:rPr>
      </w:pPr>
    </w:p>
    <w:p>
      <w:pPr>
        <w:ind w:left="320"/>
        <w:spacing w:after="0"/>
        <w:rPr>
          <w:sz w:val="20"/>
          <w:szCs w:val="20"/>
          <w:color w:val="auto"/>
        </w:rPr>
      </w:pPr>
      <w:r>
        <w:rPr>
          <w:rFonts w:ascii="Arial" w:cs="Arial" w:eastAsia="Arial" w:hAnsi="Arial"/>
          <w:sz w:val="16"/>
          <w:szCs w:val="16"/>
          <w:color w:val="auto"/>
        </w:rPr>
        <w:t>Non-accelerated filer (Do not check if a smaller reporting company) [</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11" w:lineRule="exact"/>
        <w:rPr>
          <w:sz w:val="24"/>
          <w:szCs w:val="24"/>
          <w:color w:val="auto"/>
        </w:rPr>
      </w:pPr>
    </w:p>
    <w:p>
      <w:pPr>
        <w:sectPr>
          <w:pgSz w:w="11900" w:h="16838" w:orient="portrait"/>
          <w:cols w:equalWidth="0" w:num="3">
            <w:col w:w="5200" w:space="140"/>
            <w:col w:w="240" w:space="720"/>
            <w:col w:w="5080"/>
          </w:cols>
          <w:pgMar w:left="240" w:top="301" w:right="279" w:bottom="1440" w:gutter="0" w:footer="0" w:header="0"/>
          <w:type w:val="continuous"/>
        </w:sectPr>
      </w:pPr>
    </w:p>
    <w:p>
      <w:pPr>
        <w:spacing w:after="0" w:line="14" w:lineRule="exact"/>
        <w:rPr>
          <w:sz w:val="24"/>
          <w:szCs w:val="24"/>
          <w:color w:val="auto"/>
        </w:rPr>
      </w:pPr>
    </w:p>
    <w:p>
      <w:pPr>
        <w:ind w:left="320"/>
        <w:spacing w:after="0"/>
        <w:tabs>
          <w:tab w:leader="none" w:pos="84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 [  ]  NO [X]</w:t>
      </w:r>
    </w:p>
    <w:p>
      <w:pPr>
        <w:spacing w:after="0" w:line="240"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April 11, 2014, there were 4,448,837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258445</wp:posOffset>
            </wp:positionV>
            <wp:extent cx="7254240" cy="37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20" w:type="dxa"/>
            <w:vAlign w:val="bottom"/>
            <w:gridSpan w:val="9"/>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4"/>
        </w:trPr>
        <w:tc>
          <w:tcPr>
            <w:tcW w:w="6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r>
      <w:tr>
        <w:trPr>
          <w:trHeight w:val="388"/>
        </w:trPr>
        <w:tc>
          <w:tcPr>
            <w:tcW w:w="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6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9760" w:type="dxa"/>
            <w:vAlign w:val="bottom"/>
            <w:gridSpan w:val="21"/>
            <w:shd w:val="clear" w:color="auto" w:fill="CCEEFF"/>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2"/>
        </w:trPr>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4"/>
        </w:trPr>
        <w:tc>
          <w:tcPr>
            <w:tcW w:w="60" w:type="dxa"/>
            <w:vAlign w:val="bottom"/>
          </w:tcPr>
          <w:p>
            <w:pPr>
              <w:spacing w:after="0"/>
              <w:rPr>
                <w:sz w:val="19"/>
                <w:szCs w:val="19"/>
                <w:color w:val="auto"/>
              </w:rPr>
            </w:pPr>
          </w:p>
        </w:tc>
        <w:tc>
          <w:tcPr>
            <w:tcW w:w="114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76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2"/>
        </w:trPr>
        <w:tc>
          <w:tcPr>
            <w:tcW w:w="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24"/>
        </w:trPr>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760" w:type="dxa"/>
            <w:vAlign w:val="bottom"/>
            <w:gridSpan w:val="21"/>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February 28, 2014 (unaudited) and August 31, 2013</w:t>
              </w:r>
            </w:hyperlink>
          </w:p>
        </w:tc>
        <w:tc>
          <w:tcPr>
            <w:tcW w:w="460" w:type="dxa"/>
            <w:vAlign w:val="bottom"/>
            <w:gridSpan w:val="5"/>
            <w:shd w:val="clear" w:color="auto" w:fill="CCEEFF"/>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72"/>
        </w:trPr>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4"/>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760" w:type="dxa"/>
            <w:vAlign w:val="bottom"/>
            <w:gridSpan w:val="21"/>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Operations (unaudited) for the Three and Six Months Ended February 28, 2014 and February 28, 2013</w:t>
              </w:r>
            </w:hyperlink>
          </w:p>
        </w:tc>
        <w:tc>
          <w:tcPr>
            <w:tcW w:w="460" w:type="dxa"/>
            <w:vAlign w:val="bottom"/>
            <w:gridSpan w:val="5"/>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72"/>
        </w:trPr>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16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4"/>
        </w:trPr>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760" w:type="dxa"/>
            <w:vAlign w:val="bottom"/>
            <w:gridSpan w:val="21"/>
            <w:shd w:val="clear" w:color="auto" w:fill="CCEEFF"/>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Comprehensive Income (unaudited) for the Three and Six Months Ended February 28, 2014 and February</w:t>
              </w:r>
            </w:hyperlink>
          </w:p>
        </w:tc>
        <w:tc>
          <w:tcPr>
            <w:tcW w:w="460" w:type="dxa"/>
            <w:vAlign w:val="bottom"/>
            <w:gridSpan w:val="5"/>
            <w:shd w:val="clear" w:color="auto" w:fill="CCEEFF"/>
          </w:tcPr>
          <w:p>
            <w:pPr>
              <w:jc w:val="right"/>
              <w:ind w:right="4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190"/>
        </w:trPr>
        <w:tc>
          <w:tcPr>
            <w:tcW w:w="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0000EE"/>
            </w:tcBorders>
            <w:gridSpan w:val="5"/>
            <w:shd w:val="clear" w:color="auto" w:fill="CCEEFF"/>
          </w:tcPr>
          <w:p>
            <w:pPr>
              <w:spacing w:after="0" w:line="190" w:lineRule="exact"/>
              <w:rPr>
                <w:rFonts w:ascii="Arial" w:cs="Arial" w:eastAsia="Arial" w:hAnsi="Arial"/>
                <w:sz w:val="18"/>
                <w:szCs w:val="18"/>
                <w:color w:val="0000EE"/>
              </w:rPr>
            </w:pPr>
            <w:hyperlink w:anchor="page6">
              <w:r>
                <w:rPr>
                  <w:rFonts w:ascii="Arial" w:cs="Arial" w:eastAsia="Arial" w:hAnsi="Arial"/>
                  <w:sz w:val="18"/>
                  <w:szCs w:val="18"/>
                  <w:color w:val="0000EE"/>
                </w:rPr>
                <w:t>28, 2013</w:t>
              </w:r>
            </w:hyperlink>
          </w:p>
        </w:tc>
        <w:tc>
          <w:tcPr>
            <w:tcW w:w="40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160" w:type="dxa"/>
            <w:vAlign w:val="bottom"/>
            <w:tcBorders>
              <w:top w:val="single" w:sz="8" w:color="0000EE"/>
            </w:tcBorders>
            <w:shd w:val="clear" w:color="auto" w:fill="CCEEFF"/>
          </w:tcPr>
          <w:p>
            <w:pPr>
              <w:spacing w:after="0"/>
              <w:rPr>
                <w:sz w:val="16"/>
                <w:szCs w:val="16"/>
                <w:color w:val="auto"/>
              </w:rPr>
            </w:pPr>
          </w:p>
        </w:tc>
        <w:tc>
          <w:tcPr>
            <w:tcW w:w="260" w:type="dxa"/>
            <w:vAlign w:val="bottom"/>
            <w:tcBorders>
              <w:top w:val="single" w:sz="8" w:color="0000EE"/>
            </w:tcBorders>
            <w:shd w:val="clear" w:color="auto" w:fill="CCEEFF"/>
          </w:tcPr>
          <w:p>
            <w:pPr>
              <w:spacing w:after="0"/>
              <w:rPr>
                <w:sz w:val="16"/>
                <w:szCs w:val="16"/>
                <w:color w:val="auto"/>
              </w:rPr>
            </w:pPr>
          </w:p>
        </w:tc>
        <w:tc>
          <w:tcPr>
            <w:tcW w:w="260" w:type="dxa"/>
            <w:vAlign w:val="bottom"/>
            <w:tcBorders>
              <w:top w:val="single" w:sz="8" w:color="0000EE"/>
            </w:tcBorders>
            <w:shd w:val="clear" w:color="auto" w:fill="CCEEFF"/>
          </w:tcPr>
          <w:p>
            <w:pPr>
              <w:spacing w:after="0"/>
              <w:rPr>
                <w:sz w:val="16"/>
                <w:szCs w:val="16"/>
                <w:color w:val="auto"/>
              </w:rPr>
            </w:pPr>
          </w:p>
        </w:tc>
        <w:tc>
          <w:tcPr>
            <w:tcW w:w="2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1580" w:type="dxa"/>
            <w:vAlign w:val="bottom"/>
            <w:tcBorders>
              <w:top w:val="single" w:sz="8" w:color="0000EE"/>
            </w:tcBorders>
            <w:shd w:val="clear" w:color="auto" w:fill="CCEEFF"/>
          </w:tcPr>
          <w:p>
            <w:pPr>
              <w:spacing w:after="0"/>
              <w:rPr>
                <w:sz w:val="16"/>
                <w:szCs w:val="16"/>
                <w:color w:val="auto"/>
              </w:rPr>
            </w:pPr>
          </w:p>
        </w:tc>
        <w:tc>
          <w:tcPr>
            <w:tcW w:w="28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0000EE"/>
            </w:tcBorders>
            <w:shd w:val="clear" w:color="auto" w:fill="CCEEFF"/>
          </w:tcPr>
          <w:p>
            <w:pPr>
              <w:spacing w:after="0"/>
              <w:rPr>
                <w:sz w:val="16"/>
                <w:szCs w:val="16"/>
                <w:color w:val="auto"/>
              </w:rPr>
            </w:pPr>
          </w:p>
        </w:tc>
        <w:tc>
          <w:tcPr>
            <w:tcW w:w="1860" w:type="dxa"/>
            <w:vAlign w:val="bottom"/>
            <w:tcBorders>
              <w:top w:val="single" w:sz="8" w:color="0000EE"/>
            </w:tcBorders>
            <w:shd w:val="clear" w:color="auto" w:fill="CCEEFF"/>
          </w:tcPr>
          <w:p>
            <w:pPr>
              <w:spacing w:after="0"/>
              <w:rPr>
                <w:sz w:val="16"/>
                <w:szCs w:val="16"/>
                <w:color w:val="auto"/>
              </w:rPr>
            </w:pPr>
          </w:p>
        </w:tc>
        <w:tc>
          <w:tcPr>
            <w:tcW w:w="200" w:type="dxa"/>
            <w:vAlign w:val="bottom"/>
            <w:tcBorders>
              <w:top w:val="single" w:sz="8" w:color="0000EE"/>
            </w:tcBorders>
            <w:shd w:val="clear" w:color="auto" w:fill="CCEEFF"/>
          </w:tcPr>
          <w:p>
            <w:pPr>
              <w:spacing w:after="0"/>
              <w:rPr>
                <w:sz w:val="16"/>
                <w:szCs w:val="16"/>
                <w:color w:val="auto"/>
              </w:rPr>
            </w:pPr>
          </w:p>
        </w:tc>
        <w:tc>
          <w:tcPr>
            <w:tcW w:w="2160" w:type="dxa"/>
            <w:vAlign w:val="bottom"/>
            <w:tcBorders>
              <w:top w:val="single" w:sz="8" w:color="0000EE"/>
            </w:tcBorders>
            <w:shd w:val="clear" w:color="auto" w:fill="CCEEFF"/>
          </w:tcPr>
          <w:p>
            <w:pPr>
              <w:spacing w:after="0"/>
              <w:rPr>
                <w:sz w:val="16"/>
                <w:szCs w:val="16"/>
                <w:color w:val="auto"/>
              </w:rPr>
            </w:pPr>
          </w:p>
        </w:tc>
        <w:tc>
          <w:tcPr>
            <w:tcW w:w="700" w:type="dxa"/>
            <w:vAlign w:val="bottom"/>
            <w:tcBorders>
              <w:top w:val="single" w:sz="8" w:color="0000EE"/>
            </w:tcBorders>
            <w:shd w:val="clear" w:color="auto" w:fill="CCEEFF"/>
          </w:tcPr>
          <w:p>
            <w:pPr>
              <w:spacing w:after="0"/>
              <w:rPr>
                <w:sz w:val="16"/>
                <w:szCs w:val="16"/>
                <w:color w:val="auto"/>
              </w:rPr>
            </w:pPr>
          </w:p>
        </w:tc>
        <w:tc>
          <w:tcPr>
            <w:tcW w:w="240" w:type="dxa"/>
            <w:vAlign w:val="bottom"/>
            <w:tcBorders>
              <w:top w:val="single" w:sz="8" w:color="0000EE"/>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EE"/>
              <w:right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72"/>
        </w:trPr>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4"/>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76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for the Six Months Ended February 28, 2014 and February 28, 2013</w:t>
              </w:r>
            </w:hyperlink>
          </w:p>
        </w:tc>
        <w:tc>
          <w:tcPr>
            <w:tcW w:w="460" w:type="dxa"/>
            <w:vAlign w:val="bottom"/>
            <w:gridSpan w:val="5"/>
          </w:tcPr>
          <w:p>
            <w:pPr>
              <w:jc w:val="right"/>
              <w:ind w:right="4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98"/>
        </w:trPr>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58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18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216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r>
      <w:tr>
        <w:trPr>
          <w:trHeight w:val="224"/>
        </w:trPr>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760" w:type="dxa"/>
            <w:vAlign w:val="bottom"/>
            <w:gridSpan w:val="21"/>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460" w:type="dxa"/>
            <w:vAlign w:val="bottom"/>
            <w:gridSpan w:val="5"/>
            <w:shd w:val="clear" w:color="auto" w:fill="CCEEFF"/>
          </w:tcPr>
          <w:p>
            <w:pPr>
              <w:jc w:val="right"/>
              <w:ind w:right="40"/>
              <w:spacing w:after="0"/>
              <w:rPr>
                <w:rFonts w:ascii="Arial" w:cs="Arial" w:eastAsia="Arial" w:hAnsi="Arial"/>
                <w:sz w:val="18"/>
                <w:szCs w:val="18"/>
                <w:color w:val="0000EE"/>
              </w:rPr>
            </w:pPr>
            <w:hyperlink w:anchor="page8">
              <w:r>
                <w:rPr>
                  <w:rFonts w:ascii="Arial" w:cs="Arial" w:eastAsia="Arial" w:hAnsi="Arial"/>
                  <w:sz w:val="18"/>
                  <w:szCs w:val="18"/>
                  <w:color w:val="0000EE"/>
                </w:rPr>
                <w:t>7-15</w:t>
              </w:r>
            </w:hyperlink>
          </w:p>
        </w:tc>
      </w:tr>
      <w:tr>
        <w:trPr>
          <w:trHeight w:val="98"/>
        </w:trPr>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0000EE"/>
            </w:tcBorders>
            <w:shd w:val="clear" w:color="auto" w:fill="CCEEFF"/>
          </w:tcPr>
          <w:p>
            <w:pPr>
              <w:spacing w:after="0"/>
              <w:rPr>
                <w:sz w:val="8"/>
                <w:szCs w:val="8"/>
                <w:color w:val="auto"/>
              </w:rPr>
            </w:pPr>
          </w:p>
        </w:tc>
        <w:tc>
          <w:tcPr>
            <w:tcW w:w="180" w:type="dxa"/>
            <w:vAlign w:val="bottom"/>
            <w:tcBorders>
              <w:top w:val="single" w:sz="8" w:color="0000EE"/>
            </w:tcBorders>
            <w:shd w:val="clear" w:color="auto" w:fill="CCEEFF"/>
          </w:tcPr>
          <w:p>
            <w:pPr>
              <w:spacing w:after="0"/>
              <w:rPr>
                <w:sz w:val="8"/>
                <w:szCs w:val="8"/>
                <w:color w:val="auto"/>
              </w:rPr>
            </w:pPr>
          </w:p>
        </w:tc>
        <w:tc>
          <w:tcPr>
            <w:tcW w:w="180" w:type="dxa"/>
            <w:vAlign w:val="bottom"/>
            <w:tcBorders>
              <w:top w:val="single" w:sz="8" w:color="0000EE"/>
            </w:tcBorders>
            <w:shd w:val="clear" w:color="auto" w:fill="CCEEFF"/>
          </w:tcPr>
          <w:p>
            <w:pPr>
              <w:spacing w:after="0"/>
              <w:rPr>
                <w:sz w:val="8"/>
                <w:szCs w:val="8"/>
                <w:color w:val="auto"/>
              </w:rPr>
            </w:pPr>
          </w:p>
        </w:tc>
        <w:tc>
          <w:tcPr>
            <w:tcW w:w="40" w:type="dxa"/>
            <w:vAlign w:val="bottom"/>
            <w:tcBorders>
              <w:top w:val="single" w:sz="8" w:color="0000EE"/>
            </w:tcBorders>
            <w:shd w:val="clear" w:color="auto" w:fill="CCEEFF"/>
          </w:tcPr>
          <w:p>
            <w:pPr>
              <w:spacing w:after="0"/>
              <w:rPr>
                <w:sz w:val="8"/>
                <w:szCs w:val="8"/>
                <w:color w:val="auto"/>
              </w:rPr>
            </w:pPr>
          </w:p>
        </w:tc>
        <w:tc>
          <w:tcPr>
            <w:tcW w:w="260" w:type="dxa"/>
            <w:vAlign w:val="bottom"/>
            <w:tcBorders>
              <w:top w:val="single" w:sz="8" w:color="0000EE"/>
            </w:tcBorders>
            <w:shd w:val="clear" w:color="auto" w:fill="CCEEFF"/>
          </w:tcPr>
          <w:p>
            <w:pPr>
              <w:spacing w:after="0"/>
              <w:rPr>
                <w:sz w:val="8"/>
                <w:szCs w:val="8"/>
                <w:color w:val="auto"/>
              </w:rPr>
            </w:pPr>
          </w:p>
        </w:tc>
        <w:tc>
          <w:tcPr>
            <w:tcW w:w="40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160" w:type="dxa"/>
            <w:vAlign w:val="bottom"/>
            <w:tcBorders>
              <w:top w:val="single" w:sz="8" w:color="0000EE"/>
            </w:tcBorders>
            <w:shd w:val="clear" w:color="auto" w:fill="CCEEFF"/>
          </w:tcPr>
          <w:p>
            <w:pPr>
              <w:spacing w:after="0"/>
              <w:rPr>
                <w:sz w:val="8"/>
                <w:szCs w:val="8"/>
                <w:color w:val="auto"/>
              </w:rPr>
            </w:pPr>
          </w:p>
        </w:tc>
        <w:tc>
          <w:tcPr>
            <w:tcW w:w="260" w:type="dxa"/>
            <w:vAlign w:val="bottom"/>
            <w:tcBorders>
              <w:top w:val="single" w:sz="8" w:color="0000EE"/>
            </w:tcBorders>
            <w:shd w:val="clear" w:color="auto" w:fill="CCEEFF"/>
          </w:tcPr>
          <w:p>
            <w:pPr>
              <w:spacing w:after="0"/>
              <w:rPr>
                <w:sz w:val="8"/>
                <w:szCs w:val="8"/>
                <w:color w:val="auto"/>
              </w:rPr>
            </w:pPr>
          </w:p>
        </w:tc>
        <w:tc>
          <w:tcPr>
            <w:tcW w:w="260" w:type="dxa"/>
            <w:vAlign w:val="bottom"/>
            <w:tcBorders>
              <w:top w:val="single" w:sz="8" w:color="0000EE"/>
            </w:tcBorders>
            <w:shd w:val="clear" w:color="auto" w:fill="CCEEFF"/>
          </w:tcPr>
          <w:p>
            <w:pPr>
              <w:spacing w:after="0"/>
              <w:rPr>
                <w:sz w:val="8"/>
                <w:szCs w:val="8"/>
                <w:color w:val="auto"/>
              </w:rPr>
            </w:pPr>
          </w:p>
        </w:tc>
        <w:tc>
          <w:tcPr>
            <w:tcW w:w="280" w:type="dxa"/>
            <w:vAlign w:val="bottom"/>
            <w:tcBorders>
              <w:top w:val="single" w:sz="8" w:color="0000EE"/>
            </w:tcBorders>
            <w:shd w:val="clear" w:color="auto" w:fill="CCEEFF"/>
          </w:tcPr>
          <w:p>
            <w:pPr>
              <w:spacing w:after="0"/>
              <w:rPr>
                <w:sz w:val="8"/>
                <w:szCs w:val="8"/>
                <w:color w:val="auto"/>
              </w:rPr>
            </w:pPr>
          </w:p>
        </w:tc>
        <w:tc>
          <w:tcPr>
            <w:tcW w:w="80" w:type="dxa"/>
            <w:vAlign w:val="bottom"/>
            <w:tcBorders>
              <w:top w:val="single" w:sz="8" w:color="0000EE"/>
            </w:tcBorders>
            <w:shd w:val="clear" w:color="auto" w:fill="CCEEFF"/>
          </w:tcPr>
          <w:p>
            <w:pPr>
              <w:spacing w:after="0"/>
              <w:rPr>
                <w:sz w:val="8"/>
                <w:szCs w:val="8"/>
                <w:color w:val="auto"/>
              </w:rPr>
            </w:pPr>
          </w:p>
        </w:tc>
        <w:tc>
          <w:tcPr>
            <w:tcW w:w="1580" w:type="dxa"/>
            <w:vAlign w:val="bottom"/>
            <w:tcBorders>
              <w:top w:val="single" w:sz="8" w:color="0000EE"/>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1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0000EE"/>
            </w:tcBorders>
            <w:shd w:val="clear" w:color="auto" w:fill="CCEEFF"/>
          </w:tcPr>
          <w:p>
            <w:pPr>
              <w:spacing w:after="0"/>
              <w:rPr>
                <w:sz w:val="8"/>
                <w:szCs w:val="8"/>
                <w:color w:val="auto"/>
              </w:rPr>
            </w:pPr>
          </w:p>
        </w:tc>
        <w:tc>
          <w:tcPr>
            <w:tcW w:w="80" w:type="dxa"/>
            <w:vAlign w:val="bottom"/>
            <w:tcBorders>
              <w:top w:val="single" w:sz="8" w:color="0000EE"/>
            </w:tcBorders>
            <w:shd w:val="clear" w:color="auto" w:fill="CCEEFF"/>
          </w:tcPr>
          <w:p>
            <w:pPr>
              <w:spacing w:after="0"/>
              <w:rPr>
                <w:sz w:val="8"/>
                <w:szCs w:val="8"/>
                <w:color w:val="auto"/>
              </w:rPr>
            </w:pPr>
          </w:p>
        </w:tc>
        <w:tc>
          <w:tcPr>
            <w:tcW w:w="100" w:type="dxa"/>
            <w:vAlign w:val="bottom"/>
            <w:tcBorders>
              <w:top w:val="single" w:sz="8" w:color="0000EE"/>
              <w:right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r>
      <w:tr>
        <w:trPr>
          <w:trHeight w:val="224"/>
        </w:trPr>
        <w:tc>
          <w:tcPr>
            <w:tcW w:w="60" w:type="dxa"/>
            <w:vAlign w:val="bottom"/>
          </w:tcPr>
          <w:p>
            <w:pPr>
              <w:spacing w:after="0"/>
              <w:rPr>
                <w:sz w:val="19"/>
                <w:szCs w:val="19"/>
                <w:color w:val="auto"/>
              </w:rPr>
            </w:pPr>
          </w:p>
        </w:tc>
        <w:tc>
          <w:tcPr>
            <w:tcW w:w="1140" w:type="dxa"/>
            <w:vAlign w:val="bottom"/>
            <w:gridSpan w:val="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976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5"/>
          </w:tcPr>
          <w:p>
            <w:pPr>
              <w:jc w:val="right"/>
              <w:ind w:right="40"/>
              <w:spacing w:after="0"/>
              <w:rPr>
                <w:rFonts w:ascii="Arial" w:cs="Arial" w:eastAsia="Arial" w:hAnsi="Arial"/>
                <w:sz w:val="18"/>
                <w:szCs w:val="18"/>
                <w:color w:val="0000EE"/>
                <w:w w:val="86"/>
              </w:rPr>
            </w:pPr>
            <w:hyperlink w:anchor="page17">
              <w:r>
                <w:rPr>
                  <w:rFonts w:ascii="Arial" w:cs="Arial" w:eastAsia="Arial" w:hAnsi="Arial"/>
                  <w:sz w:val="18"/>
                  <w:szCs w:val="18"/>
                  <w:color w:val="0000EE"/>
                  <w:w w:val="86"/>
                </w:rPr>
                <w:t>16-28</w:t>
              </w:r>
            </w:hyperlink>
          </w:p>
        </w:tc>
      </w:tr>
      <w:tr>
        <w:trPr>
          <w:trHeight w:val="72"/>
        </w:trPr>
        <w:tc>
          <w:tcPr>
            <w:tcW w:w="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4"/>
        </w:trPr>
        <w:tc>
          <w:tcPr>
            <w:tcW w:w="6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9760" w:type="dxa"/>
            <w:vAlign w:val="bottom"/>
            <w:gridSpan w:val="21"/>
            <w:shd w:val="clear" w:color="auto" w:fill="CCEEFF"/>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460" w:type="dxa"/>
            <w:vAlign w:val="bottom"/>
            <w:gridSpan w:val="5"/>
            <w:shd w:val="clear" w:color="auto" w:fill="CCEEFF"/>
          </w:tcPr>
          <w:p>
            <w:pPr>
              <w:jc w:val="right"/>
              <w:ind w:right="4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72"/>
        </w:trPr>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4"/>
        </w:trPr>
        <w:tc>
          <w:tcPr>
            <w:tcW w:w="60" w:type="dxa"/>
            <w:vAlign w:val="bottom"/>
          </w:tcPr>
          <w:p>
            <w:pPr>
              <w:spacing w:after="0"/>
              <w:rPr>
                <w:sz w:val="19"/>
                <w:szCs w:val="19"/>
                <w:color w:val="auto"/>
              </w:rPr>
            </w:pPr>
          </w:p>
        </w:tc>
        <w:tc>
          <w:tcPr>
            <w:tcW w:w="1140" w:type="dxa"/>
            <w:vAlign w:val="bottom"/>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976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60" w:type="dxa"/>
            <w:vAlign w:val="bottom"/>
            <w:gridSpan w:val="5"/>
          </w:tcPr>
          <w:p>
            <w:pPr>
              <w:jc w:val="right"/>
              <w:ind w:right="4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72"/>
        </w:trPr>
        <w:tc>
          <w:tcPr>
            <w:tcW w:w="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4"/>
        </w:trPr>
        <w:tc>
          <w:tcPr>
            <w:tcW w:w="6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9760" w:type="dxa"/>
            <w:vAlign w:val="bottom"/>
            <w:gridSpan w:val="21"/>
            <w:shd w:val="clear" w:color="auto" w:fill="CCEEFF"/>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2"/>
        </w:trPr>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4"/>
        </w:trPr>
        <w:tc>
          <w:tcPr>
            <w:tcW w:w="60" w:type="dxa"/>
            <w:vAlign w:val="bottom"/>
          </w:tcPr>
          <w:p>
            <w:pPr>
              <w:spacing w:after="0"/>
              <w:rPr>
                <w:sz w:val="19"/>
                <w:szCs w:val="19"/>
                <w:color w:val="auto"/>
              </w:rPr>
            </w:pPr>
          </w:p>
        </w:tc>
        <w:tc>
          <w:tcPr>
            <w:tcW w:w="114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976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460" w:type="dxa"/>
            <w:vAlign w:val="bottom"/>
            <w:gridSpan w:val="5"/>
          </w:tcPr>
          <w:p>
            <w:pPr>
              <w:jc w:val="right"/>
              <w:ind w:right="4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72"/>
        </w:trPr>
        <w:tc>
          <w:tcPr>
            <w:tcW w:w="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4"/>
        </w:trPr>
        <w:tc>
          <w:tcPr>
            <w:tcW w:w="6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760" w:type="dxa"/>
            <w:vAlign w:val="bottom"/>
            <w:gridSpan w:val="21"/>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460" w:type="dxa"/>
            <w:vAlign w:val="bottom"/>
            <w:gridSpan w:val="5"/>
            <w:shd w:val="clear" w:color="auto" w:fill="CCEEFF"/>
          </w:tcPr>
          <w:p>
            <w:pPr>
              <w:jc w:val="right"/>
              <w:ind w:right="4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72"/>
        </w:trPr>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4"/>
        </w:trPr>
        <w:tc>
          <w:tcPr>
            <w:tcW w:w="60" w:type="dxa"/>
            <w:vAlign w:val="bottom"/>
          </w:tcPr>
          <w:p>
            <w:pPr>
              <w:spacing w:after="0"/>
              <w:rPr>
                <w:sz w:val="19"/>
                <w:szCs w:val="19"/>
                <w:color w:val="auto"/>
              </w:rPr>
            </w:pPr>
          </w:p>
        </w:tc>
        <w:tc>
          <w:tcPr>
            <w:tcW w:w="114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976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460" w:type="dxa"/>
            <w:vAlign w:val="bottom"/>
            <w:gridSpan w:val="5"/>
          </w:tcPr>
          <w:p>
            <w:pPr>
              <w:jc w:val="right"/>
              <w:ind w:right="4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72"/>
        </w:trPr>
        <w:tc>
          <w:tcPr>
            <w:tcW w:w="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4"/>
        </w:trPr>
        <w:tc>
          <w:tcPr>
            <w:tcW w:w="6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9760" w:type="dxa"/>
            <w:vAlign w:val="bottom"/>
            <w:gridSpan w:val="21"/>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460" w:type="dxa"/>
            <w:vAlign w:val="bottom"/>
            <w:gridSpan w:val="5"/>
            <w:shd w:val="clear" w:color="auto" w:fill="CCEEFF"/>
          </w:tcPr>
          <w:p>
            <w:pPr>
              <w:jc w:val="right"/>
              <w:ind w:right="4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72"/>
        </w:trPr>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4"/>
        </w:trPr>
        <w:tc>
          <w:tcPr>
            <w:tcW w:w="60" w:type="dxa"/>
            <w:vAlign w:val="bottom"/>
          </w:tcPr>
          <w:p>
            <w:pPr>
              <w:spacing w:after="0"/>
              <w:rPr>
                <w:sz w:val="19"/>
                <w:szCs w:val="19"/>
                <w:color w:val="auto"/>
              </w:rPr>
            </w:pPr>
          </w:p>
        </w:tc>
        <w:tc>
          <w:tcPr>
            <w:tcW w:w="114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976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460" w:type="dxa"/>
            <w:vAlign w:val="bottom"/>
            <w:gridSpan w:val="5"/>
          </w:tcPr>
          <w:p>
            <w:pPr>
              <w:jc w:val="right"/>
              <w:ind w:right="4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72"/>
        </w:trPr>
        <w:tc>
          <w:tcPr>
            <w:tcW w:w="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4"/>
        </w:trPr>
        <w:tc>
          <w:tcPr>
            <w:tcW w:w="6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9760" w:type="dxa"/>
            <w:vAlign w:val="bottom"/>
            <w:gridSpan w:val="21"/>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460" w:type="dxa"/>
            <w:vAlign w:val="bottom"/>
            <w:gridSpan w:val="5"/>
            <w:shd w:val="clear" w:color="auto" w:fill="CCEEFF"/>
          </w:tcPr>
          <w:p>
            <w:pPr>
              <w:jc w:val="right"/>
              <w:ind w:right="4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72"/>
        </w:trPr>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4"/>
        </w:trPr>
        <w:tc>
          <w:tcPr>
            <w:tcW w:w="60" w:type="dxa"/>
            <w:vAlign w:val="bottom"/>
          </w:tcPr>
          <w:p>
            <w:pPr>
              <w:spacing w:after="0"/>
              <w:rPr>
                <w:sz w:val="19"/>
                <w:szCs w:val="19"/>
                <w:color w:val="auto"/>
              </w:rPr>
            </w:pPr>
          </w:p>
        </w:tc>
        <w:tc>
          <w:tcPr>
            <w:tcW w:w="114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976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460" w:type="dxa"/>
            <w:vAlign w:val="bottom"/>
            <w:gridSpan w:val="5"/>
          </w:tcPr>
          <w:p>
            <w:pPr>
              <w:jc w:val="right"/>
              <w:ind w:right="4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72"/>
        </w:trPr>
        <w:tc>
          <w:tcPr>
            <w:tcW w:w="6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4"/>
        </w:trPr>
        <w:tc>
          <w:tcPr>
            <w:tcW w:w="60" w:type="dxa"/>
            <w:vAlign w:val="bottom"/>
            <w:shd w:val="clear" w:color="auto" w:fill="CCEEFF"/>
          </w:tcPr>
          <w:p>
            <w:pPr>
              <w:spacing w:after="0"/>
              <w:rPr>
                <w:sz w:val="19"/>
                <w:szCs w:val="19"/>
                <w:color w:val="auto"/>
              </w:rPr>
            </w:pPr>
          </w:p>
        </w:tc>
        <w:tc>
          <w:tcPr>
            <w:tcW w:w="10900" w:type="dxa"/>
            <w:vAlign w:val="bottom"/>
            <w:gridSpan w:val="26"/>
            <w:shd w:val="clear" w:color="auto" w:fill="CCEEFF"/>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 PAGE</w:t>
              </w:r>
            </w:hyperlink>
          </w:p>
        </w:tc>
        <w:tc>
          <w:tcPr>
            <w:tcW w:w="460" w:type="dxa"/>
            <w:vAlign w:val="bottom"/>
            <w:gridSpan w:val="5"/>
            <w:shd w:val="clear" w:color="auto" w:fill="CCEEFF"/>
          </w:tcPr>
          <w:p>
            <w:pPr>
              <w:jc w:val="right"/>
              <w:ind w:right="4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72"/>
        </w:trPr>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4"/>
        </w:trPr>
        <w:tc>
          <w:tcPr>
            <w:tcW w:w="60" w:type="dxa"/>
            <w:vAlign w:val="bottom"/>
          </w:tcPr>
          <w:p>
            <w:pPr>
              <w:spacing w:after="0"/>
              <w:rPr>
                <w:sz w:val="19"/>
                <w:szCs w:val="19"/>
                <w:color w:val="auto"/>
              </w:rPr>
            </w:pPr>
          </w:p>
        </w:tc>
        <w:tc>
          <w:tcPr>
            <w:tcW w:w="1360" w:type="dxa"/>
            <w:vAlign w:val="bottom"/>
            <w:gridSpan w:val="6"/>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EXHIBIT INDEX</w:t>
              </w:r>
            </w:hyperlink>
          </w:p>
        </w:tc>
        <w:tc>
          <w:tcPr>
            <w:tcW w:w="9540" w:type="dxa"/>
            <w:vAlign w:val="bottom"/>
            <w:gridSpan w:val="20"/>
          </w:tcPr>
          <w:p>
            <w:pPr>
              <w:spacing w:after="0"/>
              <w:rPr>
                <w:sz w:val="19"/>
                <w:szCs w:val="19"/>
                <w:color w:val="auto"/>
              </w:rPr>
            </w:pPr>
          </w:p>
        </w:tc>
        <w:tc>
          <w:tcPr>
            <w:tcW w:w="460" w:type="dxa"/>
            <w:vAlign w:val="bottom"/>
            <w:gridSpan w:val="5"/>
          </w:tcPr>
          <w:p>
            <w:pPr>
              <w:jc w:val="right"/>
              <w:ind w:right="4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_________________</w:t>
      </w:r>
    </w:p>
    <w:p>
      <w:pPr>
        <w:spacing w:after="0" w:line="240"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t>_________________</w:t>
      </w:r>
    </w:p>
    <w:p>
      <w:pPr>
        <w:spacing w:after="0" w:line="240"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subsidiaries, Zerust Prevenção de Corrosão S.A., NTI Asean LLC and Northern Technologies India Private Limited, all of which are consolidated on NTIC’s consolidated financial statements.</w:t>
      </w:r>
    </w:p>
    <w:p>
      <w:pPr>
        <w:spacing w:after="0" w:line="220" w:lineRule="exact"/>
        <w:rPr>
          <w:sz w:val="20"/>
          <w:szCs w:val="20"/>
          <w:color w:val="auto"/>
        </w:rPr>
      </w:pPr>
    </w:p>
    <w:p>
      <w:pPr>
        <w:spacing w:after="0" w:line="248"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(1) NTIC’s majority owned Brazilian subsidiary, Zerust Prevenção de Corrosão S.A.; (2) NTIC’s majority owned subsidiary, NTI Asean LLC, which is a holding company that holds investments in eight entities that operate in the Association of Southeast Asian Nations (ASEAN) region, including the following countries: China, Indonesia, Korea, Malaysia, Philippines, Singapore, Taiwan and Thailand; or (3) NTIC’s majority owned subsidiary, Northern Technologies India Private Limited, in India.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“Zerust Brazil” refer to NTIC’s majority owned Brazilian subsidiary, Zerust Prevenção de Corrosão S.A.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 Asean” refer to NTIC’s majority owned holding company subsidiary, NTI Asean LLC.</w:t>
      </w:r>
    </w:p>
    <w:p>
      <w:pPr>
        <w:spacing w:after="0" w:line="24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i w:val="1"/>
          <w:iCs w:val="1"/>
          <w:color w:val="auto"/>
        </w:rPr>
        <w:t>As used in this report, references to “NTI India” refer to NTIC’s recently formed majority owned subsidiary in India, Northern Technologies India Private Limited.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used in this report, references to “EXCOR” refer to NTIC’s primary joint venture in Germany, Excor Korrosionsschutz – Technologien und Produkte GmbH.</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340"/>
          </w:cols>
          <w:pgMar w:left="240" w:top="27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80" w:type="dxa"/>
            <w:vAlign w:val="bottom"/>
          </w:tcPr>
          <w:p>
            <w:pPr>
              <w:ind w:left="36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FEBRUARY 28, 2014 (UNAUDITED)</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2013 (AUDITED)</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680" w:type="dxa"/>
            <w:vAlign w:val="bottom"/>
            <w:gridSpan w:val="3"/>
          </w:tcPr>
          <w:p>
            <w:pPr>
              <w:ind w:left="220"/>
              <w:spacing w:after="0"/>
              <w:rPr>
                <w:sz w:val="20"/>
                <w:szCs w:val="20"/>
                <w:color w:val="auto"/>
              </w:rPr>
            </w:pPr>
            <w:r>
              <w:rPr>
                <w:rFonts w:ascii="Arial" w:cs="Arial" w:eastAsia="Arial" w:hAnsi="Arial"/>
                <w:sz w:val="18"/>
                <w:szCs w:val="18"/>
                <w:b w:val="1"/>
                <w:bCs w:val="1"/>
                <w:color w:val="auto"/>
                <w:w w:val="94"/>
              </w:rPr>
              <w:t>February 28, 2014</w:t>
            </w:r>
          </w:p>
        </w:tc>
        <w:tc>
          <w:tcPr>
            <w:tcW w:w="1420" w:type="dxa"/>
            <w:vAlign w:val="bottom"/>
            <w:gridSpan w:val="4"/>
          </w:tcPr>
          <w:p>
            <w:pPr>
              <w:ind w:left="120"/>
              <w:spacing w:after="0"/>
              <w:rPr>
                <w:sz w:val="20"/>
                <w:szCs w:val="20"/>
                <w:color w:val="auto"/>
              </w:rPr>
            </w:pPr>
            <w:r>
              <w:rPr>
                <w:rFonts w:ascii="Arial" w:cs="Arial" w:eastAsia="Arial" w:hAnsi="Arial"/>
                <w:sz w:val="18"/>
                <w:szCs w:val="18"/>
                <w:b w:val="1"/>
                <w:bCs w:val="1"/>
                <w:color w:val="auto"/>
                <w:w w:val="93"/>
              </w:rPr>
              <w:t>August 31,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ASSETS</w:t>
            </w:r>
          </w:p>
        </w:tc>
        <w:tc>
          <w:tcPr>
            <w:tcW w:w="7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6,996,127</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4,314,258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20" w:type="dxa"/>
            <w:vAlign w:val="bottom"/>
            <w:gridSpan w:val="2"/>
            <w:shd w:val="clear" w:color="auto" w:fill="CCEEFF"/>
          </w:tcPr>
          <w:p>
            <w:pPr>
              <w:ind w:left="620"/>
              <w:spacing w:after="0" w:line="198" w:lineRule="exact"/>
              <w:rPr>
                <w:sz w:val="20"/>
                <w:szCs w:val="20"/>
                <w:color w:val="auto"/>
              </w:rPr>
            </w:pPr>
            <w:r>
              <w:rPr>
                <w:rFonts w:ascii="Arial" w:cs="Arial" w:eastAsia="Arial" w:hAnsi="Arial"/>
                <w:sz w:val="18"/>
                <w:szCs w:val="18"/>
                <w:color w:val="auto"/>
                <w:w w:val="91"/>
              </w:rPr>
              <w:t>Trade excluding joint ventures, less allowance for doubtful accounts of $40,000 at February 28, 2014 and</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$20,000 at August 31, 2013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3,260,411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3,329,995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620"/>
              <w:spacing w:after="0"/>
              <w:rPr>
                <w:sz w:val="20"/>
                <w:szCs w:val="20"/>
                <w:color w:val="auto"/>
              </w:rPr>
            </w:pPr>
            <w:r>
              <w:rPr>
                <w:rFonts w:ascii="Arial" w:cs="Arial" w:eastAsia="Arial" w:hAnsi="Arial"/>
                <w:sz w:val="18"/>
                <w:szCs w:val="18"/>
                <w:color w:val="auto"/>
              </w:rPr>
              <w:t>Trade joint ventures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536,532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859,434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Fees for services provided to joint ventures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2,816,043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2,446,017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62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356,947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144,939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5,370,201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5,111,549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582,289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258,765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467,548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467,548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580" w:type="dxa"/>
            <w:vAlign w:val="bottom"/>
          </w:tcPr>
          <w:p>
            <w:pPr>
              <w:ind w:left="200"/>
              <w:spacing w:after="0" w:line="204" w:lineRule="exact"/>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rPr>
              <w:t>20,386,098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rPr>
              <w:t>16,932,505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5,431,316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5,323,612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Investments in joint ventures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22,653,710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24,702,981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1,034,212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1,034,212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Patents and trademarks, net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1,138,698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1,060,639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w w:val="93"/>
              </w:rPr>
              <w:t>Other</w:t>
            </w:r>
          </w:p>
        </w:tc>
        <w:tc>
          <w:tcPr>
            <w:tcW w:w="7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177,273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20" w:type="dxa"/>
            <w:vAlign w:val="bottom"/>
            <w:tcBorders>
              <w:bottom w:val="single" w:sz="8" w:color="CCEEFF"/>
            </w:tcBorders>
            <w:gridSpan w:val="2"/>
            <w:shd w:val="clear" w:color="auto" w:fill="CCEEFF"/>
          </w:tcPr>
          <w:p>
            <w:pPr>
              <w:ind w:left="620"/>
              <w:spacing w:after="0" w:line="204" w:lineRule="exact"/>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25,003,893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26,797,832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580" w:type="dxa"/>
            <w:vAlign w:val="bottom"/>
          </w:tcPr>
          <w:p>
            <w:pPr>
              <w:ind w:left="200"/>
              <w:spacing w:after="0" w:line="204" w:lineRule="exact"/>
              <w:rPr>
                <w:sz w:val="20"/>
                <w:szCs w:val="20"/>
                <w:color w:val="auto"/>
              </w:rPr>
            </w:pPr>
            <w:r>
              <w:rPr>
                <w:rFonts w:ascii="Arial" w:cs="Arial" w:eastAsia="Arial" w:hAnsi="Arial"/>
                <w:sz w:val="18"/>
                <w:szCs w:val="18"/>
                <w:color w:val="auto"/>
              </w:rPr>
              <w:t>Total assets</w:t>
            </w:r>
          </w:p>
        </w:tc>
        <w:tc>
          <w:tcPr>
            <w:tcW w:w="540" w:type="dxa"/>
            <w:vAlign w:val="bottom"/>
            <w:gridSpan w:val="2"/>
          </w:tcPr>
          <w:p>
            <w:pPr>
              <w:ind w:left="220"/>
              <w:spacing w:after="0" w:line="204"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50,821,307</w:t>
            </w:r>
          </w:p>
        </w:tc>
        <w:tc>
          <w:tcPr>
            <w:tcW w:w="360" w:type="dxa"/>
            <w:vAlign w:val="bottom"/>
            <w:gridSpan w:val="2"/>
          </w:tcPr>
          <w:p>
            <w:pPr>
              <w:ind w:left="120"/>
              <w:spacing w:after="0" w:line="204"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49,053,949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Current portion of note payable (Note 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1,261,616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1,830,729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Payroll and related benefits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1,027,069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1,277,942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620"/>
              <w:spacing w:after="0"/>
              <w:rPr>
                <w:sz w:val="20"/>
                <w:szCs w:val="20"/>
                <w:color w:val="auto"/>
              </w:rPr>
            </w:pPr>
            <w:r>
              <w:rPr>
                <w:rFonts w:ascii="Arial" w:cs="Arial" w:eastAsia="Arial" w:hAnsi="Arial"/>
                <w:sz w:val="18"/>
                <w:szCs w:val="18"/>
                <w:color w:val="auto"/>
              </w:rPr>
              <w:t>Deferred joint venture royalties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288,000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118,510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189,263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580" w:type="dxa"/>
            <w:vAlign w:val="bottom"/>
          </w:tcPr>
          <w:p>
            <w:pPr>
              <w:ind w:left="360"/>
              <w:spacing w:after="0" w:line="204"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2,695,195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3,662,053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Arial" w:cs="Arial" w:eastAsia="Arial" w:hAnsi="Arial"/>
                <w:sz w:val="18"/>
                <w:szCs w:val="18"/>
                <w:color w:val="auto"/>
              </w:rPr>
              <w:t>NOTE PAYABLE, NET OF CURRENT PORTION (Note 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857,295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20" w:type="dxa"/>
            <w:vAlign w:val="bottom"/>
            <w:gridSpan w:val="2"/>
          </w:tcPr>
          <w:p>
            <w:pPr>
              <w:ind w:left="300"/>
              <w:spacing w:after="0" w:line="198" w:lineRule="exact"/>
              <w:rPr>
                <w:sz w:val="20"/>
                <w:szCs w:val="20"/>
                <w:color w:val="auto"/>
              </w:rPr>
            </w:pPr>
            <w:r>
              <w:rPr>
                <w:rFonts w:ascii="Arial" w:cs="Arial" w:eastAsia="Arial" w:hAnsi="Arial"/>
                <w:sz w:val="18"/>
                <w:szCs w:val="18"/>
                <w:color w:val="auto"/>
                <w:w w:val="89"/>
              </w:rPr>
              <w:t>Common stock, $0.02 par value per share; authorized 10,000,000 shares; issued and outstanding 4,434,837 and</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ind w:left="460"/>
              <w:spacing w:after="0"/>
              <w:rPr>
                <w:sz w:val="20"/>
                <w:szCs w:val="20"/>
                <w:color w:val="auto"/>
              </w:rPr>
            </w:pPr>
            <w:r>
              <w:rPr>
                <w:rFonts w:ascii="Arial" w:cs="Arial" w:eastAsia="Arial" w:hAnsi="Arial"/>
                <w:sz w:val="18"/>
                <w:szCs w:val="18"/>
                <w:color w:val="auto"/>
              </w:rPr>
              <w:t>4,432,036, respectively</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88,697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88,641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11,967,414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11,701,942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30,510,558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28,626,928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933,423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316,161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580" w:type="dxa"/>
            <w:vAlign w:val="bottom"/>
          </w:tcPr>
          <w:p>
            <w:pPr>
              <w:ind w:left="200"/>
              <w:spacing w:after="0" w:line="204" w:lineRule="exact"/>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43,500,092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40,733,672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4,626,020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3,800,929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580" w:type="dxa"/>
            <w:vAlign w:val="bottom"/>
          </w:tcPr>
          <w:p>
            <w:pPr>
              <w:ind w:left="200"/>
              <w:spacing w:after="0" w:line="204" w:lineRule="exact"/>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rPr>
              <w:t>48,126,112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rPr>
              <w:t>44,534,601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580" w:type="dxa"/>
            <w:vAlign w:val="bottom"/>
            <w:shd w:val="clear" w:color="auto" w:fill="CCEEFF"/>
          </w:tcPr>
          <w:p>
            <w:pPr>
              <w:ind w:left="200"/>
              <w:spacing w:after="0" w:line="204" w:lineRule="exact"/>
              <w:rPr>
                <w:sz w:val="20"/>
                <w:szCs w:val="20"/>
                <w:color w:val="auto"/>
              </w:rPr>
            </w:pPr>
            <w:r>
              <w:rPr>
                <w:rFonts w:ascii="Arial" w:cs="Arial" w:eastAsia="Arial" w:hAnsi="Arial"/>
                <w:sz w:val="18"/>
                <w:szCs w:val="18"/>
                <w:color w:val="auto"/>
              </w:rPr>
              <w:t>Total liabilities and equity</w:t>
            </w:r>
          </w:p>
        </w:tc>
        <w:tc>
          <w:tcPr>
            <w:tcW w:w="540" w:type="dxa"/>
            <w:vAlign w:val="bottom"/>
            <w:gridSpan w:val="2"/>
            <w:shd w:val="clear" w:color="auto" w:fill="CCEEFF"/>
          </w:tcPr>
          <w:p>
            <w:pPr>
              <w:ind w:left="220"/>
              <w:spacing w:after="0" w:line="204"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50,821,307</w:t>
            </w:r>
          </w:p>
        </w:tc>
        <w:tc>
          <w:tcPr>
            <w:tcW w:w="360" w:type="dxa"/>
            <w:vAlign w:val="bottom"/>
            <w:gridSpan w:val="2"/>
            <w:shd w:val="clear" w:color="auto" w:fill="CCEEFF"/>
          </w:tcPr>
          <w:p>
            <w:pPr>
              <w:ind w:left="120"/>
              <w:spacing w:after="0" w:line="204"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49,053,949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40"/>
          </w:cols>
          <w:pgMar w:left="240" w:top="266"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28,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66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48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w w:val="94"/>
              </w:rPr>
              <w:t>February 28, 2014</w:t>
            </w:r>
          </w:p>
        </w:tc>
        <w:tc>
          <w:tcPr>
            <w:tcW w:w="148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w w:val="94"/>
              </w:rPr>
              <w:t>February 28, 2013</w:t>
            </w:r>
          </w:p>
        </w:tc>
        <w:tc>
          <w:tcPr>
            <w:tcW w:w="150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w w:val="95"/>
              </w:rPr>
              <w:t>February 28, 2014</w:t>
            </w:r>
          </w:p>
        </w:tc>
        <w:tc>
          <w:tcPr>
            <w:tcW w:w="142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w w:val="92"/>
              </w:rPr>
              <w:t>February 28,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Borders>
              <w:right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Net sales, excluding joint ventures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5,527,366</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4,485,203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11,132,384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9,255,590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sales, to joint ventures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691,642</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761,147</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1,395,724</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1,282,507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tcPr>
          <w:p>
            <w:pPr>
              <w:ind w:left="620"/>
              <w:spacing w:after="0" w:line="204" w:lineRule="exact"/>
              <w:rPr>
                <w:sz w:val="20"/>
                <w:szCs w:val="20"/>
                <w:color w:val="auto"/>
              </w:rPr>
            </w:pPr>
            <w:r>
              <w:rPr>
                <w:rFonts w:ascii="Arial" w:cs="Arial" w:eastAsia="Arial" w:hAnsi="Arial"/>
                <w:sz w:val="18"/>
                <w:szCs w:val="18"/>
                <w:color w:val="auto"/>
              </w:rPr>
              <w:t>Total net sales</w:t>
            </w:r>
          </w:p>
        </w:tc>
        <w:tc>
          <w:tcPr>
            <w:tcW w:w="360" w:type="dxa"/>
            <w:vAlign w:val="bottom"/>
          </w:tcPr>
          <w:p>
            <w:pPr>
              <w:spacing w:after="0"/>
              <w:rPr>
                <w:sz w:val="17"/>
                <w:szCs w:val="17"/>
                <w:color w:val="auto"/>
              </w:rPr>
            </w:pPr>
          </w:p>
        </w:tc>
        <w:tc>
          <w:tcPr>
            <w:tcW w:w="1120" w:type="dxa"/>
            <w:vAlign w:val="bottom"/>
          </w:tcPr>
          <w:p>
            <w:pPr>
              <w:jc w:val="right"/>
              <w:ind w:right="32"/>
              <w:spacing w:after="0" w:line="204" w:lineRule="exact"/>
              <w:rPr>
                <w:sz w:val="20"/>
                <w:szCs w:val="20"/>
                <w:color w:val="auto"/>
              </w:rPr>
            </w:pPr>
            <w:r>
              <w:rPr>
                <w:rFonts w:ascii="Arial" w:cs="Arial" w:eastAsia="Arial" w:hAnsi="Arial"/>
                <w:sz w:val="18"/>
                <w:szCs w:val="18"/>
                <w:color w:val="auto"/>
              </w:rPr>
              <w:t>6,219,008</w:t>
            </w:r>
          </w:p>
        </w:tc>
        <w:tc>
          <w:tcPr>
            <w:tcW w:w="380" w:type="dxa"/>
            <w:vAlign w:val="bottom"/>
          </w:tcPr>
          <w:p>
            <w:pPr>
              <w:spacing w:after="0"/>
              <w:rPr>
                <w:sz w:val="17"/>
                <w:szCs w:val="17"/>
                <w:color w:val="auto"/>
              </w:rPr>
            </w:pPr>
          </w:p>
        </w:tc>
        <w:tc>
          <w:tcPr>
            <w:tcW w:w="1100" w:type="dxa"/>
            <w:vAlign w:val="bottom"/>
          </w:tcPr>
          <w:p>
            <w:pPr>
              <w:jc w:val="right"/>
              <w:ind w:right="32"/>
              <w:spacing w:after="0" w:line="204" w:lineRule="exact"/>
              <w:rPr>
                <w:sz w:val="20"/>
                <w:szCs w:val="20"/>
                <w:color w:val="auto"/>
              </w:rPr>
            </w:pPr>
            <w:r>
              <w:rPr>
                <w:rFonts w:ascii="Arial" w:cs="Arial" w:eastAsia="Arial" w:hAnsi="Arial"/>
                <w:sz w:val="18"/>
                <w:szCs w:val="18"/>
                <w:color w:val="auto"/>
              </w:rPr>
              <w:t>5,246,350</w:t>
            </w:r>
          </w:p>
        </w:tc>
        <w:tc>
          <w:tcPr>
            <w:tcW w:w="340" w:type="dxa"/>
            <w:vAlign w:val="bottom"/>
          </w:tcPr>
          <w:p>
            <w:pPr>
              <w:spacing w:after="0"/>
              <w:rPr>
                <w:sz w:val="17"/>
                <w:szCs w:val="17"/>
                <w:color w:val="auto"/>
              </w:rPr>
            </w:pPr>
          </w:p>
        </w:tc>
        <w:tc>
          <w:tcPr>
            <w:tcW w:w="1160" w:type="dxa"/>
            <w:vAlign w:val="bottom"/>
          </w:tcPr>
          <w:p>
            <w:pPr>
              <w:jc w:val="right"/>
              <w:ind w:right="32"/>
              <w:spacing w:after="0" w:line="204" w:lineRule="exact"/>
              <w:rPr>
                <w:sz w:val="20"/>
                <w:szCs w:val="20"/>
                <w:color w:val="auto"/>
              </w:rPr>
            </w:pPr>
            <w:r>
              <w:rPr>
                <w:rFonts w:ascii="Arial" w:cs="Arial" w:eastAsia="Arial" w:hAnsi="Arial"/>
                <w:sz w:val="18"/>
                <w:szCs w:val="18"/>
                <w:color w:val="auto"/>
              </w:rPr>
              <w:t>12,528,108</w:t>
            </w:r>
          </w:p>
        </w:tc>
        <w:tc>
          <w:tcPr>
            <w:tcW w:w="32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10,538,097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4,051,833</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3,633,913</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8,209,864</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7,324,885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tcBorders>
              <w:right w:val="single" w:sz="8" w:color="CCEEFF"/>
            </w:tcBorders>
            <w:shd w:val="clear" w:color="auto" w:fill="CCEEFF"/>
          </w:tcPr>
          <w:p>
            <w:pPr>
              <w:ind w:left="620"/>
              <w:spacing w:after="0" w:line="204" w:lineRule="exact"/>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2,167,175</w:t>
            </w:r>
          </w:p>
        </w:tc>
        <w:tc>
          <w:tcPr>
            <w:tcW w:w="3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1,612,437</w:t>
            </w:r>
          </w:p>
        </w:tc>
        <w:tc>
          <w:tcPr>
            <w:tcW w:w="34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4,318,244</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3,213,212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Equity in income of joint ventures</w:t>
            </w:r>
          </w:p>
        </w:tc>
        <w:tc>
          <w:tcPr>
            <w:tcW w:w="3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1,395,451</w:t>
            </w:r>
          </w:p>
        </w:tc>
        <w:tc>
          <w:tcPr>
            <w:tcW w:w="3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1,138,438</w:t>
            </w:r>
          </w:p>
        </w:tc>
        <w:tc>
          <w:tcPr>
            <w:tcW w:w="34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2,823,199</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2,292,734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Fees for services provided to joint ventures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2,057,671</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1,770,881</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4,167,319</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3,617,158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tcPr>
          <w:p>
            <w:pPr>
              <w:ind w:left="620"/>
              <w:spacing w:after="0" w:line="204" w:lineRule="exact"/>
              <w:rPr>
                <w:sz w:val="20"/>
                <w:szCs w:val="20"/>
                <w:color w:val="auto"/>
              </w:rPr>
            </w:pPr>
            <w:r>
              <w:rPr>
                <w:rFonts w:ascii="Arial" w:cs="Arial" w:eastAsia="Arial" w:hAnsi="Arial"/>
                <w:sz w:val="18"/>
                <w:szCs w:val="18"/>
                <w:color w:val="auto"/>
              </w:rPr>
              <w:t>Total joint venture operations</w:t>
            </w:r>
          </w:p>
        </w:tc>
        <w:tc>
          <w:tcPr>
            <w:tcW w:w="360" w:type="dxa"/>
            <w:vAlign w:val="bottom"/>
          </w:tcPr>
          <w:p>
            <w:pPr>
              <w:spacing w:after="0"/>
              <w:rPr>
                <w:sz w:val="17"/>
                <w:szCs w:val="17"/>
                <w:color w:val="auto"/>
              </w:rPr>
            </w:pPr>
          </w:p>
        </w:tc>
        <w:tc>
          <w:tcPr>
            <w:tcW w:w="1120" w:type="dxa"/>
            <w:vAlign w:val="bottom"/>
          </w:tcPr>
          <w:p>
            <w:pPr>
              <w:jc w:val="right"/>
              <w:ind w:right="32"/>
              <w:spacing w:after="0" w:line="204" w:lineRule="exact"/>
              <w:rPr>
                <w:sz w:val="20"/>
                <w:szCs w:val="20"/>
                <w:color w:val="auto"/>
              </w:rPr>
            </w:pPr>
            <w:r>
              <w:rPr>
                <w:rFonts w:ascii="Arial" w:cs="Arial" w:eastAsia="Arial" w:hAnsi="Arial"/>
                <w:sz w:val="18"/>
                <w:szCs w:val="18"/>
                <w:color w:val="auto"/>
              </w:rPr>
              <w:t>3,453,122</w:t>
            </w:r>
          </w:p>
        </w:tc>
        <w:tc>
          <w:tcPr>
            <w:tcW w:w="380" w:type="dxa"/>
            <w:vAlign w:val="bottom"/>
          </w:tcPr>
          <w:p>
            <w:pPr>
              <w:spacing w:after="0"/>
              <w:rPr>
                <w:sz w:val="17"/>
                <w:szCs w:val="17"/>
                <w:color w:val="auto"/>
              </w:rPr>
            </w:pPr>
          </w:p>
        </w:tc>
        <w:tc>
          <w:tcPr>
            <w:tcW w:w="1100" w:type="dxa"/>
            <w:vAlign w:val="bottom"/>
          </w:tcPr>
          <w:p>
            <w:pPr>
              <w:jc w:val="right"/>
              <w:ind w:right="32"/>
              <w:spacing w:after="0" w:line="204" w:lineRule="exact"/>
              <w:rPr>
                <w:sz w:val="20"/>
                <w:szCs w:val="20"/>
                <w:color w:val="auto"/>
              </w:rPr>
            </w:pPr>
            <w:r>
              <w:rPr>
                <w:rFonts w:ascii="Arial" w:cs="Arial" w:eastAsia="Arial" w:hAnsi="Arial"/>
                <w:sz w:val="18"/>
                <w:szCs w:val="18"/>
                <w:color w:val="auto"/>
              </w:rPr>
              <w:t>2,909,319</w:t>
            </w:r>
          </w:p>
        </w:tc>
        <w:tc>
          <w:tcPr>
            <w:tcW w:w="340" w:type="dxa"/>
            <w:vAlign w:val="bottom"/>
          </w:tcPr>
          <w:p>
            <w:pPr>
              <w:spacing w:after="0"/>
              <w:rPr>
                <w:sz w:val="17"/>
                <w:szCs w:val="17"/>
                <w:color w:val="auto"/>
              </w:rPr>
            </w:pPr>
          </w:p>
        </w:tc>
        <w:tc>
          <w:tcPr>
            <w:tcW w:w="1160" w:type="dxa"/>
            <w:vAlign w:val="bottom"/>
          </w:tcPr>
          <w:p>
            <w:pPr>
              <w:jc w:val="right"/>
              <w:ind w:right="32"/>
              <w:spacing w:after="0" w:line="204" w:lineRule="exact"/>
              <w:rPr>
                <w:sz w:val="20"/>
                <w:szCs w:val="20"/>
                <w:color w:val="auto"/>
              </w:rPr>
            </w:pPr>
            <w:r>
              <w:rPr>
                <w:rFonts w:ascii="Arial" w:cs="Arial" w:eastAsia="Arial" w:hAnsi="Arial"/>
                <w:sz w:val="18"/>
                <w:szCs w:val="18"/>
                <w:color w:val="auto"/>
              </w:rPr>
              <w:t>6,990,518</w:t>
            </w:r>
          </w:p>
        </w:tc>
        <w:tc>
          <w:tcPr>
            <w:tcW w:w="32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5,909,892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Selling expenses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1,291,316</w:t>
            </w:r>
          </w:p>
        </w:tc>
        <w:tc>
          <w:tcPr>
            <w:tcW w:w="3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1,174,065</w:t>
            </w:r>
          </w:p>
        </w:tc>
        <w:tc>
          <w:tcPr>
            <w:tcW w:w="3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2,610,202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1,209,933</w:t>
            </w:r>
          </w:p>
        </w:tc>
        <w:tc>
          <w:tcPr>
            <w:tcW w:w="3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1,143,987</w:t>
            </w:r>
          </w:p>
        </w:tc>
        <w:tc>
          <w:tcPr>
            <w:tcW w:w="34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2,597,429</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2,392,683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Expenses incurred in support of joint ventures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366,469</w:t>
            </w:r>
          </w:p>
        </w:tc>
        <w:tc>
          <w:tcPr>
            <w:tcW w:w="3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321,456</w:t>
            </w:r>
          </w:p>
        </w:tc>
        <w:tc>
          <w:tcPr>
            <w:tcW w:w="3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695,733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1,099,345</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912,393</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2,237,865</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1,850,599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tcBorders>
              <w:right w:val="single" w:sz="8" w:color="CCEEFF"/>
            </w:tcBorders>
            <w:shd w:val="clear" w:color="auto" w:fill="CCEEFF"/>
          </w:tcPr>
          <w:p>
            <w:pPr>
              <w:ind w:left="620"/>
              <w:spacing w:after="0" w:line="204" w:lineRule="exact"/>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3,967,063</w:t>
            </w:r>
          </w:p>
        </w:tc>
        <w:tc>
          <w:tcPr>
            <w:tcW w:w="3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3,551,901</w:t>
            </w:r>
          </w:p>
        </w:tc>
        <w:tc>
          <w:tcPr>
            <w:tcW w:w="34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8,141,229</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7,279,585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1,653,234</w:t>
            </w:r>
          </w:p>
        </w:tc>
        <w:tc>
          <w:tcPr>
            <w:tcW w:w="3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969,855</w:t>
            </w:r>
          </w:p>
        </w:tc>
        <w:tc>
          <w:tcPr>
            <w:tcW w:w="3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3,167,533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1,843,519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2,570</w:t>
            </w:r>
          </w:p>
        </w:tc>
        <w:tc>
          <w:tcPr>
            <w:tcW w:w="3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22,288</w:t>
            </w:r>
          </w:p>
        </w:tc>
        <w:tc>
          <w:tcPr>
            <w:tcW w:w="3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(11,976)</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(25,646)</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1,643,828</w:t>
            </w:r>
          </w:p>
        </w:tc>
        <w:tc>
          <w:tcPr>
            <w:tcW w:w="3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985,155</w:t>
            </w:r>
          </w:p>
        </w:tc>
        <w:tc>
          <w:tcPr>
            <w:tcW w:w="34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3,146,246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1,877,691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259,759</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240,000</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457,759</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1,384,069</w:t>
            </w:r>
          </w:p>
        </w:tc>
        <w:tc>
          <w:tcPr>
            <w:tcW w:w="3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745,155</w:t>
            </w:r>
          </w:p>
        </w:tc>
        <w:tc>
          <w:tcPr>
            <w:tcW w:w="34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2,688,487</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1,503,691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359,025</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310,745</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804,857</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NET INCOME ATTRIBUTABLE TO NTIC</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1,025,044</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434,410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1,883,630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824,032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56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INCOME ATTRIBUTABLE TO NTIC PER COMMON SHARE: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Borders>
              <w:right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94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0.22</w:t>
            </w:r>
          </w:p>
        </w:tc>
        <w:tc>
          <w:tcPr>
            <w:tcW w:w="3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0.10</w:t>
            </w:r>
          </w:p>
        </w:tc>
        <w:tc>
          <w:tcPr>
            <w:tcW w:w="3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0.41</w:t>
            </w:r>
          </w:p>
        </w:tc>
        <w:tc>
          <w:tcPr>
            <w:tcW w:w="32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56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4"/>
              </w:rPr>
              <w:t>WEIGHTED AVERAGE COMMON SHARES ASSUMED OUTSTANDING:</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CEEFF"/>
              <w:right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4,434,837</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4,418,821</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4,434,770</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4,409,954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94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4,579,603</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4,485,076</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4,566,103</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4,460,197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520"/>
          </w:cols>
          <w:pgMar w:left="240" w:top="476" w:right="139" w:bottom="1440" w:gutter="0" w:footer="0" w:header="0"/>
        </w:sectPr>
      </w:pPr>
    </w:p>
    <w:bookmarkStart w:id="5" w:name="page6"/>
    <w:bookmarkEnd w:id="5"/>
    <w:p>
      <w:pPr>
        <w:ind w:right="4340"/>
        <w:spacing w:after="0" w:line="303" w:lineRule="auto"/>
        <w:rPr>
          <w:sz w:val="20"/>
          <w:szCs w:val="20"/>
          <w:color w:val="auto"/>
        </w:rPr>
      </w:pPr>
      <w:r>
        <w:rPr>
          <w:rFonts w:ascii="Arial" w:cs="Arial" w:eastAsia="Arial" w:hAnsi="Arial"/>
          <w:sz w:val="16"/>
          <w:szCs w:val="16"/>
          <w:b w:val="1"/>
          <w:bCs w:val="1"/>
          <w:color w:val="auto"/>
        </w:rPr>
        <w:t>NORTHERN TECHNOLOGIES INTERNATIONAL CORPORATION AND SUBSIDIARIES CONSOLIDATED STATEMENTS OF COMPREHENSIVE INCOME (UNAUDITED) FOR THE THREE AND SIX MONTHS ENDED FEBRUARY 28,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66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8"/>
                <w:szCs w:val="18"/>
                <w:b w:val="1"/>
                <w:bCs w:val="1"/>
                <w:color w:val="auto"/>
              </w:rPr>
              <w:t>Six Months Ended</w:t>
            </w:r>
          </w:p>
        </w:tc>
      </w:tr>
      <w:tr>
        <w:trPr>
          <w:trHeight w:val="186"/>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220" w:type="dxa"/>
            <w:vAlign w:val="bottom"/>
            <w:gridSpan w:val="2"/>
          </w:tcPr>
          <w:p>
            <w:pPr>
              <w:jc w:val="right"/>
              <w:ind w:right="92"/>
              <w:spacing w:after="0" w:line="186"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1200" w:type="dxa"/>
            <w:vAlign w:val="bottom"/>
            <w:gridSpan w:val="2"/>
          </w:tcPr>
          <w:p>
            <w:pPr>
              <w:jc w:val="right"/>
              <w:ind w:right="72"/>
              <w:spacing w:after="0" w:line="186"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1160" w:type="dxa"/>
            <w:vAlign w:val="bottom"/>
            <w:gridSpan w:val="2"/>
          </w:tcPr>
          <w:p>
            <w:pPr>
              <w:jc w:val="right"/>
              <w:ind w:right="52"/>
              <w:spacing w:after="0" w:line="186" w:lineRule="exact"/>
              <w:rPr>
                <w:sz w:val="20"/>
                <w:szCs w:val="20"/>
                <w:color w:val="auto"/>
              </w:rPr>
            </w:pPr>
            <w:r>
              <w:rPr>
                <w:rFonts w:ascii="Arial" w:cs="Arial" w:eastAsia="Arial" w:hAnsi="Arial"/>
                <w:sz w:val="18"/>
                <w:szCs w:val="18"/>
                <w:b w:val="1"/>
                <w:bCs w:val="1"/>
                <w:color w:val="auto"/>
                <w:w w:val="93"/>
              </w:rPr>
              <w:t>February 28,</w:t>
            </w:r>
          </w:p>
        </w:tc>
        <w:tc>
          <w:tcPr>
            <w:tcW w:w="100" w:type="dxa"/>
            <w:vAlign w:val="bottom"/>
          </w:tcPr>
          <w:p>
            <w:pPr>
              <w:spacing w:after="0"/>
              <w:rPr>
                <w:sz w:val="16"/>
                <w:szCs w:val="16"/>
                <w:color w:val="auto"/>
              </w:rPr>
            </w:pPr>
          </w:p>
        </w:tc>
        <w:tc>
          <w:tcPr>
            <w:tcW w:w="1140" w:type="dxa"/>
            <w:vAlign w:val="bottom"/>
            <w:gridSpan w:val="2"/>
          </w:tcPr>
          <w:p>
            <w:pPr>
              <w:jc w:val="right"/>
              <w:ind w:right="52"/>
              <w:spacing w:after="0" w:line="186" w:lineRule="exact"/>
              <w:rPr>
                <w:sz w:val="20"/>
                <w:szCs w:val="20"/>
                <w:color w:val="auto"/>
              </w:rPr>
            </w:pPr>
            <w:r>
              <w:rPr>
                <w:rFonts w:ascii="Arial" w:cs="Arial" w:eastAsia="Arial" w:hAnsi="Arial"/>
                <w:sz w:val="18"/>
                <w:szCs w:val="18"/>
                <w:b w:val="1"/>
                <w:bCs w:val="1"/>
                <w:color w:val="auto"/>
                <w:w w:val="91"/>
              </w:rPr>
              <w:t>February 28,</w:t>
            </w:r>
          </w:p>
        </w:tc>
      </w:tr>
      <w:tr>
        <w:trPr>
          <w:trHeight w:val="229"/>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2013</w:t>
            </w: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1,384,069</w:t>
            </w:r>
          </w:p>
        </w:tc>
        <w:tc>
          <w:tcPr>
            <w:tcW w:w="34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745,155</w:t>
            </w:r>
          </w:p>
        </w:tc>
        <w:tc>
          <w:tcPr>
            <w:tcW w:w="320" w:type="dxa"/>
            <w:vAlign w:val="bottom"/>
            <w:gridSpan w:val="2"/>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99"/>
              </w:rPr>
              <w:t>2,688,487</w:t>
            </w:r>
          </w:p>
        </w:tc>
        <w:tc>
          <w:tcPr>
            <w:tcW w:w="32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99"/>
              </w:rPr>
              <w:t>1,503,691</w:t>
            </w:r>
          </w:p>
        </w:tc>
      </w:tr>
      <w:tr>
        <w:trPr>
          <w:trHeight w:val="198"/>
        </w:trPr>
        <w:tc>
          <w:tcPr>
            <w:tcW w:w="20" w:type="dxa"/>
            <w:vAlign w:val="bottom"/>
          </w:tcPr>
          <w:p>
            <w:pPr>
              <w:spacing w:after="0"/>
              <w:rPr>
                <w:sz w:val="17"/>
                <w:szCs w:val="17"/>
                <w:color w:val="auto"/>
              </w:rPr>
            </w:pPr>
          </w:p>
        </w:tc>
        <w:tc>
          <w:tcPr>
            <w:tcW w:w="6380" w:type="dxa"/>
            <w:vAlign w:val="bottom"/>
          </w:tcPr>
          <w:p>
            <w:pPr>
              <w:ind w:left="140"/>
              <w:spacing w:after="0" w:line="198" w:lineRule="exact"/>
              <w:rPr>
                <w:sz w:val="20"/>
                <w:szCs w:val="20"/>
                <w:color w:val="auto"/>
              </w:rPr>
            </w:pPr>
            <w:r>
              <w:rPr>
                <w:rFonts w:ascii="Arial" w:cs="Arial" w:eastAsia="Arial" w:hAnsi="Arial"/>
                <w:sz w:val="18"/>
                <w:szCs w:val="18"/>
                <w:color w:val="auto"/>
                <w:w w:val="96"/>
              </w:rPr>
              <w:t>OTHER COMPREHENSIVE INCOME – FOREIGN CURRENCY TRANSLATION</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ADJUSTMENT</w:t>
            </w:r>
          </w:p>
        </w:tc>
        <w:tc>
          <w:tcPr>
            <w:tcW w:w="24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84,038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605,611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395,544</w:t>
            </w:r>
          </w:p>
        </w:tc>
      </w:tr>
      <w:tr>
        <w:trPr>
          <w:trHeight w:val="211"/>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380" w:type="dxa"/>
            <w:vAlign w:val="bottom"/>
          </w:tcPr>
          <w:p>
            <w:pPr>
              <w:spacing w:after="0" w:line="204" w:lineRule="exact"/>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7"/>
                <w:szCs w:val="17"/>
                <w:color w:val="auto"/>
              </w:rPr>
            </w:pPr>
          </w:p>
        </w:tc>
        <w:tc>
          <w:tcPr>
            <w:tcW w:w="980" w:type="dxa"/>
            <w:vAlign w:val="bottom"/>
          </w:tcPr>
          <w:p>
            <w:pPr>
              <w:jc w:val="right"/>
              <w:ind w:right="12"/>
              <w:spacing w:after="0" w:line="204" w:lineRule="exact"/>
              <w:rPr>
                <w:sz w:val="20"/>
                <w:szCs w:val="20"/>
                <w:color w:val="auto"/>
              </w:rPr>
            </w:pPr>
            <w:r>
              <w:rPr>
                <w:rFonts w:ascii="Arial" w:cs="Arial" w:eastAsia="Arial" w:hAnsi="Arial"/>
                <w:sz w:val="18"/>
                <w:szCs w:val="18"/>
                <w:color w:val="auto"/>
              </w:rPr>
              <w:t>1,468,107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2"/>
              <w:spacing w:after="0" w:line="204" w:lineRule="exact"/>
              <w:rPr>
                <w:sz w:val="20"/>
                <w:szCs w:val="20"/>
                <w:color w:val="auto"/>
              </w:rPr>
            </w:pPr>
            <w:r>
              <w:rPr>
                <w:rFonts w:ascii="Arial" w:cs="Arial" w:eastAsia="Arial" w:hAnsi="Arial"/>
                <w:sz w:val="18"/>
                <w:szCs w:val="18"/>
                <w:color w:val="auto"/>
              </w:rPr>
              <w:t>719,514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2"/>
              <w:spacing w:after="0" w:line="204" w:lineRule="exact"/>
              <w:rPr>
                <w:sz w:val="20"/>
                <w:szCs w:val="20"/>
                <w:color w:val="auto"/>
              </w:rPr>
            </w:pPr>
            <w:r>
              <w:rPr>
                <w:rFonts w:ascii="Arial" w:cs="Arial" w:eastAsia="Arial" w:hAnsi="Arial"/>
                <w:sz w:val="18"/>
                <w:szCs w:val="18"/>
                <w:color w:val="auto"/>
                <w:w w:val="99"/>
              </w:rPr>
              <w:t>3,294,098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9"/>
              </w:rPr>
              <w:t>1,899,235</w:t>
            </w: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rPr>
              <w:t>COMPREHENSIVE INCOME ATTRIBUTABLE TO NON-CONTROLLING</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334,607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331,252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793,206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734,687</w:t>
            </w:r>
          </w:p>
        </w:tc>
      </w:tr>
      <w:tr>
        <w:trPr>
          <w:trHeight w:val="204"/>
        </w:trPr>
        <w:tc>
          <w:tcPr>
            <w:tcW w:w="6400" w:type="dxa"/>
            <w:vAlign w:val="bottom"/>
            <w:gridSpan w:val="2"/>
          </w:tcPr>
          <w:p>
            <w:pPr>
              <w:spacing w:after="0" w:line="204" w:lineRule="exact"/>
              <w:rPr>
                <w:sz w:val="20"/>
                <w:szCs w:val="20"/>
                <w:color w:val="auto"/>
              </w:rPr>
            </w:pPr>
            <w:r>
              <w:rPr>
                <w:rFonts w:ascii="Arial" w:cs="Arial" w:eastAsia="Arial" w:hAnsi="Arial"/>
                <w:sz w:val="18"/>
                <w:szCs w:val="18"/>
                <w:color w:val="auto"/>
              </w:rPr>
              <w:t>COMPREHENSIVE INCOME ATTRIBUTABLE TO NTIC</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2"/>
              <w:spacing w:after="0" w:line="204" w:lineRule="exact"/>
              <w:rPr>
                <w:sz w:val="20"/>
                <w:szCs w:val="20"/>
                <w:color w:val="auto"/>
              </w:rPr>
            </w:pPr>
            <w:r>
              <w:rPr>
                <w:rFonts w:ascii="Arial" w:cs="Arial" w:eastAsia="Arial" w:hAnsi="Arial"/>
                <w:sz w:val="18"/>
                <w:szCs w:val="18"/>
                <w:color w:val="auto"/>
              </w:rPr>
              <w:t>1,133,500</w:t>
            </w:r>
          </w:p>
        </w:tc>
        <w:tc>
          <w:tcPr>
            <w:tcW w:w="340" w:type="dxa"/>
            <w:vAlign w:val="bottom"/>
            <w:gridSpan w:val="2"/>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204" w:lineRule="exact"/>
              <w:rPr>
                <w:sz w:val="20"/>
                <w:szCs w:val="20"/>
                <w:color w:val="auto"/>
              </w:rPr>
            </w:pPr>
            <w:r>
              <w:rPr>
                <w:rFonts w:ascii="Arial" w:cs="Arial" w:eastAsia="Arial" w:hAnsi="Arial"/>
                <w:sz w:val="18"/>
                <w:szCs w:val="18"/>
                <w:color w:val="auto"/>
              </w:rPr>
              <w:t>388,262</w:t>
            </w:r>
          </w:p>
        </w:tc>
        <w:tc>
          <w:tcPr>
            <w:tcW w:w="320" w:type="dxa"/>
            <w:vAlign w:val="bottom"/>
            <w:gridSpan w:val="2"/>
          </w:tcPr>
          <w:p>
            <w:pPr>
              <w:jc w:val="right"/>
              <w:ind w:right="32"/>
              <w:spacing w:after="0" w:line="204"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line="204" w:lineRule="exact"/>
              <w:rPr>
                <w:sz w:val="20"/>
                <w:szCs w:val="20"/>
                <w:color w:val="auto"/>
              </w:rPr>
            </w:pPr>
            <w:r>
              <w:rPr>
                <w:rFonts w:ascii="Arial" w:cs="Arial" w:eastAsia="Arial" w:hAnsi="Arial"/>
                <w:sz w:val="18"/>
                <w:szCs w:val="18"/>
                <w:color w:val="auto"/>
                <w:w w:val="99"/>
              </w:rPr>
              <w:t>2,500,892</w:t>
            </w:r>
          </w:p>
        </w:tc>
        <w:tc>
          <w:tcPr>
            <w:tcW w:w="320" w:type="dxa"/>
            <w:vAlign w:val="bottom"/>
            <w:gridSpan w:val="2"/>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9"/>
              </w:rPr>
              <w:t>1,164,548</w:t>
            </w: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6" w:name="page7"/>
    <w:bookmarkEnd w:id="6"/>
    <w:p>
      <w:pPr>
        <w:ind w:right="4340"/>
        <w:spacing w:after="0" w:line="25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FOR THE SIX MONTHS ENDED FEBRUARY 28,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66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6"/>
                <w:szCs w:val="16"/>
                <w:color w:val="auto"/>
              </w:rPr>
            </w:pPr>
          </w:p>
        </w:tc>
        <w:tc>
          <w:tcPr>
            <w:tcW w:w="1160" w:type="dxa"/>
            <w:vAlign w:val="bottom"/>
            <w:gridSpan w:val="2"/>
          </w:tcPr>
          <w:p>
            <w:pPr>
              <w:jc w:val="right"/>
              <w:ind w:right="52"/>
              <w:spacing w:after="0" w:line="186" w:lineRule="exact"/>
              <w:rPr>
                <w:sz w:val="20"/>
                <w:szCs w:val="20"/>
                <w:color w:val="auto"/>
              </w:rPr>
            </w:pPr>
            <w:r>
              <w:rPr>
                <w:rFonts w:ascii="Arial" w:cs="Arial" w:eastAsia="Arial" w:hAnsi="Arial"/>
                <w:sz w:val="18"/>
                <w:szCs w:val="18"/>
                <w:b w:val="1"/>
                <w:bCs w:val="1"/>
                <w:color w:val="auto"/>
                <w:w w:val="93"/>
              </w:rPr>
              <w:t>February 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CASH FLOWS FROM OPERATING ACTIVITIES:</w:t>
            </w:r>
          </w:p>
        </w:tc>
        <w:tc>
          <w:tcPr>
            <w:tcW w:w="1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2,688,487</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1,503,691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Stock-based compensation</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236,623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137,550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Depreciation expense</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217,620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Amortization expense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42,819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Loss on disposal of assets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Equity in income from joint ventures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(2,823,199)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(2,292,734)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Increase in allowance on doubtful accounts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Changes in current assets and liabilities: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Receivables: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940"/>
              <w:spacing w:after="0"/>
              <w:rPr>
                <w:sz w:val="20"/>
                <w:szCs w:val="20"/>
                <w:color w:val="auto"/>
              </w:rPr>
            </w:pPr>
            <w:r>
              <w:rPr>
                <w:rFonts w:ascii="Arial" w:cs="Arial" w:eastAsia="Arial" w:hAnsi="Arial"/>
                <w:sz w:val="18"/>
                <w:szCs w:val="18"/>
                <w:color w:val="auto"/>
              </w:rPr>
              <w:t>Trade, excluding joint ventures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64,392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(223,731)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Trade, joint ventures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322,902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940"/>
              <w:spacing w:after="0"/>
              <w:rPr>
                <w:sz w:val="20"/>
                <w:szCs w:val="20"/>
                <w:color w:val="auto"/>
              </w:rPr>
            </w:pPr>
            <w:r>
              <w:rPr>
                <w:rFonts w:ascii="Arial" w:cs="Arial" w:eastAsia="Arial" w:hAnsi="Arial"/>
                <w:sz w:val="18"/>
                <w:szCs w:val="18"/>
                <w:color w:val="auto"/>
              </w:rPr>
              <w:t>Fees for services provided to joint ventures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221,099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Income taxes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Arial" w:cs="Arial" w:eastAsia="Arial" w:hAnsi="Arial"/>
                <w:sz w:val="18"/>
                <w:szCs w:val="18"/>
                <w:color w:val="auto"/>
              </w:rPr>
              <w:t>Inventories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(246,686)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(990,720)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Prepaid expenses and other</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(574,037)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Income tax payable</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Arial" w:cs="Arial" w:eastAsia="Arial" w:hAnsi="Arial"/>
                <w:sz w:val="18"/>
                <w:szCs w:val="18"/>
                <w:color w:val="auto"/>
              </w:rPr>
              <w:t>Accrued liabilities</w:t>
            </w:r>
          </w:p>
        </w:tc>
        <w:tc>
          <w:tcPr>
            <w:tcW w:w="1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(330,206)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(1,094,446)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tcBorders>
              <w:bottom w:val="single" w:sz="8" w:color="CCEEFF"/>
            </w:tcBorders>
            <w:shd w:val="clear" w:color="auto" w:fill="CCEEFF"/>
          </w:tcPr>
          <w:p>
            <w:pPr>
              <w:ind w:left="940"/>
              <w:spacing w:after="0" w:line="204" w:lineRule="exact"/>
              <w:rPr>
                <w:sz w:val="20"/>
                <w:szCs w:val="20"/>
                <w:color w:val="auto"/>
              </w:rPr>
            </w:pPr>
            <w:r>
              <w:rPr>
                <w:rFonts w:ascii="Arial" w:cs="Arial" w:eastAsia="Arial" w:hAnsi="Arial"/>
                <w:sz w:val="18"/>
                <w:szCs w:val="18"/>
                <w:color w:val="auto"/>
              </w:rPr>
              <w:t>Net cash used in operating activities</w:t>
            </w:r>
          </w:p>
        </w:tc>
        <w:tc>
          <w:tcPr>
            <w:tcW w:w="1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3"/>
              </w:rPr>
              <w:t>(1,464,042)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9"/>
              </w:rPr>
              <w:t>(3,445,681)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Proceeds from the sale of investment in joint venture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245,594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Dividends received from joint ventures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5,217,878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2,953,435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Additions to property and equipment</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(325,051)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Effect of subsidiary consolidation on cash</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1,612,768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Additions to patents</w:t>
            </w:r>
          </w:p>
        </w:tc>
        <w:tc>
          <w:tcPr>
            <w:tcW w:w="1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(121,351)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(114,882)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tcBorders>
              <w:bottom w:val="single" w:sz="8" w:color="CCEEFF"/>
            </w:tcBorders>
            <w:shd w:val="clear" w:color="auto" w:fill="CCEEFF"/>
          </w:tcPr>
          <w:p>
            <w:pPr>
              <w:ind w:left="940"/>
              <w:spacing w:after="0" w:line="204" w:lineRule="exact"/>
              <w:rPr>
                <w:sz w:val="20"/>
                <w:szCs w:val="20"/>
                <w:color w:val="auto"/>
              </w:rPr>
            </w:pPr>
            <w:r>
              <w:rPr>
                <w:rFonts w:ascii="Arial" w:cs="Arial" w:eastAsia="Arial" w:hAnsi="Arial"/>
                <w:sz w:val="18"/>
                <w:szCs w:val="18"/>
                <w:color w:val="auto"/>
              </w:rPr>
              <w:t>Net cash provided by investing activities</w:t>
            </w:r>
          </w:p>
        </w:tc>
        <w:tc>
          <w:tcPr>
            <w:tcW w:w="1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9"/>
              </w:rPr>
              <w:t>5,017,070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4,349,062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Repayment of note payable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(933,414)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Dividend received by non-controlling interest</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Investment by non-controlling interest</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30,866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employee stock purchase plan</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Proceeds from exercise of stock options</w:t>
            </w:r>
          </w:p>
        </w:tc>
        <w:tc>
          <w:tcPr>
            <w:tcW w:w="1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7,650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102,815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tcBorders>
              <w:bottom w:val="single" w:sz="8" w:color="CCEEFF"/>
            </w:tcBorders>
            <w:shd w:val="clear" w:color="auto" w:fill="CCEEFF"/>
          </w:tcPr>
          <w:p>
            <w:pPr>
              <w:ind w:left="940"/>
              <w:spacing w:after="0" w:line="204" w:lineRule="exact"/>
              <w:rPr>
                <w:sz w:val="20"/>
                <w:szCs w:val="20"/>
                <w:color w:val="auto"/>
              </w:rPr>
            </w:pPr>
            <w:r>
              <w:rPr>
                <w:rFonts w:ascii="Arial" w:cs="Arial" w:eastAsia="Arial" w:hAnsi="Arial"/>
                <w:sz w:val="18"/>
                <w:szCs w:val="18"/>
                <w:color w:val="auto"/>
              </w:rPr>
              <w:t>Net cash used in financing activities</w:t>
            </w:r>
          </w:p>
        </w:tc>
        <w:tc>
          <w:tcPr>
            <w:tcW w:w="1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(873,643)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(779,147)</w:t>
            </w:r>
          </w:p>
        </w:tc>
        <w:tc>
          <w:tcPr>
            <w:tcW w:w="0" w:type="dxa"/>
            <w:vAlign w:val="bottom"/>
          </w:tcPr>
          <w:p>
            <w:pPr>
              <w:spacing w:after="0"/>
              <w:rPr>
                <w:sz w:val="1"/>
                <w:szCs w:val="1"/>
                <w:color w:val="auto"/>
              </w:rPr>
            </w:pPr>
          </w:p>
        </w:tc>
      </w:tr>
      <w:tr>
        <w:trPr>
          <w:trHeight w:val="204"/>
        </w:trPr>
        <w:tc>
          <w:tcPr>
            <w:tcW w:w="744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2,484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4"/>
        </w:trPr>
        <w:tc>
          <w:tcPr>
            <w:tcW w:w="744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2,681,869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123,598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4,314,258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4,137,547</w:t>
            </w:r>
          </w:p>
        </w:tc>
        <w:tc>
          <w:tcPr>
            <w:tcW w:w="0" w:type="dxa"/>
            <w:vAlign w:val="bottom"/>
          </w:tcPr>
          <w:p>
            <w:pPr>
              <w:spacing w:after="0"/>
              <w:rPr>
                <w:sz w:val="1"/>
                <w:szCs w:val="1"/>
                <w:color w:val="auto"/>
              </w:rPr>
            </w:pPr>
          </w:p>
        </w:tc>
      </w:tr>
      <w:tr>
        <w:trPr>
          <w:trHeight w:val="204"/>
        </w:trPr>
        <w:tc>
          <w:tcPr>
            <w:tcW w:w="744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6,996,127</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4,261,145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4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2"/>
        </w:trPr>
        <w:tc>
          <w:tcPr>
            <w:tcW w:w="7440" w:type="dxa"/>
            <w:vAlign w:val="bottom"/>
            <w:gridSpan w:val="2"/>
          </w:tcPr>
          <w:p>
            <w:pPr>
              <w:jc w:val="right"/>
              <w:ind w:right="1592"/>
              <w:spacing w:after="0"/>
              <w:rPr>
                <w:sz w:val="20"/>
                <w:szCs w:val="20"/>
                <w:color w:val="auto"/>
              </w:rPr>
            </w:pPr>
            <w:r>
              <w:rPr>
                <w:rFonts w:ascii="Arial" w:cs="Arial" w:eastAsia="Arial" w:hAnsi="Arial"/>
                <w:sz w:val="18"/>
                <w:szCs w:val="18"/>
                <w:color w:val="auto"/>
              </w:rPr>
              <w:t>6</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808080"/>
            </w:tcBorders>
          </w:tcPr>
          <w:p>
            <w:pPr>
              <w:spacing w:after="0"/>
              <w:rPr>
                <w:sz w:val="12"/>
                <w:szCs w:val="12"/>
                <w:color w:val="auto"/>
              </w:rPr>
            </w:pPr>
          </w:p>
        </w:tc>
        <w:tc>
          <w:tcPr>
            <w:tcW w:w="742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-36830</wp:posOffset>
            </wp:positionV>
            <wp:extent cx="1270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1270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7" w:name="page8"/>
    <w:bookmarkEnd w:id="7"/>
    <w:p>
      <w:pPr>
        <w:ind w:right="4340"/>
        <w:spacing w:after="0" w:line="332" w:lineRule="auto"/>
        <w:rPr>
          <w:sz w:val="20"/>
          <w:szCs w:val="20"/>
          <w:color w:val="auto"/>
        </w:rPr>
      </w:pPr>
      <w:r>
        <w:rPr>
          <w:rFonts w:ascii="Arial" w:cs="Arial" w:eastAsia="Arial" w:hAnsi="Arial"/>
          <w:sz w:val="16"/>
          <w:szCs w:val="16"/>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266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52" w:lineRule="exact"/>
        <w:rPr>
          <w:sz w:val="20"/>
          <w:szCs w:val="20"/>
          <w:color w:val="auto"/>
        </w:rPr>
      </w:pPr>
    </w:p>
    <w:p>
      <w:pPr>
        <w:ind w:left="620" w:hanging="615"/>
        <w:spacing w:after="0"/>
        <w:tabs>
          <w:tab w:leader="none" w:pos="6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2014 and August 31, 2013 and the results of their operations for the three and six months ended February 28, 2014 and 2013 and their cash flows for the six months ended February 28, 2014 and 2013, in conformity with accounting principles generally accepted in the United States of America (U.S. GAAP).</w:t>
      </w:r>
    </w:p>
    <w:p>
      <w:pPr>
        <w:spacing w:after="0" w:line="186"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color w:val="auto"/>
        </w:rPr>
        <w:t>Certain amounts reported in the consolidated financial statements for the previous reporting periods have been reclassified to conform to the current period presentation. These reclassifications did not have a material impact on the Company’s previously reported consolidated balance sheets or statements of cash flows.</w:t>
      </w:r>
    </w:p>
    <w:p>
      <w:pPr>
        <w:spacing w:after="0" w:line="216"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2013. These consolidated financial statements also should be read in conjunction with the “Management’s Discussion and Analysis of Financial Condition and Results of Operations” section appearing in this report.</w:t>
      </w:r>
    </w:p>
    <w:p>
      <w:pPr>
        <w:spacing w:after="0" w:line="18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Operating results for the three and six months ended February 28, 2014 are not necessarily indicative of the results that may be expected for the full fiscal year ending August 31, 2014.</w:t>
      </w:r>
    </w:p>
    <w:p>
      <w:pPr>
        <w:spacing w:after="0" w:line="20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20"/>
                <w:szCs w:val="20"/>
                <w:color w:val="auto"/>
              </w:rPr>
            </w:pPr>
            <w:r>
              <w:rPr>
                <w:rFonts w:ascii="Arial" w:cs="Arial" w:eastAsia="Arial" w:hAnsi="Arial"/>
                <w:sz w:val="18"/>
                <w:szCs w:val="18"/>
                <w:b w:val="1"/>
                <w:bCs w:val="1"/>
                <w:color w:val="auto"/>
              </w:rPr>
              <w:t>2.</w:t>
            </w:r>
          </w:p>
        </w:tc>
        <w:tc>
          <w:tcPr>
            <w:tcW w:w="5260" w:type="dxa"/>
            <w:vAlign w:val="bottom"/>
          </w:tcPr>
          <w:p>
            <w:pPr>
              <w:ind w:left="240"/>
              <w:spacing w:after="0"/>
              <w:rPr>
                <w:sz w:val="20"/>
                <w:szCs w:val="20"/>
                <w:color w:val="auto"/>
              </w:rPr>
            </w:pPr>
            <w:r>
              <w:rPr>
                <w:rFonts w:ascii="Arial" w:cs="Arial" w:eastAsia="Arial" w:hAnsi="Arial"/>
                <w:sz w:val="18"/>
                <w:szCs w:val="18"/>
                <w:b w:val="1"/>
                <w:bCs w:val="1"/>
                <w:color w:val="auto"/>
              </w:rPr>
              <w:t>INVENTORIES</w:t>
            </w:r>
          </w:p>
        </w:tc>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47"/>
        </w:trPr>
        <w:tc>
          <w:tcPr>
            <w:tcW w:w="564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8"/>
        </w:trPr>
        <w:tc>
          <w:tcPr>
            <w:tcW w:w="3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38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February 28, 2014</w:t>
            </w:r>
          </w:p>
        </w:tc>
        <w:tc>
          <w:tcPr>
            <w:tcW w:w="1400" w:type="dxa"/>
            <w:vAlign w:val="bottom"/>
            <w:gridSpan w:val="3"/>
          </w:tcPr>
          <w:p>
            <w:pPr>
              <w:ind w:left="120"/>
              <w:spacing w:after="0"/>
              <w:rPr>
                <w:sz w:val="20"/>
                <w:szCs w:val="20"/>
                <w:color w:val="auto"/>
              </w:rPr>
            </w:pPr>
            <w:r>
              <w:rPr>
                <w:rFonts w:ascii="Arial" w:cs="Arial" w:eastAsia="Arial" w:hAnsi="Arial"/>
                <w:sz w:val="18"/>
                <w:szCs w:val="18"/>
                <w:b w:val="1"/>
                <w:bCs w:val="1"/>
                <w:color w:val="auto"/>
                <w:w w:val="91"/>
              </w:rPr>
              <w:t>August 31, 2013</w:t>
            </w:r>
          </w:p>
        </w:tc>
      </w:tr>
      <w:tr>
        <w:trPr>
          <w:trHeight w:val="20"/>
        </w:trPr>
        <w:tc>
          <w:tcPr>
            <w:tcW w:w="3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04"/>
        </w:trPr>
        <w:tc>
          <w:tcPr>
            <w:tcW w:w="564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Production materials</w:t>
            </w:r>
          </w:p>
        </w:tc>
        <w:tc>
          <w:tcPr>
            <w:tcW w:w="3300" w:type="dxa"/>
            <w:vAlign w:val="bottom"/>
            <w:gridSpan w:val="2"/>
            <w:shd w:val="clear" w:color="auto" w:fill="CCEEFF"/>
          </w:tcPr>
          <w:p>
            <w:pPr>
              <w:jc w:val="right"/>
              <w:ind w:right="300"/>
              <w:spacing w:after="0" w:line="204"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1,191,107</w:t>
            </w:r>
          </w:p>
        </w:tc>
        <w:tc>
          <w:tcPr>
            <w:tcW w:w="400" w:type="dxa"/>
            <w:vAlign w:val="bottom"/>
            <w:gridSpan w:val="2"/>
            <w:shd w:val="clear" w:color="auto" w:fill="CCEEFF"/>
          </w:tcPr>
          <w:p>
            <w:pPr>
              <w:ind w:left="120"/>
              <w:spacing w:after="0" w:line="204"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1,096,693</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2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4,179,094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4,014,856</w:t>
            </w:r>
          </w:p>
        </w:tc>
      </w:tr>
      <w:tr>
        <w:trPr>
          <w:trHeight w:val="224"/>
        </w:trPr>
        <w:tc>
          <w:tcPr>
            <w:tcW w:w="380" w:type="dxa"/>
            <w:vAlign w:val="bottom"/>
            <w:shd w:val="clear" w:color="auto" w:fill="CCEEFF"/>
          </w:tcPr>
          <w:p>
            <w:pPr>
              <w:spacing w:after="0"/>
              <w:rPr>
                <w:sz w:val="19"/>
                <w:szCs w:val="19"/>
                <w:color w:val="auto"/>
              </w:rPr>
            </w:pPr>
          </w:p>
        </w:tc>
        <w:tc>
          <w:tcPr>
            <w:tcW w:w="526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jc w:val="right"/>
              <w:ind w:right="300"/>
              <w:spacing w:after="0" w:line="204"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5,370,201</w:t>
            </w:r>
          </w:p>
        </w:tc>
        <w:tc>
          <w:tcPr>
            <w:tcW w:w="400" w:type="dxa"/>
            <w:vAlign w:val="bottom"/>
            <w:gridSpan w:val="2"/>
            <w:shd w:val="clear" w:color="auto" w:fill="CCEEFF"/>
          </w:tcPr>
          <w:p>
            <w:pPr>
              <w:ind w:left="120"/>
              <w:spacing w:after="0" w:line="204"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5,111,549</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Arial" w:cs="Arial" w:eastAsia="Arial" w:hAnsi="Arial"/>
                <w:sz w:val="18"/>
                <w:szCs w:val="18"/>
                <w:b w:val="1"/>
                <w:bCs w:val="1"/>
                <w:color w:val="auto"/>
              </w:rPr>
              <w:t>3.</w:t>
            </w:r>
          </w:p>
        </w:tc>
        <w:tc>
          <w:tcPr>
            <w:tcW w:w="8400" w:type="dxa"/>
            <w:vAlign w:val="bottom"/>
            <w:gridSpan w:val="2"/>
          </w:tcPr>
          <w:p>
            <w:pPr>
              <w:ind w:left="120"/>
              <w:spacing w:after="0"/>
              <w:rPr>
                <w:sz w:val="20"/>
                <w:szCs w:val="20"/>
                <w:color w:val="auto"/>
              </w:rPr>
            </w:pPr>
            <w:r>
              <w:rPr>
                <w:rFonts w:ascii="Arial" w:cs="Arial" w:eastAsia="Arial" w:hAnsi="Arial"/>
                <w:sz w:val="18"/>
                <w:szCs w:val="18"/>
                <w:b w:val="1"/>
                <w:bCs w:val="1"/>
                <w:color w:val="auto"/>
              </w:rPr>
              <w:t>PROPERTY AND EQUIPMENT, NET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890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00" w:type="dxa"/>
            <w:vAlign w:val="bottom"/>
          </w:tcPr>
          <w:p>
            <w:pPr>
              <w:spacing w:after="0"/>
              <w:rPr>
                <w:sz w:val="24"/>
                <w:szCs w:val="24"/>
                <w:color w:val="auto"/>
              </w:rPr>
            </w:pPr>
          </w:p>
        </w:tc>
        <w:tc>
          <w:tcPr>
            <w:tcW w:w="9520" w:type="dxa"/>
            <w:vAlign w:val="bottom"/>
            <w:gridSpan w:val="3"/>
          </w:tcPr>
          <w:p>
            <w:pPr>
              <w:ind w:left="8060"/>
              <w:spacing w:after="0"/>
              <w:rPr>
                <w:sz w:val="20"/>
                <w:szCs w:val="20"/>
                <w:color w:val="auto"/>
              </w:rPr>
            </w:pPr>
            <w:r>
              <w:rPr>
                <w:rFonts w:ascii="Arial" w:cs="Arial" w:eastAsia="Arial" w:hAnsi="Arial"/>
                <w:sz w:val="18"/>
                <w:szCs w:val="18"/>
                <w:b w:val="1"/>
                <w:bCs w:val="1"/>
                <w:color w:val="auto"/>
                <w:w w:val="94"/>
              </w:rPr>
              <w:t>February 28, 2014</w:t>
            </w:r>
          </w:p>
        </w:tc>
        <w:tc>
          <w:tcPr>
            <w:tcW w:w="1400" w:type="dxa"/>
            <w:vAlign w:val="bottom"/>
            <w:gridSpan w:val="3"/>
          </w:tcPr>
          <w:p>
            <w:pPr>
              <w:ind w:left="120"/>
              <w:spacing w:after="0"/>
              <w:rPr>
                <w:sz w:val="20"/>
                <w:szCs w:val="20"/>
                <w:color w:val="auto"/>
              </w:rPr>
            </w:pPr>
            <w:r>
              <w:rPr>
                <w:rFonts w:ascii="Arial" w:cs="Arial" w:eastAsia="Arial" w:hAnsi="Arial"/>
                <w:sz w:val="18"/>
                <w:szCs w:val="18"/>
                <w:b w:val="1"/>
                <w:bCs w:val="1"/>
                <w:color w:val="auto"/>
                <w:w w:val="91"/>
              </w:rPr>
              <w:t>August 31, 2013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Land</w:t>
            </w:r>
          </w:p>
        </w:tc>
        <w:tc>
          <w:tcPr>
            <w:tcW w:w="8400" w:type="dxa"/>
            <w:vAlign w:val="bottom"/>
            <w:gridSpan w:val="2"/>
            <w:shd w:val="clear" w:color="auto" w:fill="CCEEFF"/>
          </w:tcPr>
          <w:p>
            <w:pPr>
              <w:ind w:left="8060"/>
              <w:spacing w:after="0" w:line="204"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310,365</w:t>
            </w:r>
          </w:p>
        </w:tc>
        <w:tc>
          <w:tcPr>
            <w:tcW w:w="360" w:type="dxa"/>
            <w:vAlign w:val="bottom"/>
            <w:gridSpan w:val="2"/>
            <w:shd w:val="clear" w:color="auto" w:fill="CCEEFF"/>
          </w:tcPr>
          <w:p>
            <w:pPr>
              <w:ind w:left="120"/>
              <w:spacing w:after="0" w:line="204"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0"/>
        </w:trPr>
        <w:tc>
          <w:tcPr>
            <w:tcW w:w="890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4,540,110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4,613,879</w:t>
            </w:r>
          </w:p>
        </w:tc>
        <w:tc>
          <w:tcPr>
            <w:tcW w:w="0" w:type="dxa"/>
            <w:vAlign w:val="bottom"/>
          </w:tcPr>
          <w:p>
            <w:pPr>
              <w:spacing w:after="0"/>
              <w:rPr>
                <w:sz w:val="1"/>
                <w:szCs w:val="1"/>
                <w:color w:val="auto"/>
              </w:rPr>
            </w:pPr>
          </w:p>
        </w:tc>
      </w:tr>
      <w:tr>
        <w:trPr>
          <w:trHeight w:val="210"/>
        </w:trPr>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3,590,893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3,189,671</w:t>
            </w:r>
          </w:p>
        </w:tc>
        <w:tc>
          <w:tcPr>
            <w:tcW w:w="0" w:type="dxa"/>
            <w:vAlign w:val="bottom"/>
          </w:tcPr>
          <w:p>
            <w:pPr>
              <w:spacing w:after="0"/>
              <w:rPr>
                <w:sz w:val="1"/>
                <w:szCs w:val="1"/>
                <w:color w:val="auto"/>
              </w:rPr>
            </w:pPr>
          </w:p>
        </w:tc>
      </w:tr>
      <w:tr>
        <w:trPr>
          <w:trHeight w:val="204"/>
        </w:trPr>
        <w:tc>
          <w:tcPr>
            <w:tcW w:w="500" w:type="dxa"/>
            <w:vAlign w:val="bottom"/>
            <w:tcBorders>
              <w:top w:val="single" w:sz="8" w:color="CCEEFF"/>
            </w:tcBorders>
          </w:tcPr>
          <w:p>
            <w:pPr>
              <w:spacing w:after="0"/>
              <w:rPr>
                <w:sz w:val="17"/>
                <w:szCs w:val="17"/>
                <w:color w:val="auto"/>
              </w:rPr>
            </w:pPr>
          </w:p>
        </w:tc>
        <w:tc>
          <w:tcPr>
            <w:tcW w:w="80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rPr>
              <w:t>8,441,369</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rPr>
              <w:t>8,113,915</w:t>
            </w:r>
          </w:p>
        </w:tc>
        <w:tc>
          <w:tcPr>
            <w:tcW w:w="0" w:type="dxa"/>
            <w:vAlign w:val="bottom"/>
          </w:tcPr>
          <w:p>
            <w:pPr>
              <w:spacing w:after="0"/>
              <w:rPr>
                <w:sz w:val="1"/>
                <w:szCs w:val="1"/>
                <w:color w:val="auto"/>
              </w:rPr>
            </w:pPr>
          </w:p>
        </w:tc>
      </w:tr>
      <w:tr>
        <w:trPr>
          <w:trHeight w:val="210"/>
        </w:trPr>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(3,010,052)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(2,790,303)</w:t>
            </w:r>
          </w:p>
        </w:tc>
        <w:tc>
          <w:tcPr>
            <w:tcW w:w="0" w:type="dxa"/>
            <w:vAlign w:val="bottom"/>
          </w:tcPr>
          <w:p>
            <w:pPr>
              <w:spacing w:after="0"/>
              <w:rPr>
                <w:sz w:val="1"/>
                <w:szCs w:val="1"/>
                <w:color w:val="auto"/>
              </w:rPr>
            </w:pPr>
          </w:p>
        </w:tc>
      </w:tr>
      <w:tr>
        <w:trPr>
          <w:trHeight w:val="204"/>
        </w:trPr>
        <w:tc>
          <w:tcPr>
            <w:tcW w:w="500" w:type="dxa"/>
            <w:vAlign w:val="bottom"/>
          </w:tcPr>
          <w:p>
            <w:pPr>
              <w:spacing w:after="0"/>
              <w:rPr>
                <w:sz w:val="17"/>
                <w:szCs w:val="17"/>
                <w:color w:val="auto"/>
              </w:rPr>
            </w:pPr>
          </w:p>
        </w:tc>
        <w:tc>
          <w:tcPr>
            <w:tcW w:w="8400" w:type="dxa"/>
            <w:vAlign w:val="bottom"/>
            <w:gridSpan w:val="2"/>
          </w:tcPr>
          <w:p>
            <w:pPr>
              <w:ind w:left="8060"/>
              <w:spacing w:after="0" w:line="204"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line="204" w:lineRule="exact"/>
              <w:rPr>
                <w:sz w:val="20"/>
                <w:szCs w:val="20"/>
                <w:color w:val="auto"/>
              </w:rPr>
            </w:pPr>
            <w:r>
              <w:rPr>
                <w:rFonts w:ascii="Arial" w:cs="Arial" w:eastAsia="Arial" w:hAnsi="Arial"/>
                <w:sz w:val="18"/>
                <w:szCs w:val="18"/>
                <w:color w:val="auto"/>
              </w:rPr>
              <w:t>5,431,316</w:t>
            </w:r>
          </w:p>
        </w:tc>
        <w:tc>
          <w:tcPr>
            <w:tcW w:w="360" w:type="dxa"/>
            <w:vAlign w:val="bottom"/>
            <w:gridSpan w:val="2"/>
          </w:tcPr>
          <w:p>
            <w:pPr>
              <w:ind w:left="120"/>
              <w:spacing w:after="0" w:line="204"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5,323,612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60" w:type="dxa"/>
            <w:vAlign w:val="bottom"/>
            <w:vMerge w:val="restart"/>
          </w:tcPr>
          <w:p>
            <w:pPr>
              <w:ind w:left="5180"/>
              <w:spacing w:after="0"/>
              <w:rPr>
                <w:sz w:val="20"/>
                <w:szCs w:val="20"/>
                <w:color w:val="auto"/>
              </w:rPr>
            </w:pPr>
            <w:r>
              <w:rPr>
                <w:rFonts w:ascii="Arial" w:cs="Arial" w:eastAsia="Arial" w:hAnsi="Arial"/>
                <w:sz w:val="18"/>
                <w:szCs w:val="18"/>
                <w:color w:val="auto"/>
              </w:rPr>
              <w:t>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500" w:type="dxa"/>
            <w:vAlign w:val="bottom"/>
          </w:tcPr>
          <w:p>
            <w:pPr>
              <w:spacing w:after="0"/>
              <w:rPr>
                <w:sz w:val="24"/>
                <w:szCs w:val="24"/>
                <w:color w:val="auto"/>
              </w:rPr>
            </w:pPr>
          </w:p>
        </w:tc>
        <w:tc>
          <w:tcPr>
            <w:tcW w:w="8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 w:type="dxa"/>
            <w:vAlign w:val="bottom"/>
            <w:tcBorders>
              <w:bottom w:val="single" w:sz="8" w:color="808080"/>
            </w:tcBorders>
          </w:tcPr>
          <w:p>
            <w:pPr>
              <w:spacing w:after="0"/>
              <w:rPr>
                <w:sz w:val="12"/>
                <w:szCs w:val="12"/>
                <w:color w:val="auto"/>
              </w:rPr>
            </w:pPr>
          </w:p>
        </w:tc>
        <w:tc>
          <w:tcPr>
            <w:tcW w:w="806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-36830</wp:posOffset>
            </wp:positionV>
            <wp:extent cx="1270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1270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20"/>
                <w:szCs w:val="20"/>
                <w:color w:val="auto"/>
              </w:rPr>
            </w:pPr>
            <w:r>
              <w:rPr>
                <w:rFonts w:ascii="Arial" w:cs="Arial" w:eastAsia="Arial" w:hAnsi="Arial"/>
                <w:sz w:val="18"/>
                <w:szCs w:val="18"/>
                <w:b w:val="1"/>
                <w:bCs w:val="1"/>
                <w:color w:val="auto"/>
              </w:rPr>
              <w:t>4.</w:t>
            </w:r>
          </w:p>
        </w:tc>
        <w:tc>
          <w:tcPr>
            <w:tcW w:w="5820" w:type="dxa"/>
            <w:vAlign w:val="bottom"/>
          </w:tcPr>
          <w:p>
            <w:pPr>
              <w:ind w:left="240"/>
              <w:spacing w:after="0"/>
              <w:rPr>
                <w:sz w:val="20"/>
                <w:szCs w:val="20"/>
                <w:color w:val="auto"/>
              </w:rPr>
            </w:pPr>
            <w:r>
              <w:rPr>
                <w:rFonts w:ascii="Arial" w:cs="Arial" w:eastAsia="Arial" w:hAnsi="Arial"/>
                <w:sz w:val="18"/>
                <w:szCs w:val="18"/>
                <w:b w:val="1"/>
                <w:bCs w:val="1"/>
                <w:color w:val="auto"/>
              </w:rPr>
              <w:t>PATENTS AND TRADEMARKS, NET</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47"/>
        </w:trPr>
        <w:tc>
          <w:tcPr>
            <w:tcW w:w="620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8"/>
        </w:trPr>
        <w:tc>
          <w:tcPr>
            <w:tcW w:w="3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820" w:type="dxa"/>
            <w:vAlign w:val="bottom"/>
            <w:gridSpan w:val="3"/>
          </w:tcPr>
          <w:p>
            <w:pPr>
              <w:ind w:left="2360"/>
              <w:spacing w:after="0"/>
              <w:rPr>
                <w:sz w:val="20"/>
                <w:szCs w:val="20"/>
                <w:color w:val="auto"/>
              </w:rPr>
            </w:pPr>
            <w:r>
              <w:rPr>
                <w:rFonts w:ascii="Arial" w:cs="Arial" w:eastAsia="Arial" w:hAnsi="Arial"/>
                <w:sz w:val="18"/>
                <w:szCs w:val="18"/>
                <w:b w:val="1"/>
                <w:bCs w:val="1"/>
                <w:color w:val="auto"/>
                <w:w w:val="94"/>
              </w:rPr>
              <w:t>February 28, 2014</w:t>
            </w:r>
          </w:p>
        </w:tc>
        <w:tc>
          <w:tcPr>
            <w:tcW w:w="1400" w:type="dxa"/>
            <w:vAlign w:val="bottom"/>
            <w:gridSpan w:val="3"/>
          </w:tcPr>
          <w:p>
            <w:pPr>
              <w:ind w:left="120"/>
              <w:spacing w:after="0"/>
              <w:rPr>
                <w:sz w:val="20"/>
                <w:szCs w:val="20"/>
                <w:color w:val="auto"/>
              </w:rPr>
            </w:pPr>
            <w:r>
              <w:rPr>
                <w:rFonts w:ascii="Arial" w:cs="Arial" w:eastAsia="Arial" w:hAnsi="Arial"/>
                <w:sz w:val="18"/>
                <w:szCs w:val="18"/>
                <w:b w:val="1"/>
                <w:bCs w:val="1"/>
                <w:color w:val="auto"/>
                <w:w w:val="91"/>
              </w:rPr>
              <w:t>August 31, 2013</w:t>
            </w:r>
          </w:p>
        </w:tc>
      </w:tr>
      <w:tr>
        <w:trPr>
          <w:trHeight w:val="20"/>
        </w:trPr>
        <w:tc>
          <w:tcPr>
            <w:tcW w:w="3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4"/>
        </w:trPr>
        <w:tc>
          <w:tcPr>
            <w:tcW w:w="620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Patents and trademarks</w:t>
            </w:r>
          </w:p>
        </w:tc>
        <w:tc>
          <w:tcPr>
            <w:tcW w:w="2700" w:type="dxa"/>
            <w:vAlign w:val="bottom"/>
            <w:gridSpan w:val="2"/>
            <w:shd w:val="clear" w:color="auto" w:fill="CCEEFF"/>
          </w:tcPr>
          <w:p>
            <w:pPr>
              <w:ind w:left="2360"/>
              <w:spacing w:after="0" w:line="204"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2,185,008</w:t>
            </w:r>
          </w:p>
        </w:tc>
        <w:tc>
          <w:tcPr>
            <w:tcW w:w="360" w:type="dxa"/>
            <w:vAlign w:val="bottom"/>
            <w:gridSpan w:val="2"/>
            <w:shd w:val="clear" w:color="auto" w:fill="CCEEFF"/>
          </w:tcPr>
          <w:p>
            <w:pPr>
              <w:ind w:left="120"/>
              <w:spacing w:after="0" w:line="204"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2,064,128</w:t>
            </w:r>
          </w:p>
        </w:tc>
      </w:tr>
      <w:tr>
        <w:trPr>
          <w:trHeight w:val="210"/>
        </w:trPr>
        <w:tc>
          <w:tcPr>
            <w:tcW w:w="62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(1,046,310)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(1,003,489)</w:t>
            </w:r>
          </w:p>
        </w:tc>
      </w:tr>
      <w:tr>
        <w:trPr>
          <w:trHeight w:val="224"/>
        </w:trPr>
        <w:tc>
          <w:tcPr>
            <w:tcW w:w="380" w:type="dxa"/>
            <w:vAlign w:val="bottom"/>
            <w:shd w:val="clear" w:color="auto" w:fill="CCEEFF"/>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360"/>
              <w:spacing w:after="0" w:line="204"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1,138,698</w:t>
            </w:r>
          </w:p>
        </w:tc>
        <w:tc>
          <w:tcPr>
            <w:tcW w:w="360" w:type="dxa"/>
            <w:vAlign w:val="bottom"/>
            <w:gridSpan w:val="2"/>
            <w:shd w:val="clear" w:color="auto" w:fill="CCEEFF"/>
          </w:tcPr>
          <w:p>
            <w:pPr>
              <w:ind w:left="120"/>
              <w:spacing w:after="0" w:line="204"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1,060,639</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24"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$80,000 in each of the next five fiscal years.</w:t>
      </w:r>
    </w:p>
    <w:p>
      <w:pPr>
        <w:spacing w:after="0" w:line="210" w:lineRule="exact"/>
        <w:rPr>
          <w:sz w:val="20"/>
          <w:szCs w:val="20"/>
          <w:color w:val="auto"/>
        </w:rPr>
      </w:pPr>
    </w:p>
    <w:p>
      <w:pPr>
        <w:ind w:left="620" w:hanging="615"/>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4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approximate U.S. GAAP in all material respects. All material profits recorded on sales from the Company to its joint ventures of goods that remain in inventory, have been eliminated for financial reporting purposes.</w:t>
      </w:r>
    </w:p>
    <w:p>
      <w:pPr>
        <w:spacing w:after="0" w:line="186"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Financial information from the audited and unaudited financial statements of the Company’s joint venture in Germany, Excor Korrosionsschutz – Technologien und Produkte GmbH (EXCOR), joint venture in China, NTI Asean and all of the Company’s other joint ventures, are summarized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rPr>
              <w:t>At February 28, 2014</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04"/>
        </w:trPr>
        <w:tc>
          <w:tcPr>
            <w:tcW w:w="6980" w:type="dxa"/>
            <w:vAlign w:val="bottom"/>
          </w:tcPr>
          <w:p>
            <w:pPr>
              <w:spacing w:after="0"/>
              <w:rPr>
                <w:sz w:val="17"/>
                <w:szCs w:val="17"/>
                <w:color w:val="auto"/>
              </w:rPr>
            </w:pPr>
          </w:p>
        </w:tc>
        <w:tc>
          <w:tcPr>
            <w:tcW w:w="1040" w:type="dxa"/>
            <w:vAlign w:val="bottom"/>
            <w:tcBorders>
              <w:bottom w:val="single" w:sz="8" w:color="auto"/>
            </w:tcBorders>
          </w:tcPr>
          <w:p>
            <w:pPr>
              <w:jc w:val="right"/>
              <w:ind w:right="312"/>
              <w:spacing w:after="0" w:line="204"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172"/>
              <w:spacing w:after="0" w:line="204" w:lineRule="exact"/>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2"/>
              <w:spacing w:after="0" w:line="204" w:lineRule="exact"/>
              <w:rPr>
                <w:sz w:val="20"/>
                <w:szCs w:val="20"/>
                <w:color w:val="auto"/>
              </w:rPr>
            </w:pPr>
            <w:r>
              <w:rPr>
                <w:rFonts w:ascii="Arial" w:cs="Arial" w:eastAsia="Arial" w:hAnsi="Arial"/>
                <w:sz w:val="18"/>
                <w:szCs w:val="18"/>
                <w:b w:val="1"/>
                <w:bCs w:val="1"/>
                <w:color w:val="auto"/>
              </w:rPr>
              <w:t>China</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2"/>
              <w:spacing w:after="0" w:line="204" w:lineRule="exact"/>
              <w:rPr>
                <w:sz w:val="20"/>
                <w:szCs w:val="20"/>
                <w:color w:val="auto"/>
              </w:rPr>
            </w:pPr>
            <w:r>
              <w:rPr>
                <w:rFonts w:ascii="Arial" w:cs="Arial" w:eastAsia="Arial" w:hAnsi="Arial"/>
                <w:sz w:val="18"/>
                <w:szCs w:val="18"/>
                <w:b w:val="1"/>
                <w:bCs w:val="1"/>
                <w:color w:val="auto"/>
                <w:w w:val="89"/>
              </w:rPr>
              <w:t>All Other</w:t>
            </w:r>
          </w:p>
        </w:tc>
      </w:tr>
      <w:tr>
        <w:trPr>
          <w:trHeight w:val="204"/>
        </w:trPr>
        <w:tc>
          <w:tcPr>
            <w:tcW w:w="6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Current assets</w:t>
            </w:r>
          </w:p>
        </w:tc>
        <w:tc>
          <w:tcPr>
            <w:tcW w:w="10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5"/>
              </w:rPr>
              <w:t>$ 60,798,447</w:t>
            </w:r>
          </w:p>
        </w:tc>
        <w:tc>
          <w:tcPr>
            <w:tcW w:w="116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7"/>
              </w:rPr>
              <w:t>$ 21,138,250</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12,498,369</w:t>
            </w:r>
          </w:p>
        </w:tc>
        <w:tc>
          <w:tcPr>
            <w:tcW w:w="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6"/>
              </w:rPr>
              <w:t>27,161,828</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9"/>
              </w:rPr>
              <w:t>66,244,262</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23,578,234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12,520,341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30,145,687</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17,443,151</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3,486,865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3,860,391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10,095,895</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2,126,033</w:t>
            </w:r>
          </w:p>
        </w:tc>
        <w:tc>
          <w:tcPr>
            <w:tcW w:w="1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868,005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1,258,028</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46,675,076</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20,091,369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7,791,945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18,791,762</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Company’s share of joint ventures’ equity</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9"/>
              </w:rPr>
              <w:t>22,653,729</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10,045,687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3,895,973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8,712,069</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Company’s share of joint ventures’ undistributed earnings</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5"/>
              </w:rPr>
              <w:t>$ 20,232,259</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7"/>
              </w:rPr>
              <w:t>$ 10,014,782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3,845,973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6,371,504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b w:val="1"/>
                <w:bCs w:val="1"/>
                <w:color w:val="auto"/>
              </w:rPr>
              <w:t>At August 31, 2013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04"/>
        </w:trPr>
        <w:tc>
          <w:tcPr>
            <w:tcW w:w="48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40" w:type="dxa"/>
            <w:vAlign w:val="bottom"/>
            <w:tcBorders>
              <w:bottom w:val="single" w:sz="8" w:color="auto"/>
            </w:tcBorders>
          </w:tcPr>
          <w:p>
            <w:pPr>
              <w:jc w:val="right"/>
              <w:ind w:right="312"/>
              <w:spacing w:after="0" w:line="204"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172"/>
              <w:spacing w:after="0" w:line="204" w:lineRule="exact"/>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2"/>
              <w:spacing w:after="0" w:line="204" w:lineRule="exact"/>
              <w:rPr>
                <w:sz w:val="20"/>
                <w:szCs w:val="20"/>
                <w:color w:val="auto"/>
              </w:rPr>
            </w:pPr>
            <w:r>
              <w:rPr>
                <w:rFonts w:ascii="Arial" w:cs="Arial" w:eastAsia="Arial" w:hAnsi="Arial"/>
                <w:sz w:val="18"/>
                <w:szCs w:val="18"/>
                <w:b w:val="1"/>
                <w:bCs w:val="1"/>
                <w:color w:val="auto"/>
              </w:rPr>
              <w:t>China</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2"/>
              <w:spacing w:after="0" w:line="204" w:lineRule="exact"/>
              <w:rPr>
                <w:sz w:val="20"/>
                <w:szCs w:val="20"/>
                <w:color w:val="auto"/>
              </w:rPr>
            </w:pPr>
            <w:r>
              <w:rPr>
                <w:rFonts w:ascii="Arial" w:cs="Arial" w:eastAsia="Arial" w:hAnsi="Arial"/>
                <w:sz w:val="18"/>
                <w:szCs w:val="18"/>
                <w:b w:val="1"/>
                <w:bCs w:val="1"/>
                <w:color w:val="auto"/>
                <w:w w:val="89"/>
              </w:rPr>
              <w:t>All Other</w:t>
            </w:r>
          </w:p>
        </w:tc>
      </w:tr>
      <w:tr>
        <w:trPr>
          <w:trHeight w:val="204"/>
        </w:trPr>
        <w:tc>
          <w:tcPr>
            <w:tcW w:w="48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Current assets</w:t>
            </w:r>
          </w:p>
        </w:tc>
        <w:tc>
          <w:tcPr>
            <w:tcW w:w="314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$ 63,052,410</w:t>
            </w:r>
          </w:p>
        </w:tc>
        <w:tc>
          <w:tcPr>
            <w:tcW w:w="116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7"/>
              </w:rPr>
              <w:t>$ 25,955,136</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11,200,355</w:t>
            </w:r>
          </w:p>
        </w:tc>
        <w:tc>
          <w:tcPr>
            <w:tcW w:w="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6"/>
              </w:rPr>
              <w:t>25,896,919</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Total assets</w:t>
            </w:r>
          </w:p>
        </w:tc>
        <w:tc>
          <w:tcPr>
            <w:tcW w:w="3140" w:type="dxa"/>
            <w:vAlign w:val="bottom"/>
            <w:gridSpan w:val="2"/>
          </w:tcPr>
          <w:p>
            <w:pPr>
              <w:jc w:val="right"/>
              <w:ind w:right="32"/>
              <w:spacing w:after="0"/>
              <w:rPr>
                <w:sz w:val="20"/>
                <w:szCs w:val="20"/>
                <w:color w:val="auto"/>
              </w:rPr>
            </w:pPr>
            <w:r>
              <w:rPr>
                <w:rFonts w:ascii="Arial" w:cs="Arial" w:eastAsia="Arial" w:hAnsi="Arial"/>
                <w:sz w:val="18"/>
                <w:szCs w:val="18"/>
                <w:color w:val="auto"/>
              </w:rPr>
              <w:t>68,417,142</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28,391,787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11,226,755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28,798,600</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16,107,597</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3,572,004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3,080,118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9,455,475</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140" w:type="dxa"/>
            <w:vAlign w:val="bottom"/>
            <w:gridSpan w:val="2"/>
          </w:tcPr>
          <w:p>
            <w:pPr>
              <w:jc w:val="right"/>
              <w:ind w:right="32"/>
              <w:spacing w:after="0"/>
              <w:rPr>
                <w:sz w:val="20"/>
                <w:szCs w:val="20"/>
                <w:color w:val="auto"/>
              </w:rPr>
            </w:pPr>
            <w:r>
              <w:rPr>
                <w:rFonts w:ascii="Arial" w:cs="Arial" w:eastAsia="Arial" w:hAnsi="Arial"/>
                <w:sz w:val="18"/>
                <w:szCs w:val="18"/>
                <w:color w:val="auto"/>
              </w:rPr>
              <w:t>2,488,057</w:t>
            </w:r>
          </w:p>
        </w:tc>
        <w:tc>
          <w:tcPr>
            <w:tcW w:w="1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871,886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1,616,171</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49,821,488</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24,819,783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7,274,751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17,726,954</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Company’s share of joint ventures’ equity</w:t>
            </w:r>
          </w:p>
        </w:tc>
        <w:tc>
          <w:tcPr>
            <w:tcW w:w="3140" w:type="dxa"/>
            <w:vAlign w:val="bottom"/>
            <w:gridSpan w:val="2"/>
          </w:tcPr>
          <w:p>
            <w:pPr>
              <w:jc w:val="right"/>
              <w:ind w:right="32"/>
              <w:spacing w:after="0"/>
              <w:rPr>
                <w:sz w:val="20"/>
                <w:szCs w:val="20"/>
                <w:color w:val="auto"/>
              </w:rPr>
            </w:pPr>
            <w:r>
              <w:rPr>
                <w:rFonts w:ascii="Arial" w:cs="Arial" w:eastAsia="Arial" w:hAnsi="Arial"/>
                <w:sz w:val="18"/>
                <w:szCs w:val="18"/>
                <w:color w:val="auto"/>
              </w:rPr>
              <w:t>24,702,981</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12,409,893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3,637,375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8,655,713</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Company’s share of joint ventures’ undistributed earnings</w:t>
            </w:r>
          </w:p>
        </w:tc>
        <w:tc>
          <w:tcPr>
            <w:tcW w:w="3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$ 22,281,510</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7"/>
              </w:rPr>
              <w:t>$ 12,378,988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3,587,375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6,315,147</w:t>
            </w:r>
          </w:p>
        </w:tc>
      </w:tr>
      <w:tr>
        <w:trPr>
          <w:trHeight w:val="591"/>
        </w:trPr>
        <w:tc>
          <w:tcPr>
            <w:tcW w:w="4880" w:type="dxa"/>
            <w:vAlign w:val="bottom"/>
          </w:tcPr>
          <w:p>
            <w:pPr>
              <w:spacing w:after="0"/>
              <w:rPr>
                <w:sz w:val="24"/>
                <w:szCs w:val="24"/>
                <w:color w:val="auto"/>
              </w:rPr>
            </w:pPr>
          </w:p>
        </w:tc>
        <w:tc>
          <w:tcPr>
            <w:tcW w:w="2100" w:type="dxa"/>
            <w:vAlign w:val="bottom"/>
          </w:tcPr>
          <w:p>
            <w:pPr>
              <w:jc w:val="right"/>
              <w:ind w:right="1132"/>
              <w:spacing w:after="0"/>
              <w:rPr>
                <w:sz w:val="20"/>
                <w:szCs w:val="20"/>
                <w:color w:val="auto"/>
              </w:rPr>
            </w:pPr>
            <w:r>
              <w:rPr>
                <w:rFonts w:ascii="Arial" w:cs="Arial" w:eastAsia="Arial" w:hAnsi="Arial"/>
                <w:sz w:val="18"/>
                <w:szCs w:val="18"/>
                <w:color w:val="auto"/>
              </w:rPr>
              <w:t>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2"/>
        </w:trPr>
        <w:tc>
          <w:tcPr>
            <w:tcW w:w="4880" w:type="dxa"/>
            <w:vAlign w:val="bottom"/>
            <w:tcBorders>
              <w:bottom w:val="single" w:sz="8" w:color="808080"/>
            </w:tcBorders>
          </w:tcPr>
          <w:p>
            <w:pPr>
              <w:spacing w:after="0"/>
              <w:rPr>
                <w:sz w:val="12"/>
                <w:szCs w:val="12"/>
                <w:color w:val="auto"/>
              </w:rPr>
            </w:pPr>
          </w:p>
        </w:tc>
        <w:tc>
          <w:tcPr>
            <w:tcW w:w="210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-36830</wp:posOffset>
            </wp:positionV>
            <wp:extent cx="1270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1270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10"/>
          </w:tcPr>
          <w:p>
            <w:pPr>
              <w:jc w:val="right"/>
              <w:ind w:right="792"/>
              <w:spacing w:after="0"/>
              <w:rPr>
                <w:sz w:val="20"/>
                <w:szCs w:val="20"/>
                <w:color w:val="auto"/>
              </w:rPr>
            </w:pPr>
            <w:r>
              <w:rPr>
                <w:rFonts w:ascii="Arial" w:cs="Arial" w:eastAsia="Arial" w:hAnsi="Arial"/>
                <w:sz w:val="18"/>
                <w:szCs w:val="18"/>
                <w:b w:val="1"/>
                <w:bCs w:val="1"/>
                <w:color w:val="auto"/>
              </w:rPr>
              <w:t>Six Months Ended February 28, 2014</w:t>
            </w:r>
          </w:p>
        </w:tc>
      </w:tr>
      <w:tr>
        <w:trPr>
          <w:trHeight w:val="204"/>
        </w:trPr>
        <w:tc>
          <w:tcPr>
            <w:tcW w:w="69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2"/>
              <w:spacing w:after="0" w:line="204"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2"/>
              <w:spacing w:after="0" w:line="204" w:lineRule="exact"/>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2"/>
              <w:spacing w:after="0" w:line="204" w:lineRule="exact"/>
              <w:rPr>
                <w:sz w:val="20"/>
                <w:szCs w:val="20"/>
                <w:color w:val="auto"/>
              </w:rPr>
            </w:pPr>
            <w:r>
              <w:rPr>
                <w:rFonts w:ascii="Arial" w:cs="Arial" w:eastAsia="Arial" w:hAnsi="Arial"/>
                <w:sz w:val="18"/>
                <w:szCs w:val="18"/>
                <w:b w:val="1"/>
                <w:bCs w:val="1"/>
                <w:color w:val="auto"/>
              </w:rPr>
              <w:t>China</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2"/>
              <w:spacing w:after="0" w:line="204" w:lineRule="exact"/>
              <w:rPr>
                <w:sz w:val="20"/>
                <w:szCs w:val="20"/>
                <w:color w:val="auto"/>
              </w:rPr>
            </w:pPr>
            <w:r>
              <w:rPr>
                <w:rFonts w:ascii="Arial" w:cs="Arial" w:eastAsia="Arial" w:hAnsi="Arial"/>
                <w:sz w:val="18"/>
                <w:szCs w:val="18"/>
                <w:b w:val="1"/>
                <w:bCs w:val="1"/>
                <w:color w:val="auto"/>
                <w:w w:val="89"/>
              </w:rPr>
              <w:t>All Other</w:t>
            </w:r>
          </w:p>
        </w:tc>
      </w:tr>
      <w:tr>
        <w:trPr>
          <w:trHeight w:val="204"/>
        </w:trPr>
        <w:tc>
          <w:tcPr>
            <w:tcW w:w="6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58,050,376</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18,963,579</w:t>
            </w:r>
          </w:p>
        </w:tc>
        <w:tc>
          <w:tcPr>
            <w:tcW w:w="26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4"/>
              </w:rPr>
              <w:t>8,257,630</w:t>
            </w:r>
          </w:p>
        </w:tc>
        <w:tc>
          <w:tcPr>
            <w:tcW w:w="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6"/>
              </w:rPr>
              <w:t>30,829,167</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27,600,668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10,072,948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3,834,419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13,693,301</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5,479,724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3,763,017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553,963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1,162,744</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Company’s share of equity in income of joint ventures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2,823,199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1,881,705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276,948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664,546</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10"/>
          </w:tcPr>
          <w:p>
            <w:pPr>
              <w:jc w:val="right"/>
              <w:ind w:right="792"/>
              <w:spacing w:after="0"/>
              <w:rPr>
                <w:sz w:val="20"/>
                <w:szCs w:val="20"/>
                <w:color w:val="auto"/>
              </w:rPr>
            </w:pPr>
            <w:r>
              <w:rPr>
                <w:rFonts w:ascii="Arial" w:cs="Arial" w:eastAsia="Arial" w:hAnsi="Arial"/>
                <w:sz w:val="18"/>
                <w:szCs w:val="18"/>
                <w:b w:val="1"/>
                <w:bCs w:val="1"/>
                <w:color w:val="auto"/>
              </w:rPr>
              <w:t>Six Months Ended February 28, 2013</w:t>
            </w:r>
          </w:p>
        </w:tc>
      </w:tr>
      <w:tr>
        <w:trPr>
          <w:trHeight w:val="204"/>
        </w:trPr>
        <w:tc>
          <w:tcPr>
            <w:tcW w:w="69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2"/>
              <w:spacing w:after="0" w:line="204"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2"/>
              <w:spacing w:after="0" w:line="204" w:lineRule="exact"/>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2"/>
              <w:spacing w:after="0" w:line="204" w:lineRule="exact"/>
              <w:rPr>
                <w:sz w:val="20"/>
                <w:szCs w:val="20"/>
                <w:color w:val="auto"/>
              </w:rPr>
            </w:pPr>
            <w:r>
              <w:rPr>
                <w:rFonts w:ascii="Arial" w:cs="Arial" w:eastAsia="Arial" w:hAnsi="Arial"/>
                <w:sz w:val="18"/>
                <w:szCs w:val="18"/>
                <w:b w:val="1"/>
                <w:bCs w:val="1"/>
                <w:color w:val="auto"/>
              </w:rPr>
              <w:t>China</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2"/>
              <w:spacing w:after="0" w:line="204" w:lineRule="exact"/>
              <w:rPr>
                <w:sz w:val="20"/>
                <w:szCs w:val="20"/>
                <w:color w:val="auto"/>
              </w:rPr>
            </w:pPr>
            <w:r>
              <w:rPr>
                <w:rFonts w:ascii="Arial" w:cs="Arial" w:eastAsia="Arial" w:hAnsi="Arial"/>
                <w:sz w:val="18"/>
                <w:szCs w:val="18"/>
                <w:b w:val="1"/>
                <w:bCs w:val="1"/>
                <w:color w:val="auto"/>
                <w:w w:val="89"/>
              </w:rPr>
              <w:t>All Other</w:t>
            </w:r>
          </w:p>
        </w:tc>
      </w:tr>
      <w:tr>
        <w:trPr>
          <w:trHeight w:val="204"/>
        </w:trPr>
        <w:tc>
          <w:tcPr>
            <w:tcW w:w="6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54,247,135</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17,451,153</w:t>
            </w:r>
          </w:p>
        </w:tc>
        <w:tc>
          <w:tcPr>
            <w:tcW w:w="26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4"/>
              </w:rPr>
              <w:t>6,929,260</w:t>
            </w:r>
          </w:p>
        </w:tc>
        <w:tc>
          <w:tcPr>
            <w:tcW w:w="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6"/>
              </w:rPr>
              <w:t>29,866,722</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25,852,537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9,105,579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3,290,660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13,456,298</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4,728,680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3,260,575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524,546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943,559</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Company’s share of equity in income of joint ventures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2,292,734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1,631,125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262,148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399,461</w:t>
            </w:r>
          </w:p>
        </w:tc>
      </w:tr>
    </w:tbl>
    <w:p>
      <w:pPr>
        <w:spacing w:after="0" w:line="21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records expenses that are directly attributable to the joint ventures on its consolidated statements of operations in the line item “Expenses incurred in support of joint ventures.” The expenses include items such as employee compensation and benefit expenses, travel expense and consulting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six months ended February 28, 2014 and 2013.</w:t>
      </w:r>
    </w:p>
    <w:p>
      <w:pPr>
        <w:spacing w:after="0" w:line="240"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On November 30, 2013, the Company agreed to sell its indirect ownership interest in Mütec GmbH (“Mütec”), one of the Company’s joint ventures in Germany which manufactures proprietary electronic sensing instruments. As of February 28, 2014, $177,273 is due to the Company related to this transaction.</w:t>
      </w:r>
    </w:p>
    <w:p>
      <w:pPr>
        <w:spacing w:after="0" w:line="155" w:lineRule="exact"/>
        <w:rPr>
          <w:sz w:val="20"/>
          <w:szCs w:val="20"/>
          <w:color w:val="auto"/>
        </w:rPr>
      </w:pPr>
    </w:p>
    <w:p>
      <w:pPr>
        <w:ind w:left="620" w:hanging="615"/>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46" w:lineRule="exact"/>
        <w:rPr>
          <w:sz w:val="20"/>
          <w:szCs w:val="20"/>
          <w:color w:val="auto"/>
        </w:rPr>
      </w:pPr>
    </w:p>
    <w:p>
      <w:pPr>
        <w:jc w:val="both"/>
        <w:ind w:right="280"/>
        <w:spacing w:after="0" w:line="299" w:lineRule="auto"/>
        <w:rPr>
          <w:sz w:val="20"/>
          <w:szCs w:val="20"/>
          <w:color w:val="auto"/>
        </w:rPr>
      </w:pPr>
      <w:r>
        <w:rPr>
          <w:rFonts w:ascii="Arial" w:cs="Arial" w:eastAsia="Arial" w:hAnsi="Arial"/>
          <w:sz w:val="16"/>
          <w:szCs w:val="16"/>
          <w:color w:val="auto"/>
        </w:rPr>
        <w:t>As of August 31, 2013, Northern Technologies Holding Company, LLC (NTI LLC) had a term loan with a principal amount of $933,413 outstanding that NTI LLC obtained from PNC Bank, National Association (PNC Bank) in connection with the purchase of NTIC’s corporate headquarters in September 2006. This term loan was repaid in full on January 3, 2014 and as a result there was $0 outstanding as of February 28, 2014.</w:t>
      </w:r>
    </w:p>
    <w:p>
      <w:pPr>
        <w:spacing w:after="0" w:line="18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Company has a revolving line of credit with PNC Bank of $3,000,000. No amounts were outstanding under the line of credit as of both February 28, 2014 and August 31, 2013.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As of February 28, 2014, the Company was in compliance with all debt covenants.</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On December 31, 2013, PNC Bank extended the maturity date of the line of credit from January 8, 2014 to January 7, 2015. All other terms of the line of credit and the loan agreement and other documents evidencing the line of credit remain the same.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 w:name="page11"/>
    <w:bookmarkEnd w:id="10"/>
    <w:p>
      <w:pPr>
        <w:ind w:left="620" w:hanging="615"/>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4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six months ended February 28, 2014, the Company did not purchase or retire any shares of its common stock. The following stock options to purchase shares of common stock were exercised during the six months ended February 28, 2014: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3"/>
          </w:tcPr>
          <w:p>
            <w:pPr>
              <w:jc w:val="center"/>
              <w:ind w:left="2712"/>
              <w:spacing w:after="0"/>
              <w:rPr>
                <w:sz w:val="20"/>
                <w:szCs w:val="20"/>
                <w:color w:val="auto"/>
              </w:rPr>
            </w:pPr>
            <w:r>
              <w:rPr>
                <w:rFonts w:ascii="Arial" w:cs="Arial" w:eastAsia="Arial" w:hAnsi="Arial"/>
                <w:sz w:val="18"/>
                <w:szCs w:val="18"/>
                <w:color w:val="auto"/>
                <w:w w:val="88"/>
              </w:rPr>
              <w:t>Options Exercised</w:t>
            </w:r>
          </w:p>
        </w:tc>
        <w:tc>
          <w:tcPr>
            <w:tcW w:w="5640" w:type="dxa"/>
            <w:vAlign w:val="bottom"/>
            <w:gridSpan w:val="3"/>
          </w:tcPr>
          <w:p>
            <w:pPr>
              <w:jc w:val="center"/>
              <w:ind w:right="2920"/>
              <w:spacing w:after="0"/>
              <w:rPr>
                <w:sz w:val="20"/>
                <w:szCs w:val="20"/>
                <w:color w:val="auto"/>
              </w:rPr>
            </w:pPr>
            <w:r>
              <w:rPr>
                <w:rFonts w:ascii="Arial" w:cs="Arial" w:eastAsia="Arial" w:hAnsi="Arial"/>
                <w:sz w:val="18"/>
                <w:szCs w:val="18"/>
                <w:color w:val="auto"/>
                <w:w w:val="86"/>
              </w:rPr>
              <w:t>Exercise Price</w:t>
            </w:r>
          </w:p>
        </w:tc>
      </w:tr>
      <w:tr>
        <w:trPr>
          <w:trHeight w:val="46"/>
        </w:trPr>
        <w:tc>
          <w:tcPr>
            <w:tcW w:w="364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3780" w:type="dxa"/>
            <w:vAlign w:val="bottom"/>
          </w:tcPr>
          <w:p>
            <w:pPr>
              <w:spacing w:after="0"/>
              <w:rPr>
                <w:sz w:val="3"/>
                <w:szCs w:val="3"/>
                <w:color w:val="auto"/>
              </w:rPr>
            </w:pPr>
          </w:p>
        </w:tc>
      </w:tr>
      <w:tr>
        <w:trPr>
          <w:trHeight w:val="237"/>
        </w:trPr>
        <w:tc>
          <w:tcPr>
            <w:tcW w:w="4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$7.65</w:t>
            </w:r>
          </w:p>
        </w:tc>
        <w:tc>
          <w:tcPr>
            <w:tcW w:w="378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1812290" cy="150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12290" cy="150495"/>
                    </a:xfrm>
                    <a:prstGeom prst="rect">
                      <a:avLst/>
                    </a:prstGeom>
                    <a:noFill/>
                  </pic:spPr>
                </pic:pic>
              </a:graphicData>
            </a:graphic>
          </wp:anchor>
        </w:drawing>
        <w:drawing>
          <wp:anchor simplePos="0" relativeHeight="251657728" behindDoc="1" locked="0" layoutInCell="0" allowOverlap="1">
            <wp:simplePos x="0" y="0"/>
            <wp:positionH relativeFrom="column">
              <wp:posOffset>5440680</wp:posOffset>
            </wp:positionH>
            <wp:positionV relativeFrom="paragraph">
              <wp:posOffset>-149860</wp:posOffset>
            </wp:positionV>
            <wp:extent cx="1812290" cy="150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12290" cy="150495"/>
                    </a:xfrm>
                    <a:prstGeom prst="rect">
                      <a:avLst/>
                    </a:prstGeom>
                    <a:noFill/>
                  </pic:spPr>
                </pic:pic>
              </a:graphicData>
            </a:graphic>
          </wp:anchor>
        </w:drawing>
      </w:r>
    </w:p>
    <w:p>
      <w:pPr>
        <w:spacing w:after="0" w:line="178"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The Company granted stock options under the Northern Technologies International Corporation Amended and Restated 2007 Stock Incentive Plan (the 2007 Plan) to purchase an aggregate of 56,373 shares of its common stock to various employees and directors during the six months ended February 28, 2014. The weighted average per share exercise price of the stock options is $14.83, which is equal to the fair market value of the Company’s common stock on the date of grant.</w:t>
      </w:r>
    </w:p>
    <w:p>
      <w:pPr>
        <w:spacing w:after="0" w:line="1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six months ended February 28, 2013, the Company did not purchase or retire any shares of its common stock. The following stock options to purchase shares of common stock were exercised during the six months ended February 28, 2013: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3"/>
          </w:tcPr>
          <w:p>
            <w:pPr>
              <w:ind w:left="3640"/>
              <w:spacing w:after="0"/>
              <w:rPr>
                <w:sz w:val="20"/>
                <w:szCs w:val="20"/>
                <w:color w:val="auto"/>
              </w:rPr>
            </w:pPr>
            <w:r>
              <w:rPr>
                <w:rFonts w:ascii="Arial" w:cs="Arial" w:eastAsia="Arial" w:hAnsi="Arial"/>
                <w:sz w:val="18"/>
                <w:szCs w:val="18"/>
                <w:color w:val="auto"/>
              </w:rPr>
              <w:t>Options Exercised</w:t>
            </w:r>
          </w:p>
        </w:tc>
        <w:tc>
          <w:tcPr>
            <w:tcW w:w="5640" w:type="dxa"/>
            <w:vAlign w:val="bottom"/>
            <w:gridSpan w:val="3"/>
          </w:tcPr>
          <w:p>
            <w:pPr>
              <w:ind w:left="860"/>
              <w:spacing w:after="0"/>
              <w:rPr>
                <w:sz w:val="20"/>
                <w:szCs w:val="20"/>
                <w:color w:val="auto"/>
              </w:rPr>
            </w:pPr>
            <w:r>
              <w:rPr>
                <w:rFonts w:ascii="Arial" w:cs="Arial" w:eastAsia="Arial" w:hAnsi="Arial"/>
                <w:sz w:val="18"/>
                <w:szCs w:val="18"/>
                <w:color w:val="auto"/>
              </w:rPr>
              <w:t>Exercise Price</w:t>
            </w:r>
          </w:p>
        </w:tc>
      </w:tr>
      <w:tr>
        <w:trPr>
          <w:trHeight w:val="46"/>
        </w:trPr>
        <w:tc>
          <w:tcPr>
            <w:tcW w:w="364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3780" w:type="dxa"/>
            <w:vAlign w:val="bottom"/>
          </w:tcPr>
          <w:p>
            <w:pPr>
              <w:spacing w:after="0"/>
              <w:rPr>
                <w:sz w:val="3"/>
                <w:szCs w:val="3"/>
                <w:color w:val="auto"/>
              </w:rPr>
            </w:pPr>
          </w:p>
        </w:tc>
      </w:tr>
      <w:tr>
        <w:trPr>
          <w:trHeight w:val="237"/>
        </w:trPr>
        <w:tc>
          <w:tcPr>
            <w:tcW w:w="4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25,140</w:t>
            </w:r>
          </w:p>
        </w:tc>
        <w:tc>
          <w:tcPr>
            <w:tcW w:w="84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$9.95</w:t>
            </w:r>
          </w:p>
        </w:tc>
        <w:tc>
          <w:tcPr>
            <w:tcW w:w="3780" w:type="dxa"/>
            <w:vAlign w:val="bottom"/>
            <w:shd w:val="clear" w:color="auto" w:fill="CCEEFF"/>
          </w:tcPr>
          <w:p>
            <w:pPr>
              <w:spacing w:after="0"/>
              <w:rPr>
                <w:sz w:val="20"/>
                <w:szCs w:val="20"/>
                <w:color w:val="auto"/>
              </w:rPr>
            </w:pPr>
          </w:p>
        </w:tc>
      </w:tr>
      <w:tr>
        <w:trPr>
          <w:trHeight w:val="236"/>
        </w:trPr>
        <w:tc>
          <w:tcPr>
            <w:tcW w:w="4940" w:type="dxa"/>
            <w:vAlign w:val="bottom"/>
            <w:gridSpan w:val="2"/>
          </w:tcPr>
          <w:p>
            <w:pPr>
              <w:jc w:val="right"/>
              <w:ind w:right="460"/>
              <w:spacing w:after="0"/>
              <w:rPr>
                <w:sz w:val="20"/>
                <w:szCs w:val="20"/>
                <w:color w:val="auto"/>
              </w:rPr>
            </w:pPr>
            <w:r>
              <w:rPr>
                <w:rFonts w:ascii="Arial" w:cs="Arial" w:eastAsia="Arial" w:hAnsi="Arial"/>
                <w:sz w:val="18"/>
                <w:szCs w:val="18"/>
                <w:color w:val="auto"/>
              </w:rPr>
              <w:t>1,734</w:t>
            </w:r>
          </w:p>
        </w:tc>
        <w:tc>
          <w:tcPr>
            <w:tcW w:w="84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7.65</w:t>
            </w: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-299720</wp:posOffset>
            </wp:positionV>
            <wp:extent cx="1812290" cy="300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12290" cy="300990"/>
                    </a:xfrm>
                    <a:prstGeom prst="rect">
                      <a:avLst/>
                    </a:prstGeom>
                    <a:noFill/>
                  </pic:spPr>
                </pic:pic>
              </a:graphicData>
            </a:graphic>
          </wp:anchor>
        </w:drawing>
        <w:drawing>
          <wp:anchor simplePos="0" relativeHeight="251657728" behindDoc="1" locked="0" layoutInCell="0" allowOverlap="1">
            <wp:simplePos x="0" y="0"/>
            <wp:positionH relativeFrom="column">
              <wp:posOffset>5440680</wp:posOffset>
            </wp:positionH>
            <wp:positionV relativeFrom="paragraph">
              <wp:posOffset>-299720</wp:posOffset>
            </wp:positionV>
            <wp:extent cx="1812290" cy="150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12290" cy="150495"/>
                    </a:xfrm>
                    <a:prstGeom prst="rect">
                      <a:avLst/>
                    </a:prstGeom>
                    <a:noFill/>
                  </pic:spPr>
                </pic:pic>
              </a:graphicData>
            </a:graphic>
          </wp:anchor>
        </w:drawing>
      </w:r>
    </w:p>
    <w:p>
      <w:pPr>
        <w:spacing w:after="0" w:line="205"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Company granted stock options under the 2007 Plan to purchase an aggregate of 118,294 shares of its common stock to various employees and directors during the six months ended February 28, 2013. The weighted average per share exercise price of the stock options is $10.25, which is equal to the fair market value of the Company’s common stock on the date of grant.</w:t>
      </w:r>
    </w:p>
    <w:p>
      <w:pPr>
        <w:spacing w:after="0" w:line="210" w:lineRule="exact"/>
        <w:rPr>
          <w:sz w:val="20"/>
          <w:szCs w:val="20"/>
          <w:color w:val="auto"/>
        </w:rPr>
      </w:pPr>
    </w:p>
    <w:p>
      <w:pPr>
        <w:ind w:left="620" w:hanging="615"/>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208" w:lineRule="exact"/>
        <w:rPr>
          <w:sz w:val="20"/>
          <w:szCs w:val="20"/>
          <w:color w:val="auto"/>
        </w:rPr>
      </w:pPr>
    </w:p>
    <w:p>
      <w:pPr>
        <w:jc w:val="both"/>
        <w:ind w:right="180"/>
        <w:spacing w:after="0" w:line="249" w:lineRule="auto"/>
        <w:rPr>
          <w:sz w:val="20"/>
          <w:szCs w:val="20"/>
          <w:color w:val="auto"/>
        </w:rPr>
      </w:pPr>
      <w:r>
        <w:rPr>
          <w:rFonts w:ascii="Arial" w:cs="Arial" w:eastAsia="Arial" w:hAnsi="Arial"/>
          <w:sz w:val="18"/>
          <w:szCs w:val="18"/>
          <w:color w:val="auto"/>
        </w:rPr>
        <w:t>No options to purchase shares of common stock were excluded from the computation of common share equivalents for the three and six months ended February 28, 2014, as the exercise prices of such options were less than market price of a share of common stock. Options to purchase shares of common stock of 48,000 were excluded from the computation of common share equivalents for the three and six months ended February 28, 2013, as the exercise prices of such options were greater than market price of a share of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earnings per share computation for the three and six months ended February 28, 2014 and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c>
          <w:tcPr>
            <w:tcW w:w="0" w:type="dxa"/>
            <w:vAlign w:val="bottom"/>
          </w:tcPr>
          <w:p>
            <w:pPr>
              <w:spacing w:after="0"/>
              <w:rPr>
                <w:sz w:val="1"/>
                <w:szCs w:val="1"/>
                <w:color w:val="auto"/>
              </w:rPr>
            </w:pPr>
          </w:p>
        </w:tc>
      </w:tr>
      <w:tr>
        <w:trPr>
          <w:trHeight w:val="229"/>
        </w:trPr>
        <w:tc>
          <w:tcPr>
            <w:tcW w:w="4800" w:type="dxa"/>
            <w:vAlign w:val="bottom"/>
            <w:gridSpan w:val="2"/>
          </w:tcPr>
          <w:p>
            <w:pPr>
              <w:spacing w:after="0"/>
              <w:rPr>
                <w:sz w:val="20"/>
                <w:szCs w:val="20"/>
                <w:color w:val="auto"/>
              </w:rPr>
            </w:pPr>
            <w:r>
              <w:rPr>
                <w:rFonts w:ascii="Arial" w:cs="Arial" w:eastAsia="Arial" w:hAnsi="Arial"/>
                <w:sz w:val="18"/>
                <w:szCs w:val="18"/>
                <w:color w:val="auto"/>
              </w:rPr>
              <w:t>Numerators:</w:t>
            </w:r>
          </w:p>
        </w:tc>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income attributable to NTIC</w:t>
            </w:r>
          </w:p>
        </w:tc>
        <w:tc>
          <w:tcPr>
            <w:tcW w:w="2180" w:type="dxa"/>
            <w:vAlign w:val="bottom"/>
            <w:gridSpan w:val="2"/>
            <w:shd w:val="clear" w:color="auto" w:fill="CCEEFF"/>
          </w:tcPr>
          <w:p>
            <w:pPr>
              <w:ind w:left="20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4"/>
              </w:rPr>
              <w:t>1,025,044</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434,410</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1,883,630</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824,032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4,434,837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4,418,821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4,434,770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4,409,954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2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144,766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66,255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131,333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50,243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80" w:type="dxa"/>
            <w:vAlign w:val="bottom"/>
          </w:tcPr>
          <w:p>
            <w:pPr>
              <w:spacing w:after="0" w:line="204" w:lineRule="exact"/>
              <w:rPr>
                <w:sz w:val="20"/>
                <w:szCs w:val="20"/>
                <w:color w:val="auto"/>
              </w:rPr>
            </w:pPr>
            <w:r>
              <w:rPr>
                <w:rFonts w:ascii="Arial" w:cs="Arial" w:eastAsia="Arial" w:hAnsi="Arial"/>
                <w:sz w:val="18"/>
                <w:szCs w:val="18"/>
                <w:color w:val="auto"/>
              </w:rPr>
              <w:t>Diluted – weighted shares outstanding</w:t>
            </w: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
              <w:spacing w:after="0" w:line="204" w:lineRule="exact"/>
              <w:rPr>
                <w:sz w:val="20"/>
                <w:szCs w:val="20"/>
                <w:color w:val="auto"/>
              </w:rPr>
            </w:pPr>
            <w:r>
              <w:rPr>
                <w:rFonts w:ascii="Arial" w:cs="Arial" w:eastAsia="Arial" w:hAnsi="Arial"/>
                <w:sz w:val="18"/>
                <w:szCs w:val="18"/>
                <w:color w:val="auto"/>
                <w:w w:val="94"/>
              </w:rPr>
              <w:t>4,579,603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
              <w:spacing w:after="0" w:line="204" w:lineRule="exact"/>
              <w:rPr>
                <w:sz w:val="20"/>
                <w:szCs w:val="20"/>
                <w:color w:val="auto"/>
              </w:rPr>
            </w:pPr>
            <w:r>
              <w:rPr>
                <w:rFonts w:ascii="Arial" w:cs="Arial" w:eastAsia="Arial" w:hAnsi="Arial"/>
                <w:sz w:val="18"/>
                <w:szCs w:val="18"/>
                <w:color w:val="auto"/>
                <w:w w:val="94"/>
              </w:rPr>
              <w:t>4,485,076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4,566,103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4,460,197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18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18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0.22</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0" w:type="dxa"/>
            <w:vAlign w:val="bottom"/>
          </w:tcPr>
          <w:p>
            <w:pPr>
              <w:jc w:val="right"/>
              <w:ind w:right="91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808080"/>
            </w:tcBorders>
          </w:tcPr>
          <w:p>
            <w:pPr>
              <w:spacing w:after="0"/>
              <w:rPr>
                <w:sz w:val="12"/>
                <w:szCs w:val="12"/>
                <w:color w:val="auto"/>
              </w:rPr>
            </w:pPr>
          </w:p>
        </w:tc>
        <w:tc>
          <w:tcPr>
            <w:tcW w:w="4780" w:type="dxa"/>
            <w:vAlign w:val="bottom"/>
            <w:tcBorders>
              <w:bottom w:val="single" w:sz="8" w:color="808080"/>
            </w:tcBorders>
          </w:tcPr>
          <w:p>
            <w:pPr>
              <w:spacing w:after="0"/>
              <w:rPr>
                <w:sz w:val="12"/>
                <w:szCs w:val="12"/>
                <w:color w:val="auto"/>
              </w:rPr>
            </w:pPr>
          </w:p>
        </w:tc>
        <w:tc>
          <w:tcPr>
            <w:tcW w:w="20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-36830</wp:posOffset>
            </wp:positionV>
            <wp:extent cx="1270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1270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1" w:name="page12"/>
    <w:bookmarkEnd w:id="11"/>
    <w:p>
      <w:pPr>
        <w:ind w:right="100"/>
        <w:spacing w:after="0" w:line="249"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214" w:lineRule="exact"/>
        <w:rPr>
          <w:sz w:val="20"/>
          <w:szCs w:val="20"/>
          <w:color w:val="auto"/>
        </w:rPr>
      </w:pPr>
    </w:p>
    <w:p>
      <w:pPr>
        <w:ind w:left="620" w:hanging="615"/>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6"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The Company has two stock-based compensation plans under which stock options and other stock-based awards have been granted, including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administers these plans.</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19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2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Company granted options to purchase an aggregate of 56,373 and 118,294 shares of its common stock during the six months ended February 28, 2014 and 2013, respectively. The fair value of option grants is determined at date of grant, using the Black-Scholes option pricing model with the assumptions listed below. Based on these valuations, the Company recognized compensation expense of $236,623 and $137,550 during the six months ended February 28, 2014 and 2013, respectively, related to the options that vested during such time period. The stock-based expense recorded reduced after-tax net income per share by $0.03 for each of the six months ended February 28, 2014 and 2013, respectively. As of February 28, 2014, the total compensation cost for non-vested options not yet recognized in the Company’s consolidated statements of operations was $503,979 net of estimated forfeitures. Additional stock-based compensation expense of $217,396 is expected through the remainder of fiscal year 2014, and expense of $186,598 and $99,985 is expected to be recognized during fiscal 2015 and fiscal 2016, respectively. Future option grants will impact the compensation expense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4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00"/>
          </w:cols>
          <w:pgMar w:left="240" w:top="272"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9"/>
        </w:trPr>
        <w:tc>
          <w:tcPr>
            <w:tcW w:w="8800" w:type="dxa"/>
            <w:vAlign w:val="bottom"/>
          </w:tcPr>
          <w:p>
            <w:pPr>
              <w:spacing w:after="0"/>
              <w:rPr>
                <w:sz w:val="19"/>
                <w:szCs w:val="19"/>
                <w:color w:val="auto"/>
              </w:rPr>
            </w:pPr>
          </w:p>
        </w:tc>
        <w:tc>
          <w:tcPr>
            <w:tcW w:w="262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Six Months Ended</w:t>
            </w:r>
          </w:p>
        </w:tc>
      </w:tr>
      <w:tr>
        <w:trPr>
          <w:trHeight w:val="186"/>
        </w:trPr>
        <w:tc>
          <w:tcPr>
            <w:tcW w:w="8800" w:type="dxa"/>
            <w:vAlign w:val="bottom"/>
          </w:tcPr>
          <w:p>
            <w:pPr>
              <w:spacing w:after="0"/>
              <w:rPr>
                <w:sz w:val="16"/>
                <w:szCs w:val="16"/>
                <w:color w:val="auto"/>
              </w:rPr>
            </w:pPr>
          </w:p>
        </w:tc>
        <w:tc>
          <w:tcPr>
            <w:tcW w:w="1160" w:type="dxa"/>
            <w:vAlign w:val="bottom"/>
          </w:tcPr>
          <w:p>
            <w:pPr>
              <w:jc w:val="right"/>
              <w:ind w:right="92"/>
              <w:spacing w:after="0" w:line="186" w:lineRule="exact"/>
              <w:rPr>
                <w:sz w:val="20"/>
                <w:szCs w:val="20"/>
                <w:color w:val="auto"/>
              </w:rPr>
            </w:pPr>
            <w:r>
              <w:rPr>
                <w:rFonts w:ascii="Arial" w:cs="Arial" w:eastAsia="Arial" w:hAnsi="Arial"/>
                <w:sz w:val="18"/>
                <w:szCs w:val="18"/>
                <w:b w:val="1"/>
                <w:bCs w:val="1"/>
                <w:color w:val="auto"/>
                <w:w w:val="89"/>
              </w:rPr>
              <w:t>February 28,</w:t>
            </w:r>
          </w:p>
        </w:tc>
        <w:tc>
          <w:tcPr>
            <w:tcW w:w="100" w:type="dxa"/>
            <w:vAlign w:val="bottom"/>
          </w:tcPr>
          <w:p>
            <w:pPr>
              <w:spacing w:after="0"/>
              <w:rPr>
                <w:sz w:val="16"/>
                <w:szCs w:val="16"/>
                <w:color w:val="auto"/>
              </w:rPr>
            </w:pPr>
          </w:p>
        </w:tc>
        <w:tc>
          <w:tcPr>
            <w:tcW w:w="1360" w:type="dxa"/>
            <w:vAlign w:val="bottom"/>
            <w:gridSpan w:val="2"/>
          </w:tcPr>
          <w:p>
            <w:pPr>
              <w:ind w:left="140"/>
              <w:spacing w:after="0" w:line="186" w:lineRule="exact"/>
              <w:rPr>
                <w:sz w:val="20"/>
                <w:szCs w:val="20"/>
                <w:color w:val="auto"/>
              </w:rPr>
            </w:pPr>
            <w:r>
              <w:rPr>
                <w:rFonts w:ascii="Arial" w:cs="Arial" w:eastAsia="Arial" w:hAnsi="Arial"/>
                <w:sz w:val="18"/>
                <w:szCs w:val="18"/>
                <w:b w:val="1"/>
                <w:bCs w:val="1"/>
                <w:color w:val="auto"/>
              </w:rPr>
              <w:t>February 28,</w:t>
            </w:r>
          </w:p>
        </w:tc>
      </w:tr>
      <w:tr>
        <w:trPr>
          <w:trHeight w:val="229"/>
        </w:trPr>
        <w:tc>
          <w:tcPr>
            <w:tcW w:w="8800" w:type="dxa"/>
            <w:vAlign w:val="bottom"/>
          </w:tcPr>
          <w:p>
            <w:pPr>
              <w:spacing w:after="0"/>
              <w:rPr>
                <w:sz w:val="19"/>
                <w:szCs w:val="19"/>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2013</w:t>
            </w: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0.00%</w:t>
            </w:r>
          </w:p>
        </w:tc>
      </w:tr>
      <w:tr>
        <w:trPr>
          <w:trHeight w:val="236"/>
        </w:trPr>
        <w:tc>
          <w:tcPr>
            <w:tcW w:w="880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48.0%</w:t>
            </w:r>
          </w:p>
        </w:tc>
      </w:tr>
      <w:tr>
        <w:trPr>
          <w:trHeight w:val="237"/>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10</w:t>
            </w:r>
          </w:p>
        </w:tc>
      </w:tr>
      <w:tr>
        <w:trPr>
          <w:trHeight w:val="236"/>
        </w:trPr>
        <w:tc>
          <w:tcPr>
            <w:tcW w:w="88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0.71%</w:t>
            </w:r>
          </w:p>
        </w:tc>
      </w:tr>
    </w:tbl>
    <w:p>
      <w:pPr>
        <w:spacing w:after="0" w:line="225" w:lineRule="exact"/>
        <w:rPr>
          <w:sz w:val="20"/>
          <w:szCs w:val="20"/>
          <w:color w:val="auto"/>
        </w:rPr>
      </w:pPr>
    </w:p>
    <w:p>
      <w:pPr>
        <w:ind w:right="540"/>
        <w:spacing w:after="0" w:line="362" w:lineRule="auto"/>
        <w:rPr>
          <w:sz w:val="20"/>
          <w:szCs w:val="20"/>
          <w:color w:val="auto"/>
        </w:rPr>
      </w:pPr>
      <w:r>
        <w:rPr>
          <w:rFonts w:ascii="Arial" w:cs="Arial" w:eastAsia="Arial" w:hAnsi="Arial"/>
          <w:sz w:val="15"/>
          <w:szCs w:val="15"/>
          <w:color w:val="auto"/>
        </w:rPr>
        <w:t>The weighted average per share fair value of options granted during six months ended February 28, 2014 and 2013 was $8.60 and $5.53, respectively. The weighted average remaining contractual life of the options outstanding as of February 28, 2014 and 2013 was 5.02 years and 4.58 years, respectively.</w:t>
      </w:r>
    </w:p>
    <w:p>
      <w:pPr>
        <w:spacing w:after="0" w:line="131" w:lineRule="exact"/>
        <w:rPr>
          <w:sz w:val="20"/>
          <w:szCs w:val="20"/>
          <w:color w:val="auto"/>
        </w:rPr>
      </w:pPr>
    </w:p>
    <w:p>
      <w:pPr>
        <w:ind w:left="580" w:hanging="575"/>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Net sales by geographic location as a percentage of total consolidated net sales for the three and six months ended February 28, 2014 and 2013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80" w:type="dxa"/>
            <w:vAlign w:val="bottom"/>
          </w:tcPr>
          <w:p>
            <w:pPr>
              <w:spacing w:after="0"/>
              <w:rPr>
                <w:sz w:val="19"/>
                <w:szCs w:val="19"/>
                <w:color w:val="auto"/>
              </w:rPr>
            </w:pPr>
          </w:p>
        </w:tc>
        <w:tc>
          <w:tcPr>
            <w:tcW w:w="23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236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8"/>
                <w:szCs w:val="18"/>
                <w:b w:val="1"/>
                <w:bCs w:val="1"/>
                <w:color w:val="auto"/>
              </w:rPr>
              <w:t>Six Months Ended</w:t>
            </w:r>
          </w:p>
        </w:tc>
      </w:tr>
      <w:tr>
        <w:trPr>
          <w:trHeight w:val="186"/>
        </w:trPr>
        <w:tc>
          <w:tcPr>
            <w:tcW w:w="6580" w:type="dxa"/>
            <w:vAlign w:val="bottom"/>
          </w:tcPr>
          <w:p>
            <w:pPr>
              <w:spacing w:after="0"/>
              <w:rPr>
                <w:sz w:val="16"/>
                <w:szCs w:val="16"/>
                <w:color w:val="auto"/>
              </w:rPr>
            </w:pPr>
          </w:p>
        </w:tc>
        <w:tc>
          <w:tcPr>
            <w:tcW w:w="1140" w:type="dxa"/>
            <w:vAlign w:val="bottom"/>
          </w:tcPr>
          <w:p>
            <w:pPr>
              <w:jc w:val="right"/>
              <w:ind w:right="72"/>
              <w:spacing w:after="0" w:line="186" w:lineRule="exact"/>
              <w:rPr>
                <w:sz w:val="20"/>
                <w:szCs w:val="20"/>
                <w:color w:val="auto"/>
              </w:rPr>
            </w:pPr>
            <w:r>
              <w:rPr>
                <w:rFonts w:ascii="Arial" w:cs="Arial" w:eastAsia="Arial" w:hAnsi="Arial"/>
                <w:sz w:val="18"/>
                <w:szCs w:val="18"/>
                <w:b w:val="1"/>
                <w:bCs w:val="1"/>
                <w:color w:val="auto"/>
                <w:w w:val="89"/>
              </w:rPr>
              <w:t>February 28,</w:t>
            </w:r>
          </w:p>
        </w:tc>
        <w:tc>
          <w:tcPr>
            <w:tcW w:w="1220" w:type="dxa"/>
            <w:vAlign w:val="bottom"/>
            <w:gridSpan w:val="2"/>
          </w:tcPr>
          <w:p>
            <w:pPr>
              <w:jc w:val="right"/>
              <w:ind w:right="52"/>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6"/>
                <w:szCs w:val="16"/>
                <w:color w:val="auto"/>
              </w:rPr>
            </w:pPr>
          </w:p>
        </w:tc>
        <w:tc>
          <w:tcPr>
            <w:tcW w:w="1120" w:type="dxa"/>
            <w:vAlign w:val="bottom"/>
          </w:tcPr>
          <w:p>
            <w:pPr>
              <w:jc w:val="right"/>
              <w:ind w:right="72"/>
              <w:spacing w:after="0" w:line="186" w:lineRule="exact"/>
              <w:rPr>
                <w:sz w:val="20"/>
                <w:szCs w:val="20"/>
                <w:color w:val="auto"/>
              </w:rPr>
            </w:pPr>
            <w:r>
              <w:rPr>
                <w:rFonts w:ascii="Arial" w:cs="Arial" w:eastAsia="Arial" w:hAnsi="Arial"/>
                <w:sz w:val="18"/>
                <w:szCs w:val="18"/>
                <w:b w:val="1"/>
                <w:bCs w:val="1"/>
                <w:color w:val="auto"/>
                <w:w w:val="87"/>
              </w:rPr>
              <w:t>February 28,</w:t>
            </w:r>
          </w:p>
        </w:tc>
        <w:tc>
          <w:tcPr>
            <w:tcW w:w="120" w:type="dxa"/>
            <w:vAlign w:val="bottom"/>
          </w:tcPr>
          <w:p>
            <w:pPr>
              <w:spacing w:after="0"/>
              <w:rPr>
                <w:sz w:val="16"/>
                <w:szCs w:val="16"/>
                <w:color w:val="auto"/>
              </w:rPr>
            </w:pPr>
          </w:p>
        </w:tc>
        <w:tc>
          <w:tcPr>
            <w:tcW w:w="1120" w:type="dxa"/>
            <w:vAlign w:val="bottom"/>
          </w:tcPr>
          <w:p>
            <w:pPr>
              <w:jc w:val="right"/>
              <w:ind w:right="72"/>
              <w:spacing w:after="0" w:line="186" w:lineRule="exact"/>
              <w:rPr>
                <w:sz w:val="20"/>
                <w:szCs w:val="20"/>
                <w:color w:val="auto"/>
              </w:rPr>
            </w:pPr>
            <w:r>
              <w:rPr>
                <w:rFonts w:ascii="Arial" w:cs="Arial" w:eastAsia="Arial" w:hAnsi="Arial"/>
                <w:sz w:val="18"/>
                <w:szCs w:val="18"/>
                <w:b w:val="1"/>
                <w:bCs w:val="1"/>
                <w:color w:val="auto"/>
                <w:w w:val="87"/>
              </w:rPr>
              <w:t>February 28,</w:t>
            </w:r>
          </w:p>
        </w:tc>
      </w:tr>
      <w:tr>
        <w:trPr>
          <w:trHeight w:val="229"/>
        </w:trPr>
        <w:tc>
          <w:tcPr>
            <w:tcW w:w="6580" w:type="dxa"/>
            <w:vAlign w:val="bottom"/>
          </w:tcPr>
          <w:p>
            <w:pPr>
              <w:spacing w:after="0"/>
              <w:rPr>
                <w:sz w:val="19"/>
                <w:szCs w:val="19"/>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2013</w:t>
            </w:r>
          </w:p>
        </w:tc>
      </w:tr>
      <w:tr>
        <w:trPr>
          <w:trHeight w:val="204"/>
        </w:trPr>
        <w:tc>
          <w:tcPr>
            <w:tcW w:w="65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Inside the U.S.A. to unaffiliated customers</w:t>
            </w:r>
          </w:p>
        </w:tc>
        <w:tc>
          <w:tcPr>
            <w:tcW w:w="11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62.1%</w:t>
            </w:r>
          </w:p>
        </w:tc>
        <w:tc>
          <w:tcPr>
            <w:tcW w:w="12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65.6%</w:t>
            </w:r>
          </w:p>
        </w:tc>
        <w:tc>
          <w:tcPr>
            <w:tcW w:w="12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66.6%</w:t>
            </w:r>
          </w:p>
        </w:tc>
        <w:tc>
          <w:tcPr>
            <w:tcW w:w="12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68.4%</w:t>
            </w:r>
          </w:p>
        </w:tc>
      </w:tr>
      <w:tr>
        <w:trPr>
          <w:trHeight w:val="210"/>
        </w:trPr>
        <w:tc>
          <w:tcPr>
            <w:tcW w:w="6580" w:type="dxa"/>
            <w:vAlign w:val="bottom"/>
          </w:tcPr>
          <w:p>
            <w:pPr>
              <w:spacing w:after="0"/>
              <w:rPr>
                <w:sz w:val="20"/>
                <w:szCs w:val="20"/>
                <w:color w:val="auto"/>
              </w:rPr>
            </w:pPr>
            <w:r>
              <w:rPr>
                <w:rFonts w:ascii="Arial" w:cs="Arial" w:eastAsia="Arial" w:hAnsi="Arial"/>
                <w:sz w:val="18"/>
                <w:szCs w:val="18"/>
                <w:color w:val="auto"/>
              </w:rPr>
              <w:t>Outside the U.S.A to:</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0"/>
        </w:trPr>
        <w:tc>
          <w:tcPr>
            <w:tcW w:w="6580" w:type="dxa"/>
            <w:vAlign w:val="bottom"/>
          </w:tcPr>
          <w:p>
            <w:pPr>
              <w:ind w:left="160"/>
              <w:spacing w:after="0"/>
              <w:rPr>
                <w:sz w:val="20"/>
                <w:szCs w:val="20"/>
                <w:color w:val="auto"/>
              </w:rPr>
            </w:pPr>
            <w:r>
              <w:rPr>
                <w:rFonts w:ascii="Arial" w:cs="Arial" w:eastAsia="Arial" w:hAnsi="Arial"/>
                <w:sz w:val="18"/>
                <w:szCs w:val="18"/>
                <w:color w:val="auto"/>
              </w:rPr>
              <w:t>Unaffiliated customers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21.7%</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w:t>
            </w:r>
          </w:p>
        </w:tc>
      </w:tr>
      <w:tr>
        <w:trPr>
          <w:trHeight w:val="204"/>
        </w:trPr>
        <w:tc>
          <w:tcPr>
            <w:tcW w:w="65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4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months ended February 28, 2014 and 2013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186"/>
        </w:trPr>
        <w:tc>
          <w:tcPr>
            <w:tcW w:w="34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gridSpan w:val="2"/>
          </w:tcPr>
          <w:p>
            <w:pPr>
              <w:jc w:val="center"/>
              <w:spacing w:after="0" w:line="186" w:lineRule="exact"/>
              <w:rPr>
                <w:sz w:val="20"/>
                <w:szCs w:val="20"/>
                <w:color w:val="auto"/>
              </w:rPr>
            </w:pPr>
            <w:r>
              <w:rPr>
                <w:rFonts w:ascii="Arial" w:cs="Arial" w:eastAsia="Arial" w:hAnsi="Arial"/>
                <w:sz w:val="18"/>
                <w:szCs w:val="18"/>
                <w:b w:val="1"/>
                <w:bCs w:val="1"/>
                <w:color w:val="auto"/>
                <w:w w:val="89"/>
              </w:rPr>
              <w:t>% of Total Fees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0"/>
        </w:trPr>
        <w:tc>
          <w:tcPr>
            <w:tcW w:w="3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 of Total Fees for</w:t>
            </w:r>
          </w:p>
        </w:tc>
      </w:tr>
      <w:tr>
        <w:trPr>
          <w:trHeight w:val="210"/>
        </w:trPr>
        <w:tc>
          <w:tcPr>
            <w:tcW w:w="3400" w:type="dxa"/>
            <w:vAlign w:val="bottom"/>
          </w:tcPr>
          <w:p>
            <w:pPr>
              <w:spacing w:after="0"/>
              <w:rPr>
                <w:sz w:val="18"/>
                <w:szCs w:val="18"/>
                <w:color w:val="auto"/>
              </w:rPr>
            </w:pPr>
          </w:p>
        </w:tc>
        <w:tc>
          <w:tcPr>
            <w:tcW w:w="3720" w:type="dxa"/>
            <w:vAlign w:val="bottom"/>
            <w:gridSpan w:val="3"/>
          </w:tcPr>
          <w:p>
            <w:pPr>
              <w:ind w:left="2640"/>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8"/>
                <w:szCs w:val="18"/>
                <w:color w:val="auto"/>
              </w:rPr>
            </w:pPr>
          </w:p>
        </w:tc>
        <w:tc>
          <w:tcPr>
            <w:tcW w:w="132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Provided to</w:t>
            </w: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8"/>
                <w:szCs w:val="18"/>
                <w:color w:val="auto"/>
              </w:rPr>
            </w:pPr>
          </w:p>
        </w:tc>
        <w:tc>
          <w:tcPr>
            <w:tcW w:w="158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Services Provided</w:t>
            </w:r>
          </w:p>
        </w:tc>
      </w:tr>
      <w:tr>
        <w:trPr>
          <w:trHeight w:val="229"/>
        </w:trPr>
        <w:tc>
          <w:tcPr>
            <w:tcW w:w="3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Joint Ventures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5"/>
              </w:rPr>
              <w:t>to Joint Ventures</w:t>
            </w:r>
          </w:p>
        </w:tc>
      </w:tr>
      <w:tr>
        <w:trPr>
          <w:trHeight w:val="204"/>
        </w:trPr>
        <w:tc>
          <w:tcPr>
            <w:tcW w:w="34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China</w:t>
            </w:r>
          </w:p>
        </w:tc>
        <w:tc>
          <w:tcPr>
            <w:tcW w:w="2820" w:type="dxa"/>
            <w:vAlign w:val="bottom"/>
            <w:gridSpan w:val="2"/>
            <w:shd w:val="clear" w:color="auto" w:fill="CCEEFF"/>
          </w:tcPr>
          <w:p>
            <w:pPr>
              <w:ind w:left="264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523,451</w:t>
            </w:r>
          </w:p>
        </w:tc>
        <w:tc>
          <w:tcPr>
            <w:tcW w:w="14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25.4%</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450,586</w:t>
            </w:r>
          </w:p>
        </w:tc>
        <w:tc>
          <w:tcPr>
            <w:tcW w:w="17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25.4%</w:t>
            </w: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Germany</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263,556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249,513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167,410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169,205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India</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166,858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152,518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154,839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Thailand</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130,441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148,303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122,972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147,896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Korea</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108,797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123,388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92,223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77,627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United Kingdom</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79,935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35,754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76,537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72,329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172,973</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141,441</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r>
      <w:tr>
        <w:trPr>
          <w:trHeight w:val="204"/>
        </w:trPr>
        <w:tc>
          <w:tcPr>
            <w:tcW w:w="340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ind w:left="264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2,057,671</w:t>
            </w:r>
          </w:p>
        </w:tc>
        <w:tc>
          <w:tcPr>
            <w:tcW w:w="14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1,770,881</w:t>
            </w:r>
          </w:p>
        </w:tc>
        <w:tc>
          <w:tcPr>
            <w:tcW w:w="17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r>
      <w:tr>
        <w:trPr>
          <w:trHeight w:val="591"/>
        </w:trPr>
        <w:tc>
          <w:tcPr>
            <w:tcW w:w="3400" w:type="dxa"/>
            <w:vAlign w:val="bottom"/>
          </w:tcPr>
          <w:p>
            <w:pPr>
              <w:spacing w:after="0"/>
              <w:rPr>
                <w:sz w:val="24"/>
                <w:szCs w:val="24"/>
                <w:color w:val="auto"/>
              </w:rPr>
            </w:pPr>
          </w:p>
        </w:tc>
        <w:tc>
          <w:tcPr>
            <w:tcW w:w="264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2"/>
        </w:trPr>
        <w:tc>
          <w:tcPr>
            <w:tcW w:w="3400" w:type="dxa"/>
            <w:vAlign w:val="bottom"/>
            <w:tcBorders>
              <w:bottom w:val="single" w:sz="8" w:color="808080"/>
            </w:tcBorders>
          </w:tcPr>
          <w:p>
            <w:pPr>
              <w:spacing w:after="0"/>
              <w:rPr>
                <w:sz w:val="12"/>
                <w:szCs w:val="12"/>
                <w:color w:val="auto"/>
              </w:rPr>
            </w:pPr>
          </w:p>
        </w:tc>
        <w:tc>
          <w:tcPr>
            <w:tcW w:w="26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58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-36830</wp:posOffset>
            </wp:positionV>
            <wp:extent cx="1270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1270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9"/>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186"/>
        </w:trPr>
        <w:tc>
          <w:tcPr>
            <w:tcW w:w="36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gridSpan w:val="2"/>
          </w:tcPr>
          <w:p>
            <w:pPr>
              <w:jc w:val="center"/>
              <w:spacing w:after="0" w:line="186" w:lineRule="exact"/>
              <w:rPr>
                <w:sz w:val="20"/>
                <w:szCs w:val="20"/>
                <w:color w:val="auto"/>
              </w:rPr>
            </w:pPr>
            <w:r>
              <w:rPr>
                <w:rFonts w:ascii="Arial" w:cs="Arial" w:eastAsia="Arial" w:hAnsi="Arial"/>
                <w:sz w:val="18"/>
                <w:szCs w:val="18"/>
                <w:b w:val="1"/>
                <w:bCs w:val="1"/>
                <w:color w:val="auto"/>
                <w:w w:val="89"/>
              </w:rPr>
              <w:t>% of Total Fees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0"/>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 of Total Fees for</w:t>
            </w:r>
          </w:p>
        </w:tc>
      </w:tr>
      <w:tr>
        <w:trPr>
          <w:trHeight w:val="210"/>
        </w:trPr>
        <w:tc>
          <w:tcPr>
            <w:tcW w:w="3620" w:type="dxa"/>
            <w:vAlign w:val="bottom"/>
          </w:tcPr>
          <w:p>
            <w:pPr>
              <w:spacing w:after="0"/>
              <w:rPr>
                <w:sz w:val="18"/>
                <w:szCs w:val="18"/>
                <w:color w:val="auto"/>
              </w:rPr>
            </w:pPr>
          </w:p>
        </w:tc>
        <w:tc>
          <w:tcPr>
            <w:tcW w:w="3500" w:type="dxa"/>
            <w:vAlign w:val="bottom"/>
            <w:gridSpan w:val="3"/>
          </w:tcPr>
          <w:p>
            <w:pPr>
              <w:ind w:left="2420"/>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8"/>
                <w:szCs w:val="18"/>
                <w:color w:val="auto"/>
              </w:rPr>
            </w:pPr>
          </w:p>
        </w:tc>
        <w:tc>
          <w:tcPr>
            <w:tcW w:w="132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Provided to</w:t>
            </w: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8"/>
                <w:szCs w:val="18"/>
                <w:color w:val="auto"/>
              </w:rPr>
            </w:pPr>
          </w:p>
        </w:tc>
        <w:tc>
          <w:tcPr>
            <w:tcW w:w="158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Services Provided</w:t>
            </w:r>
          </w:p>
        </w:tc>
      </w:tr>
      <w:tr>
        <w:trPr>
          <w:trHeight w:val="229"/>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Joint Ventures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5"/>
              </w:rPr>
              <w:t>to Joint Ventures</w:t>
            </w:r>
          </w:p>
        </w:tc>
      </w:tr>
      <w:tr>
        <w:trPr>
          <w:trHeight w:val="204"/>
        </w:trPr>
        <w:tc>
          <w:tcPr>
            <w:tcW w:w="36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China</w:t>
            </w:r>
          </w:p>
        </w:tc>
        <w:tc>
          <w:tcPr>
            <w:tcW w:w="2600" w:type="dxa"/>
            <w:vAlign w:val="bottom"/>
            <w:gridSpan w:val="2"/>
            <w:shd w:val="clear" w:color="auto" w:fill="CCEEFF"/>
          </w:tcPr>
          <w:p>
            <w:pPr>
              <w:ind w:left="242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1,111,633</w:t>
            </w:r>
          </w:p>
        </w:tc>
        <w:tc>
          <w:tcPr>
            <w:tcW w:w="14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26.7%</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943,897</w:t>
            </w:r>
          </w:p>
        </w:tc>
        <w:tc>
          <w:tcPr>
            <w:tcW w:w="17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26.1%</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Germany</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527,111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492,213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340,691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371,186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Poland</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317,085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266,311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282,999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301,989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Korea</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270,221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262,131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251,075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276,398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Sweden</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202,193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164,619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181,740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160,180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India</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166,858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154,632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102,812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361,081</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275,422</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w:t>
            </w:r>
          </w:p>
        </w:tc>
      </w:tr>
      <w:tr>
        <w:trPr>
          <w:trHeight w:val="204"/>
        </w:trPr>
        <w:tc>
          <w:tcPr>
            <w:tcW w:w="36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ind w:left="242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4,167,319</w:t>
            </w:r>
          </w:p>
        </w:tc>
        <w:tc>
          <w:tcPr>
            <w:tcW w:w="14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3,617,158</w:t>
            </w:r>
          </w:p>
        </w:tc>
        <w:tc>
          <w:tcPr>
            <w:tcW w:w="17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and six months ended February 28, 2014 and 2013 by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b w:val="1"/>
                <w:bCs w:val="1"/>
                <w:color w:val="auto"/>
              </w:rPr>
              <w:t>Six Months Ended</w:t>
            </w:r>
          </w:p>
        </w:tc>
      </w:tr>
      <w:tr>
        <w:trPr>
          <w:trHeight w:val="186"/>
        </w:trPr>
        <w:tc>
          <w:tcPr>
            <w:tcW w:w="40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r>
      <w:tr>
        <w:trPr>
          <w:trHeight w:val="229"/>
        </w:trPr>
        <w:tc>
          <w:tcPr>
            <w:tcW w:w="40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r>
      <w:tr>
        <w:trPr>
          <w:trHeight w:val="204"/>
        </w:trPr>
        <w:tc>
          <w:tcPr>
            <w:tcW w:w="40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ZERUST® sales</w:t>
            </w:r>
          </w:p>
        </w:tc>
        <w:tc>
          <w:tcPr>
            <w:tcW w:w="2960" w:type="dxa"/>
            <w:vAlign w:val="bottom"/>
            <w:gridSpan w:val="2"/>
            <w:shd w:val="clear" w:color="auto" w:fill="CCEEFF"/>
          </w:tcPr>
          <w:p>
            <w:pPr>
              <w:ind w:left="278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4"/>
              </w:rPr>
              <w:t>5,555,051</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4"/>
              </w:rPr>
              <w:t>4,710,412</w:t>
            </w:r>
          </w:p>
        </w:tc>
        <w:tc>
          <w:tcPr>
            <w:tcW w:w="24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0"/>
              </w:rPr>
              <w:t>11,304,064</w:t>
            </w:r>
          </w:p>
        </w:tc>
        <w:tc>
          <w:tcPr>
            <w:tcW w:w="24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9,505,695</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Natur-Tec™ sales</w:t>
            </w:r>
          </w:p>
        </w:tc>
        <w:tc>
          <w:tcPr>
            <w:tcW w:w="2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663,957</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535,938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1,224,044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1,032,402</w:t>
            </w:r>
          </w:p>
        </w:tc>
      </w:tr>
      <w:tr>
        <w:trPr>
          <w:trHeight w:val="204"/>
        </w:trPr>
        <w:tc>
          <w:tcPr>
            <w:tcW w:w="40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net sales</w:t>
            </w:r>
          </w:p>
        </w:tc>
        <w:tc>
          <w:tcPr>
            <w:tcW w:w="2960" w:type="dxa"/>
            <w:vAlign w:val="bottom"/>
            <w:gridSpan w:val="2"/>
            <w:shd w:val="clear" w:color="auto" w:fill="CCEEFF"/>
          </w:tcPr>
          <w:p>
            <w:pPr>
              <w:ind w:left="278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4"/>
              </w:rPr>
              <w:t>6,219,008</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4"/>
              </w:rPr>
              <w:t>5,246,350</w:t>
            </w:r>
          </w:p>
        </w:tc>
        <w:tc>
          <w:tcPr>
            <w:tcW w:w="24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0"/>
              </w:rPr>
              <w:t>12,528,108</w:t>
            </w:r>
          </w:p>
        </w:tc>
        <w:tc>
          <w:tcPr>
            <w:tcW w:w="24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0"/>
              </w:rPr>
              <w:t>10,538,097</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and six months ended February 28, 2014 and 2013 by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w w:val="99"/>
              </w:rPr>
              <w:t>Six Months Ended</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186"/>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94"/>
              </w:rPr>
              <w:t>% of</w:t>
            </w:r>
          </w:p>
        </w:tc>
      </w:tr>
      <w:tr>
        <w:trPr>
          <w:trHeight w:val="210"/>
        </w:trPr>
        <w:tc>
          <w:tcPr>
            <w:tcW w:w="2420" w:type="dxa"/>
            <w:vAlign w:val="bottom"/>
          </w:tcPr>
          <w:p>
            <w:pPr>
              <w:spacing w:after="0"/>
              <w:rPr>
                <w:sz w:val="18"/>
                <w:szCs w:val="18"/>
                <w:color w:val="auto"/>
              </w:rPr>
            </w:pPr>
          </w:p>
        </w:tc>
        <w:tc>
          <w:tcPr>
            <w:tcW w:w="1380" w:type="dxa"/>
            <w:vAlign w:val="bottom"/>
            <w:gridSpan w:val="3"/>
          </w:tcPr>
          <w:p>
            <w:pPr>
              <w:ind w:left="300"/>
              <w:spacing w:after="0"/>
              <w:rPr>
                <w:sz w:val="20"/>
                <w:szCs w:val="20"/>
                <w:color w:val="auto"/>
              </w:rPr>
            </w:pPr>
            <w:r>
              <w:rPr>
                <w:rFonts w:ascii="Arial" w:cs="Arial" w:eastAsia="Arial" w:hAnsi="Arial"/>
                <w:sz w:val="18"/>
                <w:szCs w:val="18"/>
                <w:b w:val="1"/>
                <w:bCs w:val="1"/>
                <w:color w:val="auto"/>
                <w:w w:val="98"/>
              </w:rPr>
              <w:t>February 28,</w:t>
            </w:r>
          </w:p>
        </w:tc>
        <w:tc>
          <w:tcPr>
            <w:tcW w:w="8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Product</w:t>
            </w:r>
          </w:p>
        </w:tc>
        <w:tc>
          <w:tcPr>
            <w:tcW w:w="118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Product</w:t>
            </w: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Product</w:t>
            </w: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Product</w:t>
            </w:r>
          </w:p>
        </w:tc>
      </w:tr>
      <w:tr>
        <w:trPr>
          <w:trHeight w:val="229"/>
        </w:trPr>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5"/>
              </w:rPr>
              <w:t>Sales*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5"/>
              </w:rPr>
              <w:t>Sales*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8"/>
              </w:rPr>
              <w:t>Sales*</w:t>
            </w:r>
          </w:p>
        </w:tc>
      </w:tr>
      <w:tr>
        <w:trPr>
          <w:trHeight w:val="204"/>
        </w:trPr>
        <w:tc>
          <w:tcPr>
            <w:tcW w:w="24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Direct cost of goods sold</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0"/>
        </w:trPr>
        <w:tc>
          <w:tcPr>
            <w:tcW w:w="2420" w:type="dxa"/>
            <w:vAlign w:val="bottom"/>
          </w:tcPr>
          <w:p>
            <w:pPr>
              <w:ind w:left="160"/>
              <w:spacing w:after="0"/>
              <w:rPr>
                <w:sz w:val="20"/>
                <w:szCs w:val="20"/>
                <w:color w:val="auto"/>
              </w:rPr>
            </w:pPr>
            <w:r>
              <w:rPr>
                <w:rFonts w:ascii="Arial" w:cs="Arial" w:eastAsia="Arial" w:hAnsi="Arial"/>
                <w:sz w:val="18"/>
                <w:szCs w:val="18"/>
                <w:color w:val="auto"/>
              </w:rPr>
              <w:t>ZERUST®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2,965,790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2,623,070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6,047,554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5,267,365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55.4%</w:t>
            </w:r>
          </w:p>
        </w:tc>
      </w:tr>
      <w:tr>
        <w:trPr>
          <w:trHeight w:val="210"/>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Natur-Tec®</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490,573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453,147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940,037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892,820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rPr>
              <w:t>Indirect cost of goods sold</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595,470</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557,696</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1,222,273</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1,164,700</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04"/>
        </w:trPr>
        <w:tc>
          <w:tcPr>
            <w:tcW w:w="2420" w:type="dxa"/>
            <w:vAlign w:val="bottom"/>
            <w:shd w:val="clear" w:color="auto" w:fill="CCEEFF"/>
          </w:tcPr>
          <w:p>
            <w:pPr>
              <w:ind w:left="160"/>
              <w:spacing w:after="0" w:line="204" w:lineRule="exact"/>
              <w:rPr>
                <w:sz w:val="20"/>
                <w:szCs w:val="20"/>
                <w:color w:val="auto"/>
              </w:rPr>
            </w:pPr>
            <w:r>
              <w:rPr>
                <w:rFonts w:ascii="Arial" w:cs="Arial" w:eastAsia="Arial" w:hAnsi="Arial"/>
                <w:sz w:val="18"/>
                <w:szCs w:val="18"/>
                <w:color w:val="auto"/>
              </w:rPr>
              <w:t>Total net cost of goods sold</w:t>
            </w:r>
          </w:p>
        </w:tc>
        <w:tc>
          <w:tcPr>
            <w:tcW w:w="480" w:type="dxa"/>
            <w:vAlign w:val="bottom"/>
            <w:gridSpan w:val="2"/>
            <w:shd w:val="clear" w:color="auto" w:fill="CCEEFF"/>
          </w:tcPr>
          <w:p>
            <w:pPr>
              <w:ind w:left="3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4,051,833</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3,633,913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8,209,864</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7,324,885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435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80" w:right="120" w:hanging="475"/>
        <w:spacing w:after="0" w:line="261"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product net sales and direct and indirect cost of goods sold for each product in reviewing the financial performance of a product</w:t>
      </w:r>
    </w:p>
    <w:p>
      <w:pPr>
        <w:spacing w:after="0" w:line="3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type. Further allocation of Company expenses or assets, aside from amounts presented in the tables above, is not utilized in evaluating product performance, nor does such allocation occur for internal financial reporting.</w:t>
      </w:r>
    </w:p>
    <w:p>
      <w:pPr>
        <w:spacing w:after="0" w:line="218" w:lineRule="exact"/>
        <w:rPr>
          <w:sz w:val="20"/>
          <w:szCs w:val="20"/>
          <w:color w:val="auto"/>
        </w:rPr>
      </w:pPr>
    </w:p>
    <w:p>
      <w:pPr>
        <w:ind w:right="60"/>
        <w:spacing w:after="0" w:line="362" w:lineRule="auto"/>
        <w:rPr>
          <w:sz w:val="20"/>
          <w:szCs w:val="20"/>
          <w:color w:val="auto"/>
        </w:rPr>
      </w:pPr>
      <w:r>
        <w:rPr>
          <w:rFonts w:ascii="Arial" w:cs="Arial" w:eastAsia="Arial" w:hAnsi="Arial"/>
          <w:sz w:val="15"/>
          <w:szCs w:val="15"/>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8980" w:type="dxa"/>
            <w:vAlign w:val="bottom"/>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29"/>
        </w:trPr>
        <w:tc>
          <w:tcPr>
            <w:tcW w:w="8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112"/>
              <w:spacing w:after="0"/>
              <w:rPr>
                <w:sz w:val="20"/>
                <w:szCs w:val="20"/>
                <w:color w:val="auto"/>
              </w:rPr>
            </w:pPr>
            <w:r>
              <w:rPr>
                <w:rFonts w:ascii="Arial" w:cs="Arial" w:eastAsia="Arial" w:hAnsi="Arial"/>
                <w:sz w:val="18"/>
                <w:szCs w:val="18"/>
                <w:b w:val="1"/>
                <w:bCs w:val="1"/>
                <w:color w:val="auto"/>
                <w:w w:val="84"/>
              </w:rPr>
              <w:t>As of</w:t>
            </w:r>
          </w:p>
        </w:tc>
      </w:tr>
      <w:tr>
        <w:trPr>
          <w:trHeight w:val="210"/>
        </w:trPr>
        <w:tc>
          <w:tcPr>
            <w:tcW w:w="8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32"/>
              <w:spacing w:after="0"/>
              <w:rPr>
                <w:sz w:val="20"/>
                <w:szCs w:val="20"/>
                <w:color w:val="auto"/>
              </w:rPr>
            </w:pPr>
            <w:r>
              <w:rPr>
                <w:rFonts w:ascii="Arial" w:cs="Arial" w:eastAsia="Arial" w:hAnsi="Arial"/>
                <w:sz w:val="18"/>
                <w:szCs w:val="18"/>
                <w:b w:val="1"/>
                <w:bCs w:val="1"/>
                <w:color w:val="auto"/>
                <w:w w:val="86"/>
              </w:rPr>
              <w:t>August 31,</w:t>
            </w:r>
          </w:p>
        </w:tc>
      </w:tr>
      <w:tr>
        <w:trPr>
          <w:trHeight w:val="229"/>
        </w:trPr>
        <w:tc>
          <w:tcPr>
            <w:tcW w:w="8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9"/>
              </w:rPr>
              <w:t>2013</w:t>
            </w:r>
          </w:p>
        </w:tc>
      </w:tr>
      <w:tr>
        <w:trPr>
          <w:trHeight w:val="204"/>
        </w:trPr>
        <w:tc>
          <w:tcPr>
            <w:tcW w:w="8980" w:type="dxa"/>
            <w:vAlign w:val="bottom"/>
            <w:shd w:val="clear" w:color="auto" w:fill="CCEEFF"/>
          </w:tcPr>
          <w:p>
            <w:pPr>
              <w:ind w:left="300"/>
              <w:spacing w:after="0" w:line="204" w:lineRule="exact"/>
              <w:rPr>
                <w:sz w:val="20"/>
                <w:szCs w:val="20"/>
                <w:color w:val="auto"/>
              </w:rPr>
            </w:pPr>
            <w:r>
              <w:rPr>
                <w:rFonts w:ascii="Arial" w:cs="Arial" w:eastAsia="Arial" w:hAnsi="Arial"/>
                <w:sz w:val="18"/>
                <w:szCs w:val="18"/>
                <w:color w:val="auto"/>
              </w:rPr>
              <w:t>Brazil</w:t>
            </w:r>
          </w:p>
        </w:tc>
        <w:tc>
          <w:tcPr>
            <w:tcW w:w="200" w:type="dxa"/>
            <w:vAlign w:val="bottom"/>
            <w:gridSpan w:val="2"/>
            <w:shd w:val="clear" w:color="auto" w:fill="CCEEFF"/>
          </w:tcPr>
          <w:p>
            <w:pPr>
              <w:ind w:left="40"/>
              <w:spacing w:after="0" w:line="204"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934,780</w:t>
            </w:r>
          </w:p>
        </w:tc>
        <w:tc>
          <w:tcPr>
            <w:tcW w:w="2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1,193,373</w:t>
            </w:r>
          </w:p>
        </w:tc>
      </w:tr>
      <w:tr>
        <w:trPr>
          <w:trHeight w:val="210"/>
        </w:trPr>
        <w:tc>
          <w:tcPr>
            <w:tcW w:w="8980" w:type="dxa"/>
            <w:vAlign w:val="bottom"/>
          </w:tcPr>
          <w:p>
            <w:pPr>
              <w:ind w:left="300"/>
              <w:spacing w:after="0"/>
              <w:rPr>
                <w:sz w:val="20"/>
                <w:szCs w:val="20"/>
                <w:color w:val="auto"/>
              </w:rPr>
            </w:pPr>
            <w:r>
              <w:rPr>
                <w:rFonts w:ascii="Arial" w:cs="Arial" w:eastAsia="Arial" w:hAnsi="Arial"/>
                <w:sz w:val="18"/>
                <w:szCs w:val="18"/>
                <w:color w:val="auto"/>
              </w:rPr>
              <w:t>India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332,217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0"/>
        </w:trPr>
        <w:tc>
          <w:tcPr>
            <w:tcW w:w="8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North America</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49,554,310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47,860,576</w:t>
            </w:r>
          </w:p>
        </w:tc>
      </w:tr>
      <w:tr>
        <w:trPr>
          <w:trHeight w:val="204"/>
        </w:trPr>
        <w:tc>
          <w:tcPr>
            <w:tcW w:w="8980" w:type="dxa"/>
            <w:vAlign w:val="bottom"/>
          </w:tcPr>
          <w:p>
            <w:pPr>
              <w:spacing w:after="0" w:line="204" w:lineRule="exact"/>
              <w:rPr>
                <w:sz w:val="20"/>
                <w:szCs w:val="20"/>
                <w:color w:val="auto"/>
              </w:rPr>
            </w:pPr>
            <w:r>
              <w:rPr>
                <w:rFonts w:ascii="Arial" w:cs="Arial" w:eastAsia="Arial" w:hAnsi="Arial"/>
                <w:sz w:val="18"/>
                <w:szCs w:val="18"/>
                <w:color w:val="auto"/>
              </w:rPr>
              <w:t>Total assets</w:t>
            </w:r>
          </w:p>
        </w:tc>
        <w:tc>
          <w:tcPr>
            <w:tcW w:w="40" w:type="dxa"/>
            <w:vAlign w:val="bottom"/>
          </w:tcPr>
          <w:p>
            <w:pPr>
              <w:spacing w:after="0"/>
              <w:rPr>
                <w:sz w:val="17"/>
                <w:szCs w:val="17"/>
                <w:color w:val="auto"/>
              </w:rPr>
            </w:pPr>
          </w:p>
        </w:tc>
        <w:tc>
          <w:tcPr>
            <w:tcW w:w="16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3"/>
              </w:rPr>
              <w:t>50,821,307</w:t>
            </w:r>
          </w:p>
        </w:tc>
        <w:tc>
          <w:tcPr>
            <w:tcW w:w="2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204" w:lineRule="exact"/>
              <w:rPr>
                <w:sz w:val="20"/>
                <w:szCs w:val="20"/>
                <w:color w:val="auto"/>
              </w:rPr>
            </w:pPr>
            <w:r>
              <w:rPr>
                <w:rFonts w:ascii="Arial" w:cs="Arial" w:eastAsia="Arial" w:hAnsi="Arial"/>
                <w:sz w:val="18"/>
                <w:szCs w:val="18"/>
                <w:color w:val="auto"/>
              </w:rPr>
              <w:t>49,053,949</w:t>
            </w:r>
          </w:p>
        </w:tc>
      </w:tr>
      <w:tr>
        <w:trPr>
          <w:trHeight w:val="20"/>
        </w:trPr>
        <w:tc>
          <w:tcPr>
            <w:tcW w:w="8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r>
      <w:tr>
        <w:trPr>
          <w:trHeight w:val="440"/>
        </w:trPr>
        <w:tc>
          <w:tcPr>
            <w:tcW w:w="8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8"/>
                <w:szCs w:val="18"/>
                <w:b w:val="1"/>
                <w:bCs w:val="1"/>
                <w:color w:val="auto"/>
              </w:rPr>
              <w:t>Six Months Ended</w:t>
            </w:r>
          </w:p>
        </w:tc>
      </w:tr>
      <w:tr>
        <w:trPr>
          <w:trHeight w:val="186"/>
        </w:trPr>
        <w:tc>
          <w:tcPr>
            <w:tcW w:w="8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20"/>
              <w:spacing w:after="0" w:line="186" w:lineRule="exact"/>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6"/>
                <w:szCs w:val="16"/>
                <w:color w:val="auto"/>
              </w:rPr>
            </w:pPr>
          </w:p>
        </w:tc>
        <w:tc>
          <w:tcPr>
            <w:tcW w:w="1160" w:type="dxa"/>
            <w:vAlign w:val="bottom"/>
            <w:gridSpan w:val="2"/>
          </w:tcPr>
          <w:p>
            <w:pPr>
              <w:jc w:val="center"/>
              <w:ind w:right="12"/>
              <w:spacing w:after="0" w:line="186" w:lineRule="exact"/>
              <w:rPr>
                <w:sz w:val="20"/>
                <w:szCs w:val="20"/>
                <w:color w:val="auto"/>
              </w:rPr>
            </w:pPr>
            <w:r>
              <w:rPr>
                <w:rFonts w:ascii="Arial" w:cs="Arial" w:eastAsia="Arial" w:hAnsi="Arial"/>
                <w:sz w:val="18"/>
                <w:szCs w:val="18"/>
                <w:b w:val="1"/>
                <w:bCs w:val="1"/>
                <w:color w:val="auto"/>
                <w:w w:val="91"/>
              </w:rPr>
              <w:t>February 28,</w:t>
            </w:r>
          </w:p>
        </w:tc>
      </w:tr>
      <w:tr>
        <w:trPr>
          <w:trHeight w:val="229"/>
        </w:trPr>
        <w:tc>
          <w:tcPr>
            <w:tcW w:w="8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9"/>
              </w:rPr>
              <w:t>2013</w:t>
            </w:r>
          </w:p>
        </w:tc>
      </w:tr>
      <w:tr>
        <w:trPr>
          <w:trHeight w:val="204"/>
        </w:trPr>
        <w:tc>
          <w:tcPr>
            <w:tcW w:w="8980" w:type="dxa"/>
            <w:vAlign w:val="bottom"/>
            <w:shd w:val="clear" w:color="auto" w:fill="CCEEFF"/>
          </w:tcPr>
          <w:p>
            <w:pPr>
              <w:ind w:left="300"/>
              <w:spacing w:after="0" w:line="204" w:lineRule="exact"/>
              <w:rPr>
                <w:sz w:val="20"/>
                <w:szCs w:val="20"/>
                <w:color w:val="auto"/>
              </w:rPr>
            </w:pPr>
            <w:r>
              <w:rPr>
                <w:rFonts w:ascii="Arial" w:cs="Arial" w:eastAsia="Arial" w:hAnsi="Arial"/>
                <w:sz w:val="18"/>
                <w:szCs w:val="18"/>
                <w:color w:val="auto"/>
              </w:rPr>
              <w:t>Brazil</w:t>
            </w:r>
          </w:p>
        </w:tc>
        <w:tc>
          <w:tcPr>
            <w:tcW w:w="200" w:type="dxa"/>
            <w:vAlign w:val="bottom"/>
            <w:gridSpan w:val="2"/>
            <w:shd w:val="clear" w:color="auto" w:fill="CCEEFF"/>
          </w:tcPr>
          <w:p>
            <w:pPr>
              <w:ind w:left="40"/>
              <w:spacing w:after="0" w:line="204"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1,153,012</w:t>
            </w:r>
          </w:p>
        </w:tc>
        <w:tc>
          <w:tcPr>
            <w:tcW w:w="2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1,131,469</w:t>
            </w:r>
          </w:p>
        </w:tc>
      </w:tr>
      <w:tr>
        <w:trPr>
          <w:trHeight w:val="210"/>
        </w:trPr>
        <w:tc>
          <w:tcPr>
            <w:tcW w:w="8980" w:type="dxa"/>
            <w:vAlign w:val="bottom"/>
          </w:tcPr>
          <w:p>
            <w:pPr>
              <w:ind w:left="300"/>
              <w:spacing w:after="0"/>
              <w:rPr>
                <w:sz w:val="20"/>
                <w:szCs w:val="20"/>
                <w:color w:val="auto"/>
              </w:rPr>
            </w:pPr>
            <w:r>
              <w:rPr>
                <w:rFonts w:ascii="Arial" w:cs="Arial" w:eastAsia="Arial" w:hAnsi="Arial"/>
                <w:sz w:val="18"/>
                <w:szCs w:val="18"/>
                <w:color w:val="auto"/>
              </w:rPr>
              <w:t>India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168,779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0"/>
        </w:trPr>
        <w:tc>
          <w:tcPr>
            <w:tcW w:w="8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North America</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11,206,317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9,406,628</w:t>
            </w:r>
          </w:p>
        </w:tc>
      </w:tr>
      <w:tr>
        <w:trPr>
          <w:trHeight w:val="204"/>
        </w:trPr>
        <w:tc>
          <w:tcPr>
            <w:tcW w:w="8980" w:type="dxa"/>
            <w:vAlign w:val="bottom"/>
          </w:tcPr>
          <w:p>
            <w:pPr>
              <w:spacing w:after="0" w:line="204" w:lineRule="exact"/>
              <w:rPr>
                <w:sz w:val="20"/>
                <w:szCs w:val="20"/>
                <w:color w:val="auto"/>
              </w:rPr>
            </w:pPr>
            <w:r>
              <w:rPr>
                <w:rFonts w:ascii="Arial" w:cs="Arial" w:eastAsia="Arial" w:hAnsi="Arial"/>
                <w:sz w:val="18"/>
                <w:szCs w:val="18"/>
                <w:color w:val="auto"/>
              </w:rPr>
              <w:t>Total net sales</w:t>
            </w:r>
          </w:p>
        </w:tc>
        <w:tc>
          <w:tcPr>
            <w:tcW w:w="40" w:type="dxa"/>
            <w:vAlign w:val="bottom"/>
          </w:tcPr>
          <w:p>
            <w:pPr>
              <w:spacing w:after="0"/>
              <w:rPr>
                <w:sz w:val="17"/>
                <w:szCs w:val="17"/>
                <w:color w:val="auto"/>
              </w:rPr>
            </w:pPr>
          </w:p>
        </w:tc>
        <w:tc>
          <w:tcPr>
            <w:tcW w:w="16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3"/>
              </w:rPr>
              <w:t>12,528,108</w:t>
            </w:r>
          </w:p>
        </w:tc>
        <w:tc>
          <w:tcPr>
            <w:tcW w:w="2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204" w:lineRule="exact"/>
              <w:rPr>
                <w:sz w:val="20"/>
                <w:szCs w:val="20"/>
                <w:color w:val="auto"/>
              </w:rPr>
            </w:pPr>
            <w:r>
              <w:rPr>
                <w:rFonts w:ascii="Arial" w:cs="Arial" w:eastAsia="Arial" w:hAnsi="Arial"/>
                <w:sz w:val="18"/>
                <w:szCs w:val="18"/>
                <w:color w:val="auto"/>
              </w:rPr>
              <w:t>10,538,097</w:t>
            </w:r>
          </w:p>
        </w:tc>
      </w:tr>
      <w:tr>
        <w:trPr>
          <w:trHeight w:val="20"/>
        </w:trPr>
        <w:tc>
          <w:tcPr>
            <w:tcW w:w="8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r>
      <w:tr>
        <w:trPr>
          <w:trHeight w:val="440"/>
        </w:trPr>
        <w:tc>
          <w:tcPr>
            <w:tcW w:w="89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8"/>
                <w:szCs w:val="18"/>
                <w:b w:val="1"/>
                <w:bCs w:val="1"/>
                <w:color w:val="auto"/>
              </w:rPr>
              <w:t>Six Months Ended</w:t>
            </w:r>
          </w:p>
        </w:tc>
      </w:tr>
      <w:tr>
        <w:trPr>
          <w:trHeight w:val="186"/>
        </w:trPr>
        <w:tc>
          <w:tcPr>
            <w:tcW w:w="8980" w:type="dxa"/>
            <w:vAlign w:val="bottom"/>
          </w:tcPr>
          <w:p>
            <w:pPr>
              <w:spacing w:after="0"/>
              <w:rPr>
                <w:sz w:val="16"/>
                <w:szCs w:val="16"/>
                <w:color w:val="auto"/>
              </w:rPr>
            </w:pPr>
          </w:p>
        </w:tc>
        <w:tc>
          <w:tcPr>
            <w:tcW w:w="1160" w:type="dxa"/>
            <w:vAlign w:val="bottom"/>
            <w:gridSpan w:val="3"/>
          </w:tcPr>
          <w:p>
            <w:pPr>
              <w:jc w:val="right"/>
              <w:ind w:right="52"/>
              <w:spacing w:after="0" w:line="186" w:lineRule="exact"/>
              <w:rPr>
                <w:sz w:val="20"/>
                <w:szCs w:val="20"/>
                <w:color w:val="auto"/>
              </w:rPr>
            </w:pPr>
            <w:r>
              <w:rPr>
                <w:rFonts w:ascii="Arial" w:cs="Arial" w:eastAsia="Arial" w:hAnsi="Arial"/>
                <w:sz w:val="18"/>
                <w:szCs w:val="18"/>
                <w:b w:val="1"/>
                <w:bCs w:val="1"/>
                <w:color w:val="auto"/>
                <w:w w:val="93"/>
              </w:rPr>
              <w:t>February 28,</w:t>
            </w:r>
          </w:p>
        </w:tc>
        <w:tc>
          <w:tcPr>
            <w:tcW w:w="120" w:type="dxa"/>
            <w:vAlign w:val="bottom"/>
          </w:tcPr>
          <w:p>
            <w:pPr>
              <w:spacing w:after="0"/>
              <w:rPr>
                <w:sz w:val="16"/>
                <w:szCs w:val="16"/>
                <w:color w:val="auto"/>
              </w:rPr>
            </w:pPr>
          </w:p>
        </w:tc>
        <w:tc>
          <w:tcPr>
            <w:tcW w:w="1160" w:type="dxa"/>
            <w:vAlign w:val="bottom"/>
            <w:gridSpan w:val="2"/>
          </w:tcPr>
          <w:p>
            <w:pPr>
              <w:jc w:val="center"/>
              <w:ind w:right="12"/>
              <w:spacing w:after="0" w:line="186" w:lineRule="exact"/>
              <w:rPr>
                <w:sz w:val="20"/>
                <w:szCs w:val="20"/>
                <w:color w:val="auto"/>
              </w:rPr>
            </w:pPr>
            <w:r>
              <w:rPr>
                <w:rFonts w:ascii="Arial" w:cs="Arial" w:eastAsia="Arial" w:hAnsi="Arial"/>
                <w:sz w:val="18"/>
                <w:szCs w:val="18"/>
                <w:b w:val="1"/>
                <w:bCs w:val="1"/>
                <w:color w:val="auto"/>
                <w:w w:val="91"/>
              </w:rPr>
              <w:t>February 28,</w:t>
            </w:r>
          </w:p>
        </w:tc>
      </w:tr>
      <w:tr>
        <w:trPr>
          <w:trHeight w:val="229"/>
        </w:trPr>
        <w:tc>
          <w:tcPr>
            <w:tcW w:w="89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9"/>
              </w:rPr>
              <w:t>2013</w:t>
            </w:r>
          </w:p>
        </w:tc>
      </w:tr>
      <w:tr>
        <w:trPr>
          <w:trHeight w:val="204"/>
        </w:trPr>
        <w:tc>
          <w:tcPr>
            <w:tcW w:w="8980" w:type="dxa"/>
            <w:vAlign w:val="bottom"/>
            <w:shd w:val="clear" w:color="auto" w:fill="CCEEFF"/>
          </w:tcPr>
          <w:p>
            <w:pPr>
              <w:ind w:left="300"/>
              <w:spacing w:after="0" w:line="204" w:lineRule="exact"/>
              <w:rPr>
                <w:sz w:val="20"/>
                <w:szCs w:val="20"/>
                <w:color w:val="auto"/>
              </w:rPr>
            </w:pPr>
            <w:r>
              <w:rPr>
                <w:rFonts w:ascii="Arial" w:cs="Arial" w:eastAsia="Arial" w:hAnsi="Arial"/>
                <w:sz w:val="18"/>
                <w:szCs w:val="18"/>
                <w:color w:val="auto"/>
              </w:rPr>
              <w:t>Brazil</w:t>
            </w: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(145,955)</w:t>
            </w:r>
          </w:p>
        </w:tc>
        <w:tc>
          <w:tcPr>
            <w:tcW w:w="2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(106,759)</w:t>
            </w:r>
          </w:p>
        </w:tc>
      </w:tr>
      <w:tr>
        <w:trPr>
          <w:trHeight w:val="210"/>
        </w:trPr>
        <w:tc>
          <w:tcPr>
            <w:tcW w:w="8980" w:type="dxa"/>
            <w:vAlign w:val="bottom"/>
          </w:tcPr>
          <w:p>
            <w:pPr>
              <w:ind w:left="300"/>
              <w:spacing w:after="0"/>
              <w:rPr>
                <w:sz w:val="20"/>
                <w:szCs w:val="20"/>
                <w:color w:val="auto"/>
              </w:rPr>
            </w:pPr>
            <w:r>
              <w:rPr>
                <w:rFonts w:ascii="Arial" w:cs="Arial" w:eastAsia="Arial" w:hAnsi="Arial"/>
                <w:sz w:val="18"/>
                <w:szCs w:val="18"/>
                <w:color w:val="auto"/>
              </w:rPr>
              <w:t>India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0"/>
        </w:trPr>
        <w:tc>
          <w:tcPr>
            <w:tcW w:w="8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North America</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3,307,688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1,950,278</w:t>
            </w:r>
          </w:p>
        </w:tc>
      </w:tr>
      <w:tr>
        <w:trPr>
          <w:trHeight w:val="204"/>
        </w:trPr>
        <w:tc>
          <w:tcPr>
            <w:tcW w:w="8980" w:type="dxa"/>
            <w:vAlign w:val="bottom"/>
          </w:tcPr>
          <w:p>
            <w:pPr>
              <w:spacing w:after="0" w:line="204" w:lineRule="exact"/>
              <w:rPr>
                <w:sz w:val="20"/>
                <w:szCs w:val="20"/>
                <w:color w:val="auto"/>
              </w:rPr>
            </w:pPr>
            <w:r>
              <w:rPr>
                <w:rFonts w:ascii="Arial" w:cs="Arial" w:eastAsia="Arial" w:hAnsi="Arial"/>
                <w:sz w:val="18"/>
                <w:szCs w:val="18"/>
                <w:color w:val="auto"/>
              </w:rPr>
              <w:t>Total operating income</w:t>
            </w:r>
          </w:p>
        </w:tc>
        <w:tc>
          <w:tcPr>
            <w:tcW w:w="20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2"/>
              <w:spacing w:after="0" w:line="204" w:lineRule="exact"/>
              <w:rPr>
                <w:sz w:val="20"/>
                <w:szCs w:val="20"/>
                <w:color w:val="auto"/>
              </w:rPr>
            </w:pPr>
            <w:r>
              <w:rPr>
                <w:rFonts w:ascii="Arial" w:cs="Arial" w:eastAsia="Arial" w:hAnsi="Arial"/>
                <w:sz w:val="18"/>
                <w:szCs w:val="18"/>
                <w:color w:val="auto"/>
              </w:rPr>
              <w:t>3,167,533</w:t>
            </w:r>
          </w:p>
        </w:tc>
        <w:tc>
          <w:tcPr>
            <w:tcW w:w="2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204" w:lineRule="exact"/>
              <w:rPr>
                <w:sz w:val="20"/>
                <w:szCs w:val="20"/>
                <w:color w:val="auto"/>
              </w:rPr>
            </w:pPr>
            <w:r>
              <w:rPr>
                <w:rFonts w:ascii="Arial" w:cs="Arial" w:eastAsia="Arial" w:hAnsi="Arial"/>
                <w:sz w:val="18"/>
                <w:szCs w:val="18"/>
                <w:color w:val="auto"/>
              </w:rPr>
              <w:t>1,843,519</w:t>
            </w:r>
          </w:p>
        </w:tc>
      </w:tr>
      <w:tr>
        <w:trPr>
          <w:trHeight w:val="20"/>
        </w:trPr>
        <w:tc>
          <w:tcPr>
            <w:tcW w:w="89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Total assets located in Brazil and India primarily consist of cash and cash equivalents, customer receivables and inventory. These assets are periodically reviewed to assure the net realizable value from the estimated future production based on forecasted sales exceeds the carrying value of the assets.</w:t>
      </w:r>
    </w:p>
    <w:p>
      <w:pPr>
        <w:spacing w:after="0" w:line="155" w:lineRule="exact"/>
        <w:rPr>
          <w:sz w:val="20"/>
          <w:szCs w:val="20"/>
          <w:color w:val="auto"/>
        </w:rPr>
      </w:pPr>
    </w:p>
    <w:p>
      <w:pPr>
        <w:ind w:left="560" w:hanging="555"/>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46" w:lineRule="exact"/>
        <w:rPr>
          <w:sz w:val="20"/>
          <w:szCs w:val="20"/>
          <w:color w:val="auto"/>
        </w:rPr>
      </w:pPr>
    </w:p>
    <w:p>
      <w:pPr>
        <w:jc w:val="both"/>
        <w:ind w:right="20"/>
        <w:spacing w:after="0" w:line="315" w:lineRule="auto"/>
        <w:rPr>
          <w:sz w:val="20"/>
          <w:szCs w:val="20"/>
          <w:color w:val="auto"/>
        </w:rPr>
      </w:pPr>
      <w:r>
        <w:rPr>
          <w:rFonts w:ascii="Arial" w:cs="Arial" w:eastAsia="Arial" w:hAnsi="Arial"/>
          <w:sz w:val="15"/>
          <w:szCs w:val="15"/>
          <w:color w:val="auto"/>
        </w:rPr>
        <w:t>The Company expenses all costs related to product research and development as incurred. The Company incurred $2,237,865 and $1,850,599 of expense during the six months ended February 28, 2014 and 2013, respectively, in connection with its research and development activities. These costs are net of reimbursements related to certain research and development contracts. Such reimbursements totaled $45,788 and $137,364 for the six months ended February 28, 2014 and 2013, respectively. The net fees are accounted for in the “Research and Development Expenses” section of the consolidated statements of operations.</w:t>
      </w:r>
    </w:p>
    <w:p>
      <w:pPr>
        <w:spacing w:after="0" w:line="167" w:lineRule="exact"/>
        <w:rPr>
          <w:sz w:val="20"/>
          <w:szCs w:val="20"/>
          <w:color w:val="auto"/>
        </w:rPr>
      </w:pPr>
    </w:p>
    <w:p>
      <w:pPr>
        <w:ind w:left="580" w:hanging="575"/>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On August 22, 2013, the Compensation Committee of the Board of Directors of the Company approved the material terms of an annual bonus plan for the Company’s executive officers as well as certain officers and employees for the fiscal year ending August 31, 2014. For fiscal 2014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2013 compared to a pre-established target EBITOI for fiscal 2014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2014. There was $620,000 for management bonuses accrued for six months ended February 28, 2014 compared to a management bonus accrual of $275,000 for the six months ended February 28, 2013.</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5" w:name="page16"/>
    <w:bookmarkEnd w:id="15"/>
    <w:p>
      <w:pPr>
        <w:ind w:right="280"/>
        <w:spacing w:after="0" w:line="261" w:lineRule="auto"/>
        <w:rPr>
          <w:sz w:val="20"/>
          <w:szCs w:val="20"/>
          <w:color w:val="auto"/>
        </w:rPr>
      </w:pPr>
      <w:r>
        <w:rPr>
          <w:rFonts w:ascii="Arial" w:cs="Arial" w:eastAsia="Arial" w:hAnsi="Arial"/>
          <w:sz w:val="18"/>
          <w:szCs w:val="18"/>
          <w:color w:val="auto"/>
        </w:rPr>
        <w:t>The Company leases property located at 23205 Mercantile Road, Beachwood, Ohio. Remaining rentals payable under such leases are as follows: fiscal 2014 - $59,500 and thereafter - $0.</w:t>
      </w:r>
    </w:p>
    <w:p>
      <w:pPr>
        <w:spacing w:after="0" w:line="2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Three joint ventures accounted for 60.1% of the Company’s trade joint venture receivables at February 28, 2014, and two joint ventures accounted for 49.0% of the Company’s trade joint venture receivables at August 31, 2013.</w:t>
      </w:r>
    </w:p>
    <w:p>
      <w:pPr>
        <w:spacing w:after="0" w:line="208"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is not currently involved in any legal proceeding in which the Company believes, based on information currently available, that there is a reasonable possibility of a material loss.</w:t>
      </w:r>
    </w:p>
    <w:p>
      <w:pPr>
        <w:spacing w:after="0" w:line="155" w:lineRule="exact"/>
        <w:rPr>
          <w:sz w:val="20"/>
          <w:szCs w:val="20"/>
          <w:color w:val="auto"/>
        </w:rPr>
      </w:pPr>
    </w:p>
    <w:p>
      <w:pPr>
        <w:ind w:left="580" w:hanging="575"/>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7"/>
          </w:tcPr>
          <w:p>
            <w:pPr>
              <w:jc w:val="center"/>
              <w:ind w:right="132"/>
              <w:spacing w:after="0"/>
              <w:rPr>
                <w:sz w:val="20"/>
                <w:szCs w:val="20"/>
                <w:color w:val="auto"/>
              </w:rPr>
            </w:pPr>
            <w:r>
              <w:rPr>
                <w:rFonts w:ascii="Arial" w:cs="Arial" w:eastAsia="Arial" w:hAnsi="Arial"/>
                <w:sz w:val="18"/>
                <w:szCs w:val="18"/>
                <w:b w:val="1"/>
                <w:bCs w:val="1"/>
                <w:color w:val="auto"/>
                <w:w w:val="88"/>
              </w:rPr>
              <w:t>Fair Value Measurements</w:t>
            </w:r>
          </w:p>
        </w:tc>
        <w:tc>
          <w:tcPr>
            <w:tcW w:w="0" w:type="dxa"/>
            <w:vAlign w:val="bottom"/>
          </w:tcPr>
          <w:p>
            <w:pPr>
              <w:spacing w:after="0"/>
              <w:rPr>
                <w:sz w:val="1"/>
                <w:szCs w:val="1"/>
                <w:color w:val="auto"/>
              </w:rPr>
            </w:pPr>
          </w:p>
        </w:tc>
      </w:tr>
      <w:tr>
        <w:trPr>
          <w:trHeight w:val="228"/>
        </w:trPr>
        <w:tc>
          <w:tcPr>
            <w:tcW w:w="3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8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Fair Value as of</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8"/>
                <w:szCs w:val="18"/>
                <w:b w:val="1"/>
                <w:bCs w:val="1"/>
                <w:color w:val="auto"/>
                <w:w w:val="86"/>
              </w:rPr>
              <w:t>Using Inputs Considered as</w:t>
            </w:r>
          </w:p>
        </w:tc>
        <w:tc>
          <w:tcPr>
            <w:tcW w:w="0" w:type="dxa"/>
            <w:vAlign w:val="bottom"/>
          </w:tcPr>
          <w:p>
            <w:pPr>
              <w:spacing w:after="0"/>
              <w:rPr>
                <w:sz w:val="1"/>
                <w:szCs w:val="1"/>
                <w:color w:val="auto"/>
              </w:rPr>
            </w:pPr>
          </w:p>
        </w:tc>
      </w:tr>
      <w:tr>
        <w:trPr>
          <w:trHeight w:val="186"/>
        </w:trPr>
        <w:tc>
          <w:tcPr>
            <w:tcW w:w="34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February 28, 2014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8"/>
              </w:rPr>
              <w:t>Level 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Cash equivalents</w:t>
            </w:r>
          </w:p>
        </w:tc>
        <w:tc>
          <w:tcPr>
            <w:tcW w:w="3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3,523,000</w:t>
            </w:r>
          </w:p>
        </w:tc>
        <w:tc>
          <w:tcPr>
            <w:tcW w:w="22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ind w:left="80"/>
              <w:spacing w:after="0" w:line="204" w:lineRule="exact"/>
              <w:rPr>
                <w:sz w:val="20"/>
                <w:szCs w:val="20"/>
                <w:color w:val="auto"/>
              </w:rPr>
            </w:pPr>
            <w:r>
              <w:rPr>
                <w:rFonts w:ascii="Arial" w:cs="Arial" w:eastAsia="Arial" w:hAnsi="Arial"/>
                <w:sz w:val="18"/>
                <w:szCs w:val="18"/>
                <w:color w:val="auto"/>
                <w:w w:val="94"/>
              </w:rPr>
              <w:t>3,523,000</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ind w:left="600"/>
              <w:spacing w:after="0" w:line="204"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8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34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7"/>
          </w:tcPr>
          <w:p>
            <w:pPr>
              <w:jc w:val="center"/>
              <w:ind w:right="172"/>
              <w:spacing w:after="0"/>
              <w:rPr>
                <w:sz w:val="20"/>
                <w:szCs w:val="20"/>
                <w:color w:val="auto"/>
              </w:rPr>
            </w:pPr>
            <w:r>
              <w:rPr>
                <w:rFonts w:ascii="Arial" w:cs="Arial" w:eastAsia="Arial" w:hAnsi="Arial"/>
                <w:sz w:val="18"/>
                <w:szCs w:val="18"/>
                <w:b w:val="1"/>
                <w:bCs w:val="1"/>
                <w:color w:val="auto"/>
                <w:w w:val="88"/>
              </w:rPr>
              <w:t>Fair Value Measurements</w:t>
            </w:r>
          </w:p>
        </w:tc>
        <w:tc>
          <w:tcPr>
            <w:tcW w:w="0" w:type="dxa"/>
            <w:vAlign w:val="bottom"/>
          </w:tcPr>
          <w:p>
            <w:pPr>
              <w:spacing w:after="0"/>
              <w:rPr>
                <w:sz w:val="1"/>
                <w:szCs w:val="1"/>
                <w:color w:val="auto"/>
              </w:rPr>
            </w:pPr>
          </w:p>
        </w:tc>
      </w:tr>
      <w:tr>
        <w:trPr>
          <w:trHeight w:val="228"/>
        </w:trPr>
        <w:tc>
          <w:tcPr>
            <w:tcW w:w="3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Fair Value as of</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8"/>
                <w:szCs w:val="18"/>
                <w:b w:val="1"/>
                <w:bCs w:val="1"/>
                <w:color w:val="auto"/>
                <w:w w:val="86"/>
              </w:rPr>
              <w:t>Using Inputs Considered as</w:t>
            </w:r>
          </w:p>
        </w:tc>
        <w:tc>
          <w:tcPr>
            <w:tcW w:w="0" w:type="dxa"/>
            <w:vAlign w:val="bottom"/>
          </w:tcPr>
          <w:p>
            <w:pPr>
              <w:spacing w:after="0"/>
              <w:rPr>
                <w:sz w:val="1"/>
                <w:szCs w:val="1"/>
                <w:color w:val="auto"/>
              </w:rPr>
            </w:pPr>
          </w:p>
        </w:tc>
      </w:tr>
      <w:tr>
        <w:trPr>
          <w:trHeight w:val="186"/>
        </w:trPr>
        <w:tc>
          <w:tcPr>
            <w:tcW w:w="34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August 31, 2013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8"/>
              </w:rPr>
              <w:t>Level 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Cash equivalents</w:t>
            </w:r>
          </w:p>
        </w:tc>
        <w:tc>
          <w:tcPr>
            <w:tcW w:w="3680" w:type="dxa"/>
            <w:vAlign w:val="bottom"/>
            <w:gridSpan w:val="3"/>
            <w:shd w:val="clear" w:color="auto" w:fill="CCEEFF"/>
          </w:tcPr>
          <w:p>
            <w:pPr>
              <w:ind w:left="3400"/>
              <w:spacing w:after="0" w:line="204"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ind w:right="52"/>
              <w:spacing w:after="0" w:line="204" w:lineRule="exact"/>
              <w:rPr>
                <w:sz w:val="20"/>
                <w:szCs w:val="20"/>
                <w:color w:val="auto"/>
              </w:rPr>
            </w:pPr>
            <w:r>
              <w:rPr>
                <w:rFonts w:ascii="Arial" w:cs="Arial" w:eastAsia="Arial" w:hAnsi="Arial"/>
                <w:sz w:val="18"/>
                <w:szCs w:val="18"/>
                <w:color w:val="auto"/>
              </w:rPr>
              <w:t>1,020,000</w:t>
            </w:r>
          </w:p>
        </w:tc>
        <w:tc>
          <w:tcPr>
            <w:tcW w:w="22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ind w:left="40"/>
              <w:spacing w:after="0" w:line="204" w:lineRule="exact"/>
              <w:rPr>
                <w:sz w:val="20"/>
                <w:szCs w:val="20"/>
                <w:color w:val="auto"/>
              </w:rPr>
            </w:pPr>
            <w:r>
              <w:rPr>
                <w:rFonts w:ascii="Arial" w:cs="Arial" w:eastAsia="Arial" w:hAnsi="Arial"/>
                <w:sz w:val="18"/>
                <w:szCs w:val="18"/>
                <w:color w:val="auto"/>
                <w:w w:val="99"/>
              </w:rPr>
              <w:t>1,020,000</w:t>
            </w:r>
          </w:p>
        </w:tc>
        <w:tc>
          <w:tcPr>
            <w:tcW w:w="22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ind w:left="580"/>
              <w:spacing w:after="0" w:line="204"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8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4"/>
        </w:trPr>
        <w:tc>
          <w:tcPr>
            <w:tcW w:w="3420" w:type="dxa"/>
            <w:vAlign w:val="bottom"/>
            <w:tcBorders>
              <w:top w:val="single" w:sz="8" w:color="CCEEFF"/>
            </w:tcBorders>
          </w:tcPr>
          <w:p>
            <w:pPr>
              <w:spacing w:after="0"/>
              <w:rPr>
                <w:sz w:val="24"/>
                <w:szCs w:val="24"/>
                <w:color w:val="auto"/>
              </w:rPr>
            </w:pPr>
          </w:p>
        </w:tc>
        <w:tc>
          <w:tcPr>
            <w:tcW w:w="3240" w:type="dxa"/>
            <w:vAlign w:val="bottom"/>
            <w:tcBorders>
              <w:top w:val="single" w:sz="8" w:color="CCEEFF"/>
            </w:tcBorders>
          </w:tcPr>
          <w:p>
            <w:pPr>
              <w:jc w:val="right"/>
              <w:ind w:right="772"/>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808080"/>
            </w:tcBorders>
          </w:tcPr>
          <w:p>
            <w:pPr>
              <w:spacing w:after="0"/>
              <w:rPr>
                <w:sz w:val="12"/>
                <w:szCs w:val="12"/>
                <w:color w:val="auto"/>
              </w:rPr>
            </w:pPr>
          </w:p>
        </w:tc>
        <w:tc>
          <w:tcPr>
            <w:tcW w:w="32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-36830</wp:posOffset>
            </wp:positionV>
            <wp:extent cx="1270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1270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6" w:name="page17"/>
    <w:bookmarkEnd w:id="16"/>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NTIC develops and markets proprietary environmentally beneficial products and services in over 60 countries either directly or via a network of joint ventures, independent distributors and agents. NTIC’s primary business is corrosion prevention marketed mainly under the ZERUST® brand. NTIC has been selling these proprietary ZERUST® products and services to the automotive, electronics, electrical, mechanical, military and retail consumer markets for over 35 years, and more recently, has expanded its target market to include the oil and gas industry. NTIC also sells a portfolio of bio-based and biodegradable (compostable) polymer resin compounds and finished products marketed under the Natur-Tec® brand. These products are intended to reduce NTIC’s customers’ carbon footprint and provide environmentally sound waste disposal options.</w:t>
      </w:r>
    </w:p>
    <w:p>
      <w:pPr>
        <w:spacing w:after="0" w:line="19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NTIC’s ZERUST®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majority owned subsidiary in Brazil, Zerust Prevenção de Corrosão S.A. (Zerust Brazil), its majority owned joint venture holding company for NTIC’s joint venture investments in the Association of Southeast Asian Nations (ASEAN) region, and joint venture arrangements in North America, Europe and Asia.</w:t>
      </w:r>
    </w:p>
    <w:p>
      <w:pPr>
        <w:spacing w:after="0" w:line="197" w:lineRule="exact"/>
        <w:rPr>
          <w:sz w:val="20"/>
          <w:szCs w:val="20"/>
          <w:color w:val="auto"/>
        </w:rPr>
      </w:pPr>
    </w:p>
    <w:p>
      <w:pPr>
        <w:ind w:right="80"/>
        <w:spacing w:after="0" w:line="315" w:lineRule="auto"/>
        <w:rPr>
          <w:sz w:val="20"/>
          <w:szCs w:val="20"/>
          <w:color w:val="auto"/>
        </w:rPr>
      </w:pPr>
      <w:r>
        <w:rPr>
          <w:rFonts w:ascii="Arial" w:cs="Arial" w:eastAsia="Arial" w:hAnsi="Arial"/>
          <w:sz w:val="15"/>
          <w:szCs w:val="15"/>
          <w:color w:val="auto"/>
        </w:rPr>
        <w:t>One of NTIC’s strategic initiatives is to expand into and penetrate other markets for its ZERUST® corrosion prevention solutions. Consequently, for the past several years, NTIC has focused its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17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Zerust Brazil or through NTIC’s joint venture partners and other strategic partners. The sale of ZERUST® corrosion prevention solutions to customers in the oil and gas industry has typically involved a long sales cycle, often including a one- to multi-year trial period with each customer and a slow integration process thereafter.</w:t>
      </w:r>
    </w:p>
    <w:p>
      <w:pPr>
        <w:spacing w:after="0" w:line="220"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Natur-Tec® bio-based and biodegradable plastics are manufactured using NTIC’s patented and/or proprietary technologies and are intended to replace conventional petroleum-based plastics. The Natur-Tec® biopolymer resin compound portfolio include formulations that have been optimized for a variety of applications including blown-film extrusion, extrusion coating, injection molding, and engineered plastics. These resin compounds are fully biodegradable in a composting environment and are currently being used to produce finished products including shopping and grocery bags, lawn and leaf bags, can liners, pet waste collection bags, cutlery, packaging foam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w:t>
      </w:r>
    </w:p>
    <w:p>
      <w:pPr>
        <w:spacing w:after="0" w:line="4"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color w:val="auto"/>
        </w:rPr>
        <w:t>products. Internationally, NTIC sells its Natur-Tec® resin compounds and finished products both directly and through its recently formed majority owned subsidiary in India, Northern Technologies India Private Limited (NTI India), and certain joint ventures.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NTIC’s Joint Venture Network</w:t>
      </w:r>
    </w:p>
    <w:p>
      <w:pPr>
        <w:spacing w:after="0" w:line="246" w:lineRule="exact"/>
        <w:rPr>
          <w:sz w:val="20"/>
          <w:szCs w:val="20"/>
          <w:color w:val="auto"/>
        </w:rPr>
      </w:pPr>
    </w:p>
    <w:p>
      <w:pPr>
        <w:jc w:val="both"/>
        <w:ind w:right="120"/>
        <w:spacing w:after="0" w:line="299" w:lineRule="auto"/>
        <w:rPr>
          <w:sz w:val="20"/>
          <w:szCs w:val="20"/>
          <w:color w:val="auto"/>
        </w:rPr>
      </w:pPr>
      <w:r>
        <w:rPr>
          <w:rFonts w:ascii="Arial" w:cs="Arial" w:eastAsia="Arial" w:hAnsi="Arial"/>
          <w:sz w:val="16"/>
          <w:szCs w:val="16"/>
          <w:color w:val="auto"/>
        </w:rPr>
        <w:t>NTIC participates in 21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 resin compounds. NTIC has historically funded its investments in joint ventures with cash generated from operations.</w:t>
      </w:r>
    </w:p>
    <w:p>
      <w:pPr>
        <w:spacing w:after="0" w:line="181"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NTIC accounts for the investments and financial results of its 21 joint ventures in its financial statements utilizing the equity method of accounting.</w:t>
      </w:r>
    </w:p>
    <w:p>
      <w:pPr>
        <w:spacing w:after="0" w:line="263"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The results of Zerust Brazil, NTI India and NTI Asean are fully consolidated in NTIC’s consolidated financial statements. NTIC holds 85% of the equity and 85% of the voting rights of Zerust Brazil. Beginning in the first quarter of fiscal 2013, NTIC consolidated the results of NTI Asean, which effective as of September 1, 2012 is a majority owned subsidiary of NTIC. NTIC holds 60% of the equity and 60% of the voting rights of NTI Asean. NTI Asean holds investments in eight entities that operate in the following eight territories located in the ASEAN region: China, Indonesia, Korea, Malaysia, Philippines, Singapore, Taiwan and Thailand. As of February 28, 2014 NTIC consolidated the results of NTI India, which effective as of December 1, 2013 is a majority owned subsidiary. NTIC holds 90% of the equity and 90% of the voting rights of NTI India</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NTIC considers EXCOR and China to be individually significant to NTIC’s consolidated assets and income; and therefore, provides certain additional information regarding EXCOR and China in the notes to NTIC’s consolidated financial statements and in this section of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46" w:lineRule="exact"/>
        <w:rPr>
          <w:sz w:val="20"/>
          <w:szCs w:val="20"/>
          <w:color w:val="auto"/>
        </w:rPr>
      </w:pPr>
    </w:p>
    <w:p>
      <w:pPr>
        <w:ind w:right="660"/>
        <w:spacing w:after="0" w:line="362" w:lineRule="auto"/>
        <w:rPr>
          <w:sz w:val="20"/>
          <w:szCs w:val="20"/>
          <w:color w:val="auto"/>
        </w:rPr>
      </w:pPr>
      <w:r>
        <w:rPr>
          <w:rFonts w:ascii="Arial" w:cs="Arial" w:eastAsia="Arial" w:hAnsi="Arial"/>
          <w:sz w:val="15"/>
          <w:szCs w:val="15"/>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37"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NTIC’s consolidated net sales increased 18.5% and 18.9% during the three and six months ended February 28, 2014, respectively, compared to the three and six months ended February 28, 2013. These increases were primarily a result of increased demand for ZERUST® rust and corrosion inhibiting packaging products and services and Natur-Tec® products. During the three and six months ended February 28, 2014, 89.3% and 90.2% of NTIC’s consolidated net sales, respectively, were derived from sales of ZERUST® products and services, which increased 17.9% and 18.9% to $5,555,051 and $11,304,064 during the three and six months ended February 28, 2014, respectively, compared to $4,710,412 and $9,505,695 during the three and six months ended February 28, 2013, respectively, due to increased demand from both new and existing customers.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six months ended February 28, 2014 included $792,720 of sales made to customers in the oil and gas industry compared to $374,790 for the prior fiscal year period. Overall demand for ZERUST® products and services depends heavily on the overall health of the markets in which NTIC sells its products, including the automotive market in particular.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8" w:name="page19"/>
    <w:bookmarkEnd w:id="18"/>
    <w:p>
      <w:pPr>
        <w:ind w:right="300"/>
        <w:spacing w:after="0" w:line="301" w:lineRule="auto"/>
        <w:rPr>
          <w:sz w:val="20"/>
          <w:szCs w:val="20"/>
          <w:color w:val="auto"/>
        </w:rPr>
      </w:pPr>
      <w:r>
        <w:rPr>
          <w:rFonts w:ascii="Arial" w:cs="Arial" w:eastAsia="Arial" w:hAnsi="Arial"/>
          <w:sz w:val="15"/>
          <w:szCs w:val="15"/>
          <w:color w:val="auto"/>
        </w:rPr>
        <w:t>During the three and six months ended February 28, 2014, 10.7% and 9.8%, of NTIC’s consolidated net sales were derived from sales of Natur-Tec® products compared to 10.2% and 9.8% during the three and six months ended February 28, 2013, respectively. Net sales of Natur-Tec® products increased 23.9% and</w:t>
      </w:r>
    </w:p>
    <w:p>
      <w:pPr>
        <w:ind w:right="20"/>
        <w:spacing w:after="0" w:line="246" w:lineRule="auto"/>
        <w:rPr>
          <w:sz w:val="20"/>
          <w:szCs w:val="20"/>
          <w:color w:val="auto"/>
        </w:rPr>
      </w:pPr>
      <w:r>
        <w:rPr>
          <w:rFonts w:ascii="Arial" w:cs="Arial" w:eastAsia="Arial" w:hAnsi="Arial"/>
          <w:sz w:val="18"/>
          <w:szCs w:val="18"/>
          <w:color w:val="auto"/>
        </w:rPr>
        <w:t>18.6% during the three and six months ended February 28, 2014 compared to the three and six months ended February 28, 2013, respectively. These increases were primarily due to finished product sales through NTIC’s newly formed majority owned subsidiary in India, Northern Technologies India Private Limited (NTI India).</w:t>
      </w:r>
    </w:p>
    <w:p>
      <w:pPr>
        <w:spacing w:after="0" w:line="220"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Cost of goods sold as a percentage of net sales decreased to 65.2% during the three months ended February 28, 2014 compared to 69.3% during the three months ended February 28, 2013 and decreased to 65.5% during the six months ended February 28, 2014 compared to 69.5% during the prior fiscal year period. These decreases were primarily as a result of start-up costs associated with a new customer recognized during the prior fiscal year period.</w:t>
      </w:r>
    </w:p>
    <w:p>
      <w:pPr>
        <w:spacing w:after="0" w:line="18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NTIC’s equity in income of joint ventures increased 22.6% and 23.1% to $1,395,451 and $2,823,199, respectively, during the three and six months ended February 28, 2014 compared to $1,138,438 and $2,292,734 during the three and six months ended February 28, 2013, which increases were primarily a result of increases in sales at the joint ventures.</w:t>
      </w:r>
    </w:p>
    <w:p>
      <w:pPr>
        <w:spacing w:after="0" w:line="216"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NTIC recognized a 16.2% and 15.2% increase in fees for services provided to joint ventures during the three and six months ended February 28, 2014 compared to the three and six months ended February 28, 2013, respectively. These increases were primarily a result of increases in sales at the joint ventures as fees for services provided are a function of the net sales of NTIC’s joint ventures, which were $28,389,158 and $58,050,376 during the three and six months ended February 28, 2014 compared to $26,722,201 and $54,247,135 for the three and six months ended February 28, 2013. Total net sales of NTIC’s joint ventures appear to be slightly improving from the depressed sales levels experienced as a result of the European economic slowdown over the past few years.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NTIC’s total operating expenses increased 11.8%, or $861,644, to $8,141,229 during the six months ended February 28, 2014 compared to the six months ended February 28, 2013. This increase was primarily the result of an increase in selling expenses, general and administrative expenses and expenses incurred in support of joint ventures, and overall reflected NTIC’s efforts to support its new business efforts.</w:t>
      </w:r>
    </w:p>
    <w:p>
      <w:pPr>
        <w:spacing w:after="0" w:line="21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NTIC expenses all costs related to product research and development as incurred. NTIC incurred $2,237,865 and $1,850,599 of expense during the six months ended February 28, 2014 and 2013, respectively, in connection with its research and development activities. These represent net amounts after being reduced by reimbursements related to certain research and development contracts. Such reimbursements totaled $45,788 and $137,364 for the six months ended February 28, 2014 and 2013, respectively. NTIC anticipates that it will spend between $3,800,000 and $4,000,000 in total during fiscal 2014 on research and development activities related to its new technologies. This estimate is a net range after being reduced by anticipated reimbursements related to certain research and development contracts.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Net income attributable to NTIC increased 136.0%, to $1,025,044, or $0.22 per diluted common share, for the three months ended February 28, 2014 compared to $434,410, or $0.10 per diluted common share, for the three months ended February 28, 2013. Net income attributable to NTIC increased 128.6%, to $1,883,630, or $0.41 per diluted common share, for the six months ended February 28, 2014 compared to $824,032, or $0.18 per diluted common share, for the six months ended February 28, 2013. These increases were primarily the result of increases in gross profit of NTIC’s North American businesses and increases in joint venture operations. NTIC anticipates that its quarterly net income will remain subject to significant volatility primarily due to the financial performance of its joint ventures and sales of its ZERUST® products and services into the oil and gas industry and Natur-Tec® bioplastics products, which sales fluctuate more on a quarterly basis than the traditional ZERUST® business.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9" w:name="page20"/>
    <w:bookmarkEnd w:id="19"/>
    <w:p>
      <w:pPr>
        <w:ind w:right="140"/>
        <w:spacing w:after="0" w:line="261" w:lineRule="auto"/>
        <w:rPr>
          <w:sz w:val="20"/>
          <w:szCs w:val="20"/>
          <w:color w:val="auto"/>
        </w:rPr>
      </w:pPr>
      <w:r>
        <w:rPr>
          <w:rFonts w:ascii="Arial" w:cs="Arial" w:eastAsia="Arial" w:hAnsi="Arial"/>
          <w:sz w:val="18"/>
          <w:szCs w:val="18"/>
          <w:color w:val="auto"/>
        </w:rPr>
        <w:t>NTIC’s working capital was $17,690,903 at February 28, 2014, including $6,996,127 in cash and cash equivalents compared to $13,270,452 at August 31, 2013, including $4,314,258 in cash and cash equivalents.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NTIC’s results of operations for the three and six months ended February 28, 2014 and 2013.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8"/>
                <w:szCs w:val="18"/>
                <w:b w:val="1"/>
                <w:bCs w:val="1"/>
                <w:color w:val="auto"/>
                <w:w w:val="98"/>
              </w:rPr>
              <w:t>Three Months Ended</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86"/>
        </w:trPr>
        <w:tc>
          <w:tcPr>
            <w:tcW w:w="4540" w:type="dxa"/>
            <w:vAlign w:val="bottom"/>
          </w:tcPr>
          <w:p>
            <w:pPr>
              <w:spacing w:after="0"/>
              <w:rPr>
                <w:sz w:val="16"/>
                <w:szCs w:val="16"/>
                <w:color w:val="auto"/>
              </w:rPr>
            </w:pPr>
          </w:p>
        </w:tc>
        <w:tc>
          <w:tcPr>
            <w:tcW w:w="1060" w:type="dxa"/>
            <w:vAlign w:val="bottom"/>
          </w:tcPr>
          <w:p>
            <w:pPr>
              <w:jc w:val="right"/>
              <w:ind w:right="12"/>
              <w:spacing w:after="0" w:line="186" w:lineRule="exact"/>
              <w:rPr>
                <w:sz w:val="20"/>
                <w:szCs w:val="20"/>
                <w:color w:val="auto"/>
              </w:rPr>
            </w:pPr>
            <w:r>
              <w:rPr>
                <w:rFonts w:ascii="Arial" w:cs="Arial" w:eastAsia="Arial" w:hAnsi="Arial"/>
                <w:sz w:val="18"/>
                <w:szCs w:val="18"/>
                <w:b w:val="1"/>
                <w:bCs w:val="1"/>
                <w:color w:val="auto"/>
                <w:w w:val="87"/>
              </w:rPr>
              <w:t>February 28,</w:t>
            </w:r>
          </w:p>
        </w:tc>
        <w:tc>
          <w:tcPr>
            <w:tcW w:w="120" w:type="dxa"/>
            <w:vAlign w:val="bottom"/>
          </w:tcPr>
          <w:p>
            <w:pPr>
              <w:spacing w:after="0"/>
              <w:rPr>
                <w:sz w:val="16"/>
                <w:szCs w:val="16"/>
                <w:color w:val="auto"/>
              </w:rPr>
            </w:pPr>
          </w:p>
        </w:tc>
        <w:tc>
          <w:tcPr>
            <w:tcW w:w="1040" w:type="dxa"/>
            <w:vAlign w:val="bottom"/>
          </w:tcPr>
          <w:p>
            <w:pPr>
              <w:jc w:val="right"/>
              <w:ind w:right="332"/>
              <w:spacing w:after="0" w:line="186"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080" w:type="dxa"/>
            <w:vAlign w:val="bottom"/>
          </w:tcPr>
          <w:p>
            <w:pPr>
              <w:jc w:val="right"/>
              <w:ind w:right="32"/>
              <w:spacing w:after="0" w:line="186" w:lineRule="exact"/>
              <w:rPr>
                <w:sz w:val="20"/>
                <w:szCs w:val="20"/>
                <w:color w:val="auto"/>
              </w:rPr>
            </w:pPr>
            <w:r>
              <w:rPr>
                <w:rFonts w:ascii="Arial" w:cs="Arial" w:eastAsia="Arial" w:hAnsi="Arial"/>
                <w:sz w:val="18"/>
                <w:szCs w:val="18"/>
                <w:b w:val="1"/>
                <w:bCs w:val="1"/>
                <w:color w:val="auto"/>
                <w:w w:val="87"/>
              </w:rPr>
              <w:t>February 28,</w:t>
            </w:r>
          </w:p>
        </w:tc>
        <w:tc>
          <w:tcPr>
            <w:tcW w:w="100" w:type="dxa"/>
            <w:vAlign w:val="bottom"/>
          </w:tcPr>
          <w:p>
            <w:pPr>
              <w:spacing w:after="0"/>
              <w:rPr>
                <w:sz w:val="16"/>
                <w:szCs w:val="16"/>
                <w:color w:val="auto"/>
              </w:rPr>
            </w:pPr>
          </w:p>
        </w:tc>
        <w:tc>
          <w:tcPr>
            <w:tcW w:w="1040" w:type="dxa"/>
            <w:vAlign w:val="bottom"/>
          </w:tcPr>
          <w:p>
            <w:pPr>
              <w:jc w:val="right"/>
              <w:ind w:right="332"/>
              <w:spacing w:after="0" w:line="186" w:lineRule="exact"/>
              <w:rPr>
                <w:sz w:val="20"/>
                <w:szCs w:val="20"/>
                <w:color w:val="auto"/>
              </w:rPr>
            </w:pPr>
            <w:r>
              <w:rPr>
                <w:rFonts w:ascii="Arial" w:cs="Arial" w:eastAsia="Arial" w:hAnsi="Arial"/>
                <w:sz w:val="18"/>
                <w:szCs w:val="18"/>
                <w:b w:val="1"/>
                <w:bCs w:val="1"/>
                <w:color w:val="auto"/>
              </w:rPr>
              <w:t>% of</w:t>
            </w:r>
          </w:p>
        </w:tc>
        <w:tc>
          <w:tcPr>
            <w:tcW w:w="1120" w:type="dxa"/>
            <w:vAlign w:val="bottom"/>
            <w:gridSpan w:val="2"/>
          </w:tcPr>
          <w:p>
            <w:pPr>
              <w:jc w:val="right"/>
              <w:ind w:right="432"/>
              <w:spacing w:after="0" w:line="186"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472"/>
              <w:spacing w:after="0" w:line="186" w:lineRule="exact"/>
              <w:rPr>
                <w:sz w:val="20"/>
                <w:szCs w:val="20"/>
                <w:color w:val="auto"/>
              </w:rPr>
            </w:pPr>
            <w:r>
              <w:rPr>
                <w:rFonts w:ascii="Arial" w:cs="Arial" w:eastAsia="Arial" w:hAnsi="Arial"/>
                <w:sz w:val="18"/>
                <w:szCs w:val="18"/>
                <w:b w:val="1"/>
                <w:bCs w:val="1"/>
                <w:color w:val="auto"/>
              </w:rPr>
              <w:t>%</w:t>
            </w:r>
          </w:p>
        </w:tc>
      </w:tr>
      <w:tr>
        <w:trPr>
          <w:trHeight w:val="229"/>
        </w:trPr>
        <w:tc>
          <w:tcPr>
            <w:tcW w:w="4540" w:type="dxa"/>
            <w:vAlign w:val="bottom"/>
          </w:tcPr>
          <w:p>
            <w:pPr>
              <w:spacing w:after="0"/>
              <w:rPr>
                <w:sz w:val="19"/>
                <w:szCs w:val="19"/>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3"/>
              </w:rPr>
              <w:t>Net Sales</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3"/>
              </w:rPr>
              <w:t>Net Sales</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Change</w:t>
            </w:r>
          </w:p>
        </w:tc>
      </w:tr>
      <w:tr>
        <w:trPr>
          <w:trHeight w:val="204"/>
        </w:trPr>
        <w:tc>
          <w:tcPr>
            <w:tcW w:w="45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sales, excluding joint ventures</w:t>
            </w:r>
          </w:p>
        </w:tc>
        <w:tc>
          <w:tcPr>
            <w:tcW w:w="10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3"/>
              </w:rPr>
              <w:t>$  5,527,366</w:t>
            </w:r>
          </w:p>
        </w:tc>
        <w:tc>
          <w:tcPr>
            <w:tcW w:w="11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88.9%</w:t>
            </w:r>
          </w:p>
        </w:tc>
        <w:tc>
          <w:tcPr>
            <w:tcW w:w="120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  4,485,203</w:t>
            </w:r>
          </w:p>
        </w:tc>
        <w:tc>
          <w:tcPr>
            <w:tcW w:w="11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85.5%</w:t>
            </w:r>
          </w:p>
        </w:tc>
        <w:tc>
          <w:tcPr>
            <w:tcW w:w="112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$ 1,042,163</w:t>
            </w:r>
          </w:p>
        </w:tc>
        <w:tc>
          <w:tcPr>
            <w:tcW w:w="1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23.2%</w:t>
            </w: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691,642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761,147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(69,505)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4,051,833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3,633,913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417,920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1,395,451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1,138,438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257,013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22.6%</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2,057,671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1,770,881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286,790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Selling expenses</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1,291,316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1,174,065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117,251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1,209,933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1,143,987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65,946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366,469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321,456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45,013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1,099,345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912,393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186,952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86"/>
        </w:trPr>
        <w:tc>
          <w:tcPr>
            <w:tcW w:w="4580" w:type="dxa"/>
            <w:vAlign w:val="bottom"/>
          </w:tcPr>
          <w:p>
            <w:pPr>
              <w:spacing w:after="0"/>
              <w:rPr>
                <w:sz w:val="16"/>
                <w:szCs w:val="16"/>
                <w:color w:val="auto"/>
              </w:rPr>
            </w:pPr>
          </w:p>
        </w:tc>
        <w:tc>
          <w:tcPr>
            <w:tcW w:w="1080" w:type="dxa"/>
            <w:vAlign w:val="bottom"/>
          </w:tcPr>
          <w:p>
            <w:pPr>
              <w:jc w:val="right"/>
              <w:ind w:right="12"/>
              <w:spacing w:after="0" w:line="186" w:lineRule="exact"/>
              <w:rPr>
                <w:sz w:val="20"/>
                <w:szCs w:val="20"/>
                <w:color w:val="auto"/>
              </w:rPr>
            </w:pPr>
            <w:r>
              <w:rPr>
                <w:rFonts w:ascii="Arial" w:cs="Arial" w:eastAsia="Arial" w:hAnsi="Arial"/>
                <w:sz w:val="18"/>
                <w:szCs w:val="18"/>
                <w:b w:val="1"/>
                <w:bCs w:val="1"/>
                <w:color w:val="auto"/>
                <w:w w:val="89"/>
              </w:rPr>
              <w:t>February 28,</w:t>
            </w:r>
          </w:p>
        </w:tc>
        <w:tc>
          <w:tcPr>
            <w:tcW w:w="100" w:type="dxa"/>
            <w:vAlign w:val="bottom"/>
          </w:tcPr>
          <w:p>
            <w:pPr>
              <w:spacing w:after="0"/>
              <w:rPr>
                <w:sz w:val="16"/>
                <w:szCs w:val="16"/>
                <w:color w:val="auto"/>
              </w:rPr>
            </w:pPr>
          </w:p>
        </w:tc>
        <w:tc>
          <w:tcPr>
            <w:tcW w:w="1060" w:type="dxa"/>
            <w:vAlign w:val="bottom"/>
          </w:tcPr>
          <w:p>
            <w:pPr>
              <w:jc w:val="right"/>
              <w:ind w:right="332"/>
              <w:spacing w:after="0" w:line="186"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080" w:type="dxa"/>
            <w:vAlign w:val="bottom"/>
          </w:tcPr>
          <w:p>
            <w:pPr>
              <w:jc w:val="right"/>
              <w:ind w:right="12"/>
              <w:spacing w:after="0" w:line="186" w:lineRule="exact"/>
              <w:rPr>
                <w:sz w:val="20"/>
                <w:szCs w:val="20"/>
                <w:color w:val="auto"/>
              </w:rPr>
            </w:pPr>
            <w:r>
              <w:rPr>
                <w:rFonts w:ascii="Arial" w:cs="Arial" w:eastAsia="Arial" w:hAnsi="Arial"/>
                <w:sz w:val="18"/>
                <w:szCs w:val="18"/>
                <w:b w:val="1"/>
                <w:bCs w:val="1"/>
                <w:color w:val="auto"/>
                <w:w w:val="89"/>
              </w:rPr>
              <w:t>February 28,</w:t>
            </w:r>
          </w:p>
        </w:tc>
        <w:tc>
          <w:tcPr>
            <w:tcW w:w="100" w:type="dxa"/>
            <w:vAlign w:val="bottom"/>
          </w:tcPr>
          <w:p>
            <w:pPr>
              <w:spacing w:after="0"/>
              <w:rPr>
                <w:sz w:val="16"/>
                <w:szCs w:val="16"/>
                <w:color w:val="auto"/>
              </w:rPr>
            </w:pPr>
          </w:p>
        </w:tc>
        <w:tc>
          <w:tcPr>
            <w:tcW w:w="1060" w:type="dxa"/>
            <w:vAlign w:val="bottom"/>
          </w:tcPr>
          <w:p>
            <w:pPr>
              <w:jc w:val="right"/>
              <w:ind w:right="332"/>
              <w:spacing w:after="0" w:line="186" w:lineRule="exact"/>
              <w:rPr>
                <w:sz w:val="20"/>
                <w:szCs w:val="20"/>
                <w:color w:val="auto"/>
              </w:rPr>
            </w:pPr>
            <w:r>
              <w:rPr>
                <w:rFonts w:ascii="Arial" w:cs="Arial" w:eastAsia="Arial" w:hAnsi="Arial"/>
                <w:sz w:val="18"/>
                <w:szCs w:val="18"/>
                <w:b w:val="1"/>
                <w:bCs w:val="1"/>
                <w:color w:val="auto"/>
              </w:rPr>
              <w:t>% of</w:t>
            </w:r>
          </w:p>
        </w:tc>
        <w:tc>
          <w:tcPr>
            <w:tcW w:w="1100" w:type="dxa"/>
            <w:vAlign w:val="bottom"/>
            <w:gridSpan w:val="2"/>
          </w:tcPr>
          <w:p>
            <w:pPr>
              <w:jc w:val="right"/>
              <w:ind w:right="412"/>
              <w:spacing w:after="0" w:line="186"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32"/>
              <w:spacing w:after="0" w:line="186" w:lineRule="exact"/>
              <w:rPr>
                <w:sz w:val="20"/>
                <w:szCs w:val="20"/>
                <w:color w:val="auto"/>
              </w:rPr>
            </w:pPr>
            <w:r>
              <w:rPr>
                <w:rFonts w:ascii="Arial" w:cs="Arial" w:eastAsia="Arial" w:hAnsi="Arial"/>
                <w:sz w:val="18"/>
                <w:szCs w:val="18"/>
                <w:b w:val="1"/>
                <w:bCs w:val="1"/>
                <w:color w:val="auto"/>
              </w:rPr>
              <w:t>%</w:t>
            </w:r>
          </w:p>
        </w:tc>
      </w:tr>
      <w:tr>
        <w:trPr>
          <w:trHeight w:val="229"/>
        </w:trPr>
        <w:tc>
          <w:tcPr>
            <w:tcW w:w="4580" w:type="dxa"/>
            <w:vAlign w:val="bottom"/>
          </w:tcPr>
          <w:p>
            <w:pPr>
              <w:spacing w:after="0"/>
              <w:rPr>
                <w:sz w:val="19"/>
                <w:szCs w:val="19"/>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6"/>
              </w:rPr>
              <w:t>Net Sales</w:t>
            </w:r>
          </w:p>
        </w:tc>
        <w:tc>
          <w:tcPr>
            <w:tcW w:w="100" w:type="dxa"/>
            <w:vAlign w:val="bottom"/>
          </w:tcPr>
          <w:p>
            <w:pPr>
              <w:spacing w:after="0"/>
              <w:rPr>
                <w:sz w:val="19"/>
                <w:szCs w:val="19"/>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6"/>
              </w:rPr>
              <w:t>Net Sales</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Change</w:t>
            </w:r>
          </w:p>
        </w:tc>
      </w:tr>
      <w:tr>
        <w:trPr>
          <w:trHeight w:val="204"/>
        </w:trPr>
        <w:tc>
          <w:tcPr>
            <w:tcW w:w="45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sales, excluding joint ventures</w:t>
            </w:r>
          </w:p>
        </w:tc>
        <w:tc>
          <w:tcPr>
            <w:tcW w:w="108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1"/>
              </w:rPr>
              <w:t>$ 11,132,384</w:t>
            </w:r>
          </w:p>
        </w:tc>
        <w:tc>
          <w:tcPr>
            <w:tcW w:w="11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88.9%</w:t>
            </w:r>
          </w:p>
        </w:tc>
        <w:tc>
          <w:tcPr>
            <w:tcW w:w="1180" w:type="dxa"/>
            <w:vAlign w:val="bottom"/>
            <w:gridSpan w:val="2"/>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  9,255,590</w:t>
            </w:r>
          </w:p>
        </w:tc>
        <w:tc>
          <w:tcPr>
            <w:tcW w:w="11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87.8%</w:t>
            </w:r>
          </w:p>
        </w:tc>
        <w:tc>
          <w:tcPr>
            <w:tcW w:w="1100" w:type="dxa"/>
            <w:vAlign w:val="bottom"/>
            <w:gridSpan w:val="2"/>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$ 1,876,794</w:t>
            </w:r>
          </w:p>
        </w:tc>
        <w:tc>
          <w:tcPr>
            <w:tcW w:w="11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20.3%</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1,395,724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1,282,507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113,217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8,209,864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7,324,885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884,979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2,823,199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2,292,734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530,465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23.1%</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4,167,319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3,617,158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550,161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Selling expenses</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2,610,202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2,345,160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265,042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2,597,429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2,392,683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204,746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695,733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691,143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4,590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2,237,865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1,850,599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387,266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r>
    </w:tbl>
    <w:p>
      <w:pPr>
        <w:spacing w:after="0" w:line="224"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increased 18.5% and 18.9% to $6,219,008 and $12,528,108, respectively, during the three and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28, 2014 compared to the three and six months ended February 28, 2013. NTIC’s consolidated net sales excluding NTIC’s joint ventures increased 23.2% and 20.3% to $5,527,366 and $11,132,384, respectively, during the three and six months ended February 28, 2014 compared to the same respective prior fiscal year periods. These increases were primarily a result of increased demand and sales of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rust and corrosion inhibiting packaging products and services and Natur-Tec® products. Net sales to joint ventures decreased 9.1% and increased 8.8% to $691,642 and $1,395,724 during the three and six months ended February 28, 2014, respectively, compared to the same respective prior fiscal year periods. These changes were primarily due to timing differences with orders placed with our joint ventures.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NTIC’s net sales by product category for the three and six months ended February 28, 2014 and 2013 by segment: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b w:val="1"/>
                <w:bCs w:val="1"/>
                <w:color w:val="auto"/>
              </w:rPr>
              <w:t>Six Months Ended</w:t>
            </w:r>
          </w:p>
        </w:tc>
      </w:tr>
      <w:tr>
        <w:trPr>
          <w:trHeight w:val="186"/>
        </w:trPr>
        <w:tc>
          <w:tcPr>
            <w:tcW w:w="34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r>
      <w:tr>
        <w:trPr>
          <w:trHeight w:val="229"/>
        </w:trPr>
        <w:tc>
          <w:tcPr>
            <w:tcW w:w="34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r>
      <w:tr>
        <w:trPr>
          <w:trHeight w:val="204"/>
        </w:trPr>
        <w:tc>
          <w:tcPr>
            <w:tcW w:w="34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ZERUST® sales</w:t>
            </w:r>
          </w:p>
        </w:tc>
        <w:tc>
          <w:tcPr>
            <w:tcW w:w="3560" w:type="dxa"/>
            <w:vAlign w:val="bottom"/>
            <w:gridSpan w:val="2"/>
            <w:shd w:val="clear" w:color="auto" w:fill="CCEEFF"/>
          </w:tcPr>
          <w:p>
            <w:pPr>
              <w:ind w:left="338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4"/>
              </w:rPr>
              <w:t>5,555,051</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4"/>
              </w:rPr>
              <w:t>4,710,412</w:t>
            </w:r>
          </w:p>
        </w:tc>
        <w:tc>
          <w:tcPr>
            <w:tcW w:w="24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0"/>
              </w:rPr>
              <w:t>11,304,064</w:t>
            </w:r>
          </w:p>
        </w:tc>
        <w:tc>
          <w:tcPr>
            <w:tcW w:w="24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9,505,695</w:t>
            </w: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Natur-Tec® sales</w:t>
            </w:r>
          </w:p>
        </w:tc>
        <w:tc>
          <w:tcPr>
            <w:tcW w:w="3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663,957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535,938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1,224,044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1,032,402</w:t>
            </w:r>
          </w:p>
        </w:tc>
      </w:tr>
      <w:tr>
        <w:trPr>
          <w:trHeight w:val="204"/>
        </w:trPr>
        <w:tc>
          <w:tcPr>
            <w:tcW w:w="34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net sales</w:t>
            </w:r>
          </w:p>
        </w:tc>
        <w:tc>
          <w:tcPr>
            <w:tcW w:w="3560" w:type="dxa"/>
            <w:vAlign w:val="bottom"/>
            <w:gridSpan w:val="2"/>
            <w:shd w:val="clear" w:color="auto" w:fill="CCEEFF"/>
          </w:tcPr>
          <w:p>
            <w:pPr>
              <w:ind w:left="338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4"/>
              </w:rPr>
              <w:t>6,219,008</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4"/>
              </w:rPr>
              <w:t>5,246,350</w:t>
            </w:r>
          </w:p>
        </w:tc>
        <w:tc>
          <w:tcPr>
            <w:tcW w:w="24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0"/>
              </w:rPr>
              <w:t>12,528,108</w:t>
            </w:r>
          </w:p>
        </w:tc>
        <w:tc>
          <w:tcPr>
            <w:tcW w:w="24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0"/>
              </w:rPr>
              <w:t>10,538,097</w:t>
            </w:r>
          </w:p>
        </w:tc>
      </w:tr>
      <w:tr>
        <w:trPr>
          <w:trHeight w:val="591"/>
        </w:trPr>
        <w:tc>
          <w:tcPr>
            <w:tcW w:w="3420" w:type="dxa"/>
            <w:vAlign w:val="bottom"/>
          </w:tcPr>
          <w:p>
            <w:pPr>
              <w:spacing w:after="0"/>
              <w:rPr>
                <w:sz w:val="24"/>
                <w:szCs w:val="24"/>
                <w:color w:val="auto"/>
              </w:rPr>
            </w:pPr>
          </w:p>
        </w:tc>
        <w:tc>
          <w:tcPr>
            <w:tcW w:w="3380" w:type="dxa"/>
            <w:vAlign w:val="bottom"/>
          </w:tcPr>
          <w:p>
            <w:pPr>
              <w:jc w:val="right"/>
              <w:ind w:right="912"/>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2"/>
        </w:trPr>
        <w:tc>
          <w:tcPr>
            <w:tcW w:w="3420" w:type="dxa"/>
            <w:vAlign w:val="bottom"/>
            <w:tcBorders>
              <w:bottom w:val="single" w:sz="8" w:color="808080"/>
            </w:tcBorders>
          </w:tcPr>
          <w:p>
            <w:pPr>
              <w:spacing w:after="0"/>
              <w:rPr>
                <w:sz w:val="12"/>
                <w:szCs w:val="12"/>
                <w:color w:val="auto"/>
              </w:rPr>
            </w:pPr>
          </w:p>
        </w:tc>
        <w:tc>
          <w:tcPr>
            <w:tcW w:w="33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-36830</wp:posOffset>
            </wp:positionV>
            <wp:extent cx="1270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1270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0" w:name="page21"/>
    <w:bookmarkEnd w:id="20"/>
    <w:p>
      <w:pPr>
        <w:ind w:right="20"/>
        <w:spacing w:after="0" w:line="253" w:lineRule="auto"/>
        <w:rPr>
          <w:sz w:val="20"/>
          <w:szCs w:val="20"/>
          <w:color w:val="auto"/>
        </w:rPr>
      </w:pPr>
      <w:r>
        <w:rPr>
          <w:rFonts w:ascii="Arial" w:cs="Arial" w:eastAsia="Arial" w:hAnsi="Arial"/>
          <w:sz w:val="17"/>
          <w:szCs w:val="17"/>
          <w:color w:val="auto"/>
        </w:rPr>
        <w:t>During the three and six months ended February 28, 2014, 89.3% and 90.2% of NTIC’s consolidated net sales, respectively, were derived from sales of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and services, which increased 17.9% and 18.9% to $5,555,051 and $11,304,064 during the three and six months ended February 28, 2014, respectively, compared to $4,710,412 and $9,505,695 during the three and six months ended February 28, 2013, respectively, due to increased demand from existing customers and the addition of new customers. NTIC has strategically focused its sales efforts for ZERUST® products and services on customers with sizeable corrosion problems in industry sectors that offer sizable growth opportunities, including the oil and gas sector. The following table sets forth NTIC’s net sales of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for the three and six months ended February 28, 2014 and 2013: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120" w:type="dxa"/>
            <w:vAlign w:val="bottom"/>
            <w:gridSpan w:val="2"/>
          </w:tcPr>
          <w:p>
            <w:pPr>
              <w:ind w:left="20"/>
              <w:spacing w:after="0" w:line="186" w:lineRule="exact"/>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32"/>
              <w:spacing w:after="0" w:line="186"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472"/>
              <w:spacing w:after="0" w:line="186" w:lineRule="exact"/>
              <w:rPr>
                <w:sz w:val="20"/>
                <w:szCs w:val="20"/>
                <w:color w:val="auto"/>
              </w:rPr>
            </w:pPr>
            <w:r>
              <w:rPr>
                <w:rFonts w:ascii="Arial" w:cs="Arial" w:eastAsia="Arial" w:hAnsi="Arial"/>
                <w:sz w:val="18"/>
                <w:szCs w:val="18"/>
                <w:b w:val="1"/>
                <w:bCs w:val="1"/>
                <w:color w:val="auto"/>
              </w:rPr>
              <w:t>%</w:t>
            </w:r>
          </w:p>
        </w:tc>
      </w:tr>
      <w:tr>
        <w:trPr>
          <w:trHeight w:val="229"/>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Change</w:t>
            </w:r>
          </w:p>
        </w:tc>
      </w:tr>
      <w:tr>
        <w:trPr>
          <w:trHeight w:val="204"/>
        </w:trPr>
        <w:tc>
          <w:tcPr>
            <w:tcW w:w="20" w:type="dxa"/>
            <w:vAlign w:val="bottom"/>
          </w:tcPr>
          <w:p>
            <w:pPr>
              <w:spacing w:after="0"/>
              <w:rPr>
                <w:sz w:val="17"/>
                <w:szCs w:val="17"/>
                <w:color w:val="auto"/>
              </w:rPr>
            </w:pPr>
          </w:p>
        </w:tc>
        <w:tc>
          <w:tcPr>
            <w:tcW w:w="45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ZERUST® industrial net sales</w:t>
            </w:r>
          </w:p>
        </w:tc>
        <w:tc>
          <w:tcPr>
            <w:tcW w:w="2420" w:type="dxa"/>
            <w:vAlign w:val="bottom"/>
            <w:gridSpan w:val="2"/>
            <w:shd w:val="clear" w:color="auto" w:fill="CCEEFF"/>
          </w:tcPr>
          <w:p>
            <w:pPr>
              <w:ind w:left="2220"/>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7"/>
              </w:rPr>
              <w:t>4,463,169</w:t>
            </w:r>
          </w:p>
        </w:tc>
        <w:tc>
          <w:tcPr>
            <w:tcW w:w="24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3,705,937</w:t>
            </w:r>
          </w:p>
        </w:tc>
        <w:tc>
          <w:tcPr>
            <w:tcW w:w="24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757,232</w:t>
            </w:r>
          </w:p>
        </w:tc>
        <w:tc>
          <w:tcPr>
            <w:tcW w:w="1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20.4%</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689,772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758,382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402,110</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246,093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156,017</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ZERUST® net sales</w:t>
            </w:r>
          </w:p>
        </w:tc>
        <w:tc>
          <w:tcPr>
            <w:tcW w:w="242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5,555,051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4,710,412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844,639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17.9%</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w w:val="93"/>
              </w:rPr>
              <w:t>Six Months Ended</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120" w:type="dxa"/>
            <w:vAlign w:val="bottom"/>
            <w:gridSpan w:val="2"/>
          </w:tcPr>
          <w:p>
            <w:pPr>
              <w:ind w:left="20"/>
              <w:spacing w:after="0" w:line="186" w:lineRule="exact"/>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6"/>
                <w:szCs w:val="16"/>
                <w:color w:val="auto"/>
              </w:rPr>
            </w:pPr>
          </w:p>
        </w:tc>
        <w:tc>
          <w:tcPr>
            <w:tcW w:w="1100" w:type="dxa"/>
            <w:vAlign w:val="bottom"/>
            <w:gridSpan w:val="2"/>
          </w:tcPr>
          <w:p>
            <w:pPr>
              <w:ind w:left="20"/>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12"/>
              <w:spacing w:after="0" w:line="186"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32"/>
              <w:spacing w:after="0" w:line="186" w:lineRule="exact"/>
              <w:rPr>
                <w:sz w:val="20"/>
                <w:szCs w:val="20"/>
                <w:color w:val="auto"/>
              </w:rPr>
            </w:pPr>
            <w:r>
              <w:rPr>
                <w:rFonts w:ascii="Arial" w:cs="Arial" w:eastAsia="Arial" w:hAnsi="Arial"/>
                <w:sz w:val="18"/>
                <w:szCs w:val="18"/>
                <w:b w:val="1"/>
                <w:bCs w:val="1"/>
                <w:color w:val="auto"/>
              </w:rPr>
              <w:t>%</w:t>
            </w:r>
          </w:p>
        </w:tc>
      </w:tr>
      <w:tr>
        <w:trPr>
          <w:trHeight w:val="229"/>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Change</w:t>
            </w: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ZERUST® industrial net sales</w:t>
            </w:r>
          </w:p>
        </w:tc>
        <w:tc>
          <w:tcPr>
            <w:tcW w:w="2380" w:type="dxa"/>
            <w:vAlign w:val="bottom"/>
            <w:gridSpan w:val="2"/>
            <w:shd w:val="clear" w:color="auto" w:fill="CCEEFF"/>
          </w:tcPr>
          <w:p>
            <w:pPr>
              <w:ind w:left="2220"/>
              <w:spacing w:after="0" w:line="204"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9,120,008</w:t>
            </w:r>
          </w:p>
        </w:tc>
        <w:tc>
          <w:tcPr>
            <w:tcW w:w="30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7,851,163</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4"/>
              </w:rPr>
              <w:t>1,268,845</w:t>
            </w:r>
          </w:p>
        </w:tc>
        <w:tc>
          <w:tcPr>
            <w:tcW w:w="11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16.2%</w:t>
            </w: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1,391,336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1,279,742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111,594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792,720</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374,790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417,930</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ZERUST® net sales</w:t>
            </w:r>
          </w:p>
        </w:tc>
        <w:tc>
          <w:tcPr>
            <w:tcW w:w="238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w w:val="93"/>
              </w:rPr>
              <w:t>11,304,064</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9,505,695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1,798,369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18.9%</w:t>
            </w:r>
          </w:p>
        </w:tc>
      </w:tr>
    </w:tbl>
    <w:p>
      <w:pPr>
        <w:spacing w:after="0" w:line="21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NTIC anticipates that its sales of ZERUST® products and services into the oil and gas industry will remain subject to significant volatility from quarter to quarter as sales are recognized.</w:t>
      </w:r>
    </w:p>
    <w:p>
      <w:pPr>
        <w:spacing w:after="0" w:line="208" w:lineRule="exact"/>
        <w:rPr>
          <w:sz w:val="20"/>
          <w:szCs w:val="20"/>
          <w:color w:val="auto"/>
        </w:rPr>
      </w:pPr>
    </w:p>
    <w:p>
      <w:pPr>
        <w:jc w:val="both"/>
        <w:ind w:right="20"/>
        <w:spacing w:after="0" w:line="298" w:lineRule="auto"/>
        <w:rPr>
          <w:sz w:val="20"/>
          <w:szCs w:val="20"/>
          <w:color w:val="auto"/>
        </w:rPr>
      </w:pPr>
      <w:r>
        <w:rPr>
          <w:rFonts w:ascii="Arial" w:cs="Arial" w:eastAsia="Arial" w:hAnsi="Arial"/>
          <w:sz w:val="15"/>
          <w:szCs w:val="15"/>
          <w:color w:val="auto"/>
        </w:rPr>
        <w:t>During the three and six months ended February 28, 2014, 10.7% and 9.8% of NTIC’s consolidated net sales, respectively, were derived from sales of Natur-Tec® products, which increased 23.9% and 18.6% to $663,957 and $1,224,044 during the three and six months ended February 28, 2014, respectively, compared to the three and six months ended February 28, 2013. These increases were due primarily to increased sales to NTIC’s Natur-Tec® distributors in the United</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States. Additionally, NTIC continues to target key regional and national retailers through independent sales agents. Demand for Natur-Tec® products depends primarily on market acceptance and the reach of NTIC’s distribution network. Because of the typical size of individual orders and overall size of NTIC’s net sales derived from sales of Natur-Tec® products, the timing of one or more orders can affect materially NTIC’s quarterly sales of Natur-Tec® products and the comparisons to prior fiscal year quarters.</w:t>
      </w:r>
    </w:p>
    <w:p>
      <w:pPr>
        <w:spacing w:after="0" w:line="22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increased 11.5% and 12.1% for the three and six months ended February 28, 2014, respectively,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six months ended February 28, 2013 primarily as a result of increased net sales as described above. Cost of goods sold as a percentage of net sales decreased to 65.2% during the three months ended February 28, 2014 compared to 69.3% the three months ended February 28, 2013 and decreased to 65.5% during the six months ended February 28, 2014 compared to 69.5% during the six months ended February 28, 2013. These decreases were primarily the result of start-up costs associated with a new customer incurred during the prior fiscal year periods.</w:t>
      </w:r>
    </w:p>
    <w:p>
      <w:pPr>
        <w:spacing w:after="0" w:line="18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 xml:space="preserve">Equity in Income of Joint Ventures. </w:t>
      </w:r>
      <w:r>
        <w:rPr>
          <w:rFonts w:ascii="Arial" w:cs="Arial" w:eastAsia="Arial" w:hAnsi="Arial"/>
          <w:sz w:val="16"/>
          <w:szCs w:val="16"/>
          <w:color w:val="auto"/>
        </w:rPr>
        <w:t>NTIC’s equity in income of joint ventures increased 22.6% and 23.1% to $1,395,451 and $2,823,199 during the three and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February 28, 2014, respectively, compared to equity in income of joint ventures of $1,138,438 and $2,292,734 during the three and six months ended February 28, 2013, respectively, primarily as a result of increases in sales at the joint ventures. Of the total equity in income of joint ventures, NTIC had equity in income of joint ventures of $1,881,705 attributable to EXCOR during the six months ended February 28, 2014 compared to $1,631,125 attributable to EXCOR during the six months ended February 28, 2013. Of the total equity in income of joint ventures, NTIC had equity in income of joint ventures of $276,948 attributable to NTIC’s joint venture in China during the six months ended February 28, 2014 compared to $262,148 attributable to NTIC’s joint venture in China during the six months ended February 28, 2013. NTIC had equity in income of all other joint ventures of $664,546 during the six months ended February 28, 2014 compared to $399,461 during the six months ended February 28, 2013.</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 w:name="page22"/>
    <w:bookmarkEnd w:id="21"/>
    <w:p>
      <w:pPr>
        <w:spacing w:after="0" w:line="281" w:lineRule="auto"/>
        <w:rPr>
          <w:sz w:val="20"/>
          <w:szCs w:val="20"/>
          <w:color w:val="auto"/>
        </w:rPr>
      </w:pPr>
      <w:r>
        <w:rPr>
          <w:rFonts w:ascii="Arial" w:cs="Arial" w:eastAsia="Arial" w:hAnsi="Arial"/>
          <w:sz w:val="16"/>
          <w:szCs w:val="16"/>
          <w:i w:val="1"/>
          <w:iCs w:val="1"/>
          <w:color w:val="auto"/>
        </w:rPr>
        <w:t xml:space="preserve">Fees for Services Provided to Joint Ventures. </w:t>
      </w:r>
      <w:r>
        <w:rPr>
          <w:rFonts w:ascii="Arial" w:cs="Arial" w:eastAsia="Arial" w:hAnsi="Arial"/>
          <w:sz w:val="16"/>
          <w:szCs w:val="16"/>
          <w:color w:val="auto"/>
        </w:rPr>
        <w:t>NTIC recognized fee income for services provided to joint ventures of $2,057,671 and $4,167,319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six months ended February 28, 2014, respectively, compared to $1,770,881 and $3,617,158 during the three and six months ended February 28, 2013, respectively, representing an increase of 16.2% and 15.2%, respectively. Fee income for services provided to joint ventures are a function of the sales made by the various joint ventures of $28,389,158 and $58,050,376 during the three and six months ended February 28, 2014 compared to $26,722,201 and $54,247,135 for the three and six months ended February 28, 2013, respectively. Total net sales of NTIC’s joint ventures for the prior fiscal year periods were adversely affected in part by the European economic slowdown, which NTIC believes also adversely affected net sales of certain of NTIC’s other non-European joint ventures, as well as the weakening of the EURO and other currencies compared to the U.S. dollar. Sales of NTIC’s joint ventures are not included in NTIC’s product sales and are not combined with NTIC’s sales in NTIC’s consolidated financial statements or in any description of NTIC’s sales.</w:t>
      </w:r>
    </w:p>
    <w:p>
      <w:pPr>
        <w:spacing w:after="0" w:line="197"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color w:val="auto"/>
        </w:rPr>
        <w:t>Of the total fee income for services provided to joint ventures, fees of $527,111 were attributable to EXCOR during the six months ended February 28, 2014 compared to $492,213 attributable to EXCOR during the six months ended February 28, 2013. Fees of $1,111,633 were attributable to NTIC’s joint venture in China during the six months ended February 28, 2014 compared to $943,897 during the six months ended February 28, 2013.</w:t>
      </w:r>
    </w:p>
    <w:p>
      <w:pPr>
        <w:spacing w:after="0" w:line="181" w:lineRule="exact"/>
        <w:rPr>
          <w:sz w:val="20"/>
          <w:szCs w:val="20"/>
          <w:color w:val="auto"/>
        </w:rPr>
      </w:pPr>
    </w:p>
    <w:p>
      <w:pPr>
        <w:jc w:val="both"/>
        <w:ind w:right="260"/>
        <w:spacing w:after="0" w:line="291"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10.0% and 11.3% for the three and six months ended February 28, 2014 compared to the same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in fiscal 2014 due to increases in compensation and employee benefits, lab testing related expenses, commission expenses, travel and related expenses, and consulting expenses. Selling expenses as a percentage of net sales decreased slightly to 20.8% and 20.8% for the three and six months ended February 28, 2014, from 22.4% and 22.3% and during the three and six months ended February 28, 2013.</w:t>
      </w:r>
    </w:p>
    <w:p>
      <w:pPr>
        <w:spacing w:after="0" w:line="186"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5.8% and 8.6% for the three and six months ended February 28,</w:t>
      </w:r>
      <w:r>
        <w:rPr>
          <w:rFonts w:ascii="Arial" w:cs="Arial" w:eastAsia="Arial" w:hAnsi="Arial"/>
          <w:sz w:val="18"/>
          <w:szCs w:val="18"/>
          <w:i w:val="1"/>
          <w:iCs w:val="1"/>
          <w:color w:val="auto"/>
        </w:rPr>
        <w:t xml:space="preserve"> </w:t>
      </w:r>
      <w:r>
        <w:rPr>
          <w:rFonts w:ascii="Arial" w:cs="Arial" w:eastAsia="Arial" w:hAnsi="Arial"/>
          <w:sz w:val="18"/>
          <w:szCs w:val="18"/>
          <w:color w:val="auto"/>
        </w:rPr>
        <w:t>2014 compared to the same respective periods in fiscal 2013 due to increases in consulting expenses to support new business development. As a percentage of net sales, general and administrative expenses decreased to 19.5% and 20.7% for the three and six months ended February 28, 2014 from 21.8% and 22.7% for the three and six months ended February 28, 2013.</w:t>
      </w:r>
    </w:p>
    <w:p>
      <w:pPr>
        <w:spacing w:after="0" w:line="22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i w:val="1"/>
          <w:iCs w:val="1"/>
          <w:color w:val="auto"/>
        </w:rPr>
        <w:t xml:space="preserve">Expenses Incurred in Support of Joint Ventures. </w:t>
      </w:r>
      <w:r>
        <w:rPr>
          <w:rFonts w:ascii="Arial" w:cs="Arial" w:eastAsia="Arial" w:hAnsi="Arial"/>
          <w:sz w:val="18"/>
          <w:szCs w:val="18"/>
          <w:color w:val="auto"/>
        </w:rPr>
        <w:t>Expenses incurred in support of NTIC’s joint ventures were $366,469 and $695,733 during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February 28, 2014, respectively, compared to $321,456 and $691,143 during the three and six months ended February 28, 2013, respectively, representing an increase of 14.0% and 0.7%, respectively. These increases were due primarily to increased headcount to support anticipated expanding operations and anticipated sales growth.</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20.5% for the three months ended February 28, 2014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fiscal 2013 and increased 20.9% for the six months ended February 28, 2014 compared to the same period in fiscal 2014 primarily as a result of increased spending on headcount and field development associated with the new businesses.</w:t>
      </w:r>
    </w:p>
    <w:p>
      <w:pPr>
        <w:spacing w:after="0" w:line="21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$2,570 and $4,359 during the three and six months ended February 28, 2014,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$22,288 and $47,634 during the three and six months ended February 28, 2013, respectively.</w:t>
      </w:r>
    </w:p>
    <w:p>
      <w:pPr>
        <w:spacing w:after="0" w:line="208" w:lineRule="exact"/>
        <w:rPr>
          <w:sz w:val="20"/>
          <w:szCs w:val="20"/>
          <w:color w:val="auto"/>
        </w:rPr>
      </w:pPr>
    </w:p>
    <w:p>
      <w:pPr>
        <w:spacing w:after="0" w:line="299"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NTIC’s interest expense increased to $11,976 during the three months ended February 28, 2014 compared to $6,988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February 28, 2013 and increased to $25,646 during the six months ended February 28, 2014 compared to $13,462 during the six months ended February 28, 2013. These increases were primarily due to higher average outstanding debt levels during the most recent periods.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2" w:name="page23"/>
    <w:bookmarkEnd w:id="22"/>
    <w:p>
      <w:pPr>
        <w:ind w:right="400"/>
        <w:spacing w:after="0" w:line="316" w:lineRule="auto"/>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Income before income tax expense increased to $1,643,828 and $3,146,246 for the three and six months ended February 28,</w:t>
      </w:r>
      <w:r>
        <w:rPr>
          <w:rFonts w:ascii="Arial" w:cs="Arial" w:eastAsia="Arial" w:hAnsi="Arial"/>
          <w:sz w:val="16"/>
          <w:szCs w:val="16"/>
          <w:i w:val="1"/>
          <w:iCs w:val="1"/>
          <w:color w:val="auto"/>
        </w:rPr>
        <w:t xml:space="preserve"> </w:t>
      </w:r>
      <w:r>
        <w:rPr>
          <w:rFonts w:ascii="Arial" w:cs="Arial" w:eastAsia="Arial" w:hAnsi="Arial"/>
          <w:sz w:val="16"/>
          <w:szCs w:val="16"/>
          <w:color w:val="auto"/>
        </w:rPr>
        <w:t>2014, respectively, compared to $985,155 and $1,877,691 for the three and six months ended February 28, 2013,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$259,759 and $457,759 during the three and six months ended February 28, 2014, respectively, compared</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$240,000 and $374,000 during the three and six months ended February 28, 2013, respectively. Income tax expense was calculated based on management’s estimate of NTIC’s annual effective income tax rate. NTIC’s annual effective income tax rate during the three and six months ended February 28, 2014 and 2013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20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future domestic cash generation will be sufficient to meet NTIC’s future domestic cash needs. As a result, U.S. income and foreign withholding taxes have not been recognized on the cumulative undistributed earnings of $20,232,259 and $22,281,510 at February 28, 2014 and August 31, 2013, respectively. To the extent undistributed earnings of NTIC’s joint ventures are distributed in the future, they are not expected to result in any material additional income tax liability after the application of foreign tax credits</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volatility of the foreign currency translations adjustment was due to the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U.S. dollar compared to the Euro and other foreign currencies during the three and six months ended February 28, 2014 compared to the same respective periods in fiscal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6"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February 28, 2014, NTIC’s working capital was $17,690,903, including $6,996,127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$13,270,452 at August 31, 2013, including $4,314,258 in cash and cash equivalents. This increase was due primarily to dividends received from joint ventures, including primarily EXCOR, and was offset in part by the use of $933,414 in cash to pay off in full NTIC’s term loan that was obtained in connection with the purchase of NTIC’s corporate headquarters in September 2006.</w:t>
      </w:r>
    </w:p>
    <w:p>
      <w:pPr>
        <w:spacing w:after="0" w:line="22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As of February 28, 2014,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February 28, 2014, the interest rate on the line of credit was 2.70%.</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276" w:right="239" w:bottom="1440" w:gutter="0" w:footer="0" w:header="0"/>
        </w:sectPr>
      </w:pPr>
    </w:p>
    <w:bookmarkStart w:id="23" w:name="page24"/>
    <w:bookmarkEnd w:id="23"/>
    <w:p>
      <w:pPr>
        <w:spacing w:after="0" w:line="287" w:lineRule="auto"/>
        <w:rPr>
          <w:sz w:val="20"/>
          <w:szCs w:val="20"/>
          <w:color w:val="auto"/>
        </w:rPr>
      </w:pPr>
      <w:r>
        <w:rPr>
          <w:rFonts w:ascii="Arial" w:cs="Arial" w:eastAsia="Arial" w:hAnsi="Arial"/>
          <w:sz w:val="16"/>
          <w:szCs w:val="16"/>
          <w:color w:val="auto"/>
        </w:rPr>
        <w:t>The line of credit is governed under a loan agreement, which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February 28, 2014, NTIC was in compliance with all loan agreement covenants and expects to remain in compliance with all loan agreement covenants during the remainder of fiscal 2014.</w:t>
      </w:r>
    </w:p>
    <w:p>
      <w:pPr>
        <w:spacing w:after="0" w:line="189" w:lineRule="exact"/>
        <w:rPr>
          <w:sz w:val="20"/>
          <w:szCs w:val="20"/>
          <w:color w:val="auto"/>
        </w:rPr>
      </w:pPr>
    </w:p>
    <w:p>
      <w:pPr>
        <w:jc w:val="both"/>
        <w:ind w:right="180"/>
        <w:spacing w:after="0" w:line="252" w:lineRule="auto"/>
        <w:rPr>
          <w:sz w:val="20"/>
          <w:szCs w:val="20"/>
          <w:color w:val="auto"/>
        </w:rPr>
      </w:pPr>
      <w:r>
        <w:rPr>
          <w:rFonts w:ascii="Arial" w:cs="Arial" w:eastAsia="Arial" w:hAnsi="Arial"/>
          <w:sz w:val="18"/>
          <w:szCs w:val="18"/>
          <w:color w:val="auto"/>
        </w:rPr>
        <w:t>On December 31, 2013, PNC Bank extended the maturity date of the line of credit from January 8, 2014 to January 7, 2015.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216"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the remainder of fiscal 2014, NTIC expects to continue to invest in research and development and in marketing efforts and resources into the application of its corrosion prevention technology into the oil and gas industry and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0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18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Net cash used in operating activities during the six months ended February 28, 2014 was $1,464,042, which resulted principally</w:t>
      </w:r>
      <w:r>
        <w:rPr>
          <w:rFonts w:ascii="Arial" w:cs="Arial" w:eastAsia="Arial" w:hAnsi="Arial"/>
          <w:sz w:val="16"/>
          <w:szCs w:val="16"/>
          <w:i w:val="1"/>
          <w:iCs w:val="1"/>
          <w:color w:val="auto"/>
        </w:rPr>
        <w:t xml:space="preserve"> </w:t>
      </w:r>
      <w:r>
        <w:rPr>
          <w:rFonts w:ascii="Arial" w:cs="Arial" w:eastAsia="Arial" w:hAnsi="Arial"/>
          <w:sz w:val="16"/>
          <w:szCs w:val="16"/>
          <w:color w:val="auto"/>
        </w:rPr>
        <w:t>from NTIC’s equity in income from joint ventures and increases in receivables, inventories and prepaid expenses and a decrease in accrued liabilities and income taxes payable, partially offset by NTIC’s net income, expensing of fair value of stock options vested, depreciation and amortization. Net cash used in operating activities during the six months ended February 28, 2013 was $3,445,681, which resulted principally from NTIC’s equity in income from joint ventures and increases in receivables, inventories and prepaid expenses and a decrease in accounts payables, accrued liabilities and income taxes payable, partially offset by NTIC’s net income, depreciation and amortization.</w:t>
      </w:r>
    </w:p>
    <w:p>
      <w:pPr>
        <w:spacing w:after="0" w:line="19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4" w:name="page25"/>
    <w:bookmarkEnd w:id="24"/>
    <w:p>
      <w:pPr>
        <w:spacing w:after="0" w:line="252" w:lineRule="auto"/>
        <w:rPr>
          <w:sz w:val="20"/>
          <w:szCs w:val="20"/>
          <w:color w:val="auto"/>
        </w:rPr>
      </w:pPr>
      <w:r>
        <w:rPr>
          <w:rFonts w:ascii="Arial" w:cs="Arial" w:eastAsia="Arial" w:hAnsi="Arial"/>
          <w:sz w:val="18"/>
          <w:szCs w:val="18"/>
          <w:color w:val="auto"/>
        </w:rPr>
        <w:t>NTIC experienced an increase in receivables and inventory as of February 28, 2014 compared to August 31, 2013 due to the increase in net sales and a desire to stock more products to shorten lead times and anticipate customer demand. Trade receivables excluding joint ventures as of February 28, 2014 increased $69,584 compared to August 31, 2013, primarily related to the increase in NTIC’s net sales.</w:t>
      </w:r>
    </w:p>
    <w:p>
      <w:pPr>
        <w:spacing w:after="0" w:line="21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Outstanding trade receivables excluding joint ventures balances as of February 28, 2014 decreased three days to an average of 53 days from balances outstanding from these customers as of August 31, 2013.</w:t>
      </w:r>
    </w:p>
    <w:p>
      <w:pPr>
        <w:spacing w:after="0" w:line="20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Outstanding trade receivables from joint ventures as of February 28, 2014 decreased $322,902 compared to August 31, 2013 primarily due to the timing of payments. There was a decrease of outstanding balances from trade receivables from joint ventures as of February 28, 2014 of 50 days from an average of 120 days from balances outstanding from these customers compared to August 31, 2013. The significant average days outstanding of trade receivables from joint ventures as of February 28, 2014 were primarily due to the receivable balance at NTIC’s joint venture in India, Korea and China.</w:t>
      </w:r>
    </w:p>
    <w:p>
      <w:pPr>
        <w:spacing w:after="0" w:line="186"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Outstanding receivables for services provided to joint ventures as of February 28, 2014 increased $370,026 compared to August 31, 2013, which resulted in a decrease of one day of fees receivable outstanding as of February 28, 2014 to an average of 123 days compared to August 31, 2013.</w:t>
      </w:r>
    </w:p>
    <w:p>
      <w:pPr>
        <w:spacing w:after="0" w:line="16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Net cash provided by investing activities for the six months ended February 28, 2014 was $5,017,070, which was comprised primarily of $5,217,878 in dividends received from joint ventures. These amounts were partially offset by additions to property and equipment and additions to patents. Net cash provided by investing activities for the six months ended February 28, 2013 was $4,349,062, which was comprised primarily of dividends received from joint ventures, partially offset by additions to property and equipment and additions to patents.</w:t>
      </w:r>
    </w:p>
    <w:p>
      <w:pPr>
        <w:spacing w:after="0" w:line="220"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Net cash used in financing activities for the six months ended February 28, 2014 was $873,643, which resulted from principal payments on the bank loan for NTIC’s corporate headquarters buildings, partially offset by proceeds from NTIC’s employee stock purchase plan and, to a lesser extent, stock option exercises. Net cash used in financing activities for the six months ended February 28, 2013 was $779,147, which resulted from a dividend received from a controlling interests and principal payments on the bank loan for NTIC’s corporate headquarters buildings, partially offset by proceeds from NTIC’s employee stock purchase plan and, to a lesser extent, stock option exercises.</w:t>
      </w:r>
    </w:p>
    <w:p>
      <w:pPr>
        <w:spacing w:after="0" w:line="220"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spent $325,051 on capital expenditures during the six months ended February 28, 2014 and expects to spend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of approximately $600,000 to $1,000,000 on capital expenditures during fiscal 2014. Such anticipated capital expenditures for fiscal 2014 relate primarily to the possible additional expansion of its laboratory facilities and purchase of equipment in Circle Pines, Minnesota.</w:t>
      </w:r>
    </w:p>
    <w:p>
      <w:pPr>
        <w:spacing w:after="0" w:line="18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NTIC has a lease agreement for approximately 17,000 square feet of office, manufacturing, laboratory and warehouse space in Beachwood, Ohio, requiring monthly payments of $17,500, which are adjusted annually according to the annual consumer price index, through November 2014. NTIC had no other material lease or other material capital commitments as of February 28, 2014.</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360"/>
          </w:cols>
          <w:pgMar w:left="240" w:top="272"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NTIC has no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4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9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208" w:lineRule="exact"/>
        <w:rPr>
          <w:sz w:val="20"/>
          <w:szCs w:val="20"/>
          <w:color w:val="auto"/>
        </w:rPr>
      </w:pPr>
    </w:p>
    <w:p>
      <w:pPr>
        <w:jc w:val="both"/>
        <w:ind w:right="120"/>
        <w:spacing w:after="0" w:line="299"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28, 2014, NTIC had no borrowings under the line of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2013, other than the policy described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subsidiary, Northern Technologies Holding Company, LLC, and NTIC’s majority owned subsidiary in Brazil, Zerust Prevenção de Corrosão S.A., NTIC’s majority owned holding company, NTI Asean LLC, and NTIC’s majority owned subsidiary in India, Northern Technologies India Private Limited. NTIC’s consolidated financial statements do not include the accounts of any of its joint ventures.</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Forward-Looking Statements</w:t>
      </w:r>
    </w:p>
    <w:p>
      <w:pPr>
        <w:spacing w:after="0" w:line="24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96"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20" w:lineRule="exact"/>
        <w:rPr>
          <w:sz w:val="20"/>
          <w:szCs w:val="20"/>
          <w:color w:val="auto"/>
        </w:rPr>
      </w:pPr>
    </w:p>
    <w:p>
      <w:pPr>
        <w:ind w:left="960" w:hanging="503"/>
        <w:spacing w:after="0" w:line="261"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the European sovereign debt crisis and turmoil and disruption in the global credit and financial markets on NTIC’s business;</w:t>
      </w:r>
    </w:p>
    <w:p>
      <w:pPr>
        <w:spacing w:after="0" w:line="207" w:lineRule="exact"/>
        <w:rPr>
          <w:rFonts w:ascii="Arial" w:cs="Arial" w:eastAsia="Arial" w:hAnsi="Arial"/>
          <w:sz w:val="18"/>
          <w:szCs w:val="18"/>
          <w:color w:val="auto"/>
        </w:rPr>
      </w:pPr>
    </w:p>
    <w:p>
      <w:pPr>
        <w:ind w:left="960" w:hanging="50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40" w:lineRule="exact"/>
        <w:rPr>
          <w:rFonts w:ascii="Arial" w:cs="Arial" w:eastAsia="Arial" w:hAnsi="Arial"/>
          <w:sz w:val="18"/>
          <w:szCs w:val="18"/>
          <w:color w:val="auto"/>
        </w:rPr>
      </w:pPr>
    </w:p>
    <w:p>
      <w:pPr>
        <w:ind w:left="960" w:hanging="50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40" w:lineRule="exact"/>
        <w:rPr>
          <w:rFonts w:ascii="Arial" w:cs="Arial" w:eastAsia="Arial" w:hAnsi="Arial"/>
          <w:sz w:val="18"/>
          <w:szCs w:val="18"/>
          <w:color w:val="auto"/>
        </w:rPr>
      </w:pPr>
    </w:p>
    <w:p>
      <w:pPr>
        <w:ind w:left="960" w:hanging="503"/>
        <w:spacing w:after="0" w:line="261"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207" w:lineRule="exact"/>
        <w:rPr>
          <w:rFonts w:ascii="Arial" w:cs="Arial" w:eastAsia="Arial" w:hAnsi="Arial"/>
          <w:sz w:val="18"/>
          <w:szCs w:val="18"/>
          <w:color w:val="auto"/>
        </w:rPr>
      </w:pPr>
    </w:p>
    <w:p>
      <w:pPr>
        <w:ind w:left="960" w:hanging="503"/>
        <w:spacing w:after="0" w:line="261"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NTIC’s dependence upon sales by Zerust Brazil to Petroleo Brasileiro S.A. (Petrobras), an oil company located in Brazil, and the effect of such sales on NTIC’s quarterly operating results, including in particular its net sales and margins;</w:t>
      </w:r>
    </w:p>
    <w:p>
      <w:pPr>
        <w:spacing w:after="0" w:line="205" w:lineRule="exact"/>
        <w:rPr>
          <w:rFonts w:ascii="Arial" w:cs="Arial" w:eastAsia="Arial" w:hAnsi="Arial"/>
          <w:sz w:val="18"/>
          <w:szCs w:val="18"/>
          <w:color w:val="auto"/>
        </w:rPr>
      </w:pPr>
    </w:p>
    <w:p>
      <w:pPr>
        <w:ind w:left="960" w:hanging="503"/>
        <w:spacing w:after="0" w:line="238"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variability in NTIC’s sales of ZERUST® products and services into oil and gas industry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NTIC’s equity income of joint ventures, which variability in sales and equity in income of joint venture in turn, subject NTIC’s earnings to quarterly fluctuations;</w:t>
      </w:r>
    </w:p>
    <w:p>
      <w:pPr>
        <w:spacing w:after="0" w:line="226" w:lineRule="exact"/>
        <w:rPr>
          <w:rFonts w:ascii="Arial" w:cs="Arial" w:eastAsia="Arial" w:hAnsi="Arial"/>
          <w:sz w:val="16"/>
          <w:szCs w:val="16"/>
          <w:color w:val="auto"/>
        </w:rPr>
      </w:pPr>
    </w:p>
    <w:p>
      <w:pPr>
        <w:ind w:left="960" w:hanging="503"/>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associated with NTIC’s international operations and exposure to fluctuations in foreign currency exchange rates and import duties and taxes;</w:t>
      </w:r>
    </w:p>
    <w:p>
      <w:pPr>
        <w:spacing w:after="0" w:line="263" w:lineRule="exact"/>
        <w:rPr>
          <w:rFonts w:ascii="Arial" w:cs="Arial" w:eastAsia="Arial" w:hAnsi="Arial"/>
          <w:sz w:val="16"/>
          <w:szCs w:val="16"/>
          <w:color w:val="auto"/>
        </w:rPr>
      </w:pPr>
    </w:p>
    <w:p>
      <w:pPr>
        <w:ind w:left="960" w:hanging="50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40" w:lineRule="exact"/>
        <w:rPr>
          <w:rFonts w:ascii="Arial" w:cs="Arial" w:eastAsia="Arial" w:hAnsi="Arial"/>
          <w:sz w:val="18"/>
          <w:szCs w:val="18"/>
          <w:color w:val="auto"/>
        </w:rPr>
      </w:pPr>
    </w:p>
    <w:p>
      <w:pPr>
        <w:jc w:val="both"/>
        <w:ind w:left="960" w:hanging="503"/>
        <w:spacing w:after="0" w:line="22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7" w:name="page28"/>
    <w:bookmarkEnd w:id="27"/>
    <w:p>
      <w:pPr>
        <w:ind w:left="960" w:hanging="50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40" w:lineRule="exact"/>
        <w:rPr>
          <w:rFonts w:ascii="Arial" w:cs="Arial" w:eastAsia="Arial" w:hAnsi="Arial"/>
          <w:sz w:val="18"/>
          <w:szCs w:val="18"/>
          <w:color w:val="auto"/>
        </w:rPr>
      </w:pPr>
    </w:p>
    <w:p>
      <w:pPr>
        <w:ind w:left="960" w:hanging="50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38" w:lineRule="exact"/>
        <w:rPr>
          <w:rFonts w:ascii="Arial" w:cs="Arial" w:eastAsia="Arial" w:hAnsi="Arial"/>
          <w:sz w:val="18"/>
          <w:szCs w:val="18"/>
          <w:color w:val="auto"/>
        </w:rPr>
      </w:pPr>
    </w:p>
    <w:p>
      <w:pPr>
        <w:ind w:left="960" w:hanging="503"/>
        <w:spacing w:after="0" w:line="215"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25" w:lineRule="exact"/>
        <w:rPr>
          <w:rFonts w:ascii="Arial" w:cs="Arial" w:eastAsia="Arial" w:hAnsi="Arial"/>
          <w:sz w:val="18"/>
          <w:szCs w:val="18"/>
          <w:color w:val="auto"/>
        </w:rPr>
      </w:pPr>
    </w:p>
    <w:p>
      <w:pPr>
        <w:ind w:left="960" w:hanging="503"/>
        <w:spacing w:after="0" w:line="215"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26" w:lineRule="exact"/>
        <w:rPr>
          <w:rFonts w:ascii="Arial" w:cs="Arial" w:eastAsia="Arial" w:hAnsi="Arial"/>
          <w:sz w:val="18"/>
          <w:szCs w:val="18"/>
          <w:color w:val="auto"/>
        </w:rPr>
      </w:pPr>
    </w:p>
    <w:p>
      <w:pPr>
        <w:ind w:left="960" w:hanging="50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40" w:lineRule="exact"/>
        <w:rPr>
          <w:rFonts w:ascii="Arial" w:cs="Arial" w:eastAsia="Arial" w:hAnsi="Arial"/>
          <w:sz w:val="18"/>
          <w:szCs w:val="18"/>
          <w:color w:val="auto"/>
        </w:rPr>
      </w:pPr>
    </w:p>
    <w:p>
      <w:pPr>
        <w:ind w:left="960" w:hanging="50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reliance upon suppliers, including in particular its single supply source for its base bioplastics resins;</w:t>
      </w:r>
    </w:p>
    <w:p>
      <w:pPr>
        <w:spacing w:after="0" w:line="240" w:lineRule="exact"/>
        <w:rPr>
          <w:rFonts w:ascii="Arial" w:cs="Arial" w:eastAsia="Arial" w:hAnsi="Arial"/>
          <w:sz w:val="18"/>
          <w:szCs w:val="18"/>
          <w:color w:val="auto"/>
        </w:rPr>
      </w:pPr>
    </w:p>
    <w:p>
      <w:pPr>
        <w:ind w:left="960" w:hanging="503"/>
        <w:spacing w:after="0" w:line="261"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205" w:lineRule="exact"/>
        <w:rPr>
          <w:rFonts w:ascii="Arial" w:cs="Arial" w:eastAsia="Arial" w:hAnsi="Arial"/>
          <w:sz w:val="18"/>
          <w:szCs w:val="18"/>
          <w:color w:val="auto"/>
        </w:rPr>
      </w:pPr>
    </w:p>
    <w:p>
      <w:pPr>
        <w:ind w:left="960" w:hanging="503"/>
        <w:spacing w:after="0" w:line="215"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transition of the manufacturing of certain select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inhibiting products in house at NTIC’s corporate headquarters location in Circle Pines, Minnesota;</w:t>
      </w:r>
    </w:p>
    <w:p>
      <w:pPr>
        <w:spacing w:after="0" w:line="226" w:lineRule="exact"/>
        <w:rPr>
          <w:rFonts w:ascii="Arial" w:cs="Arial" w:eastAsia="Arial" w:hAnsi="Arial"/>
          <w:sz w:val="18"/>
          <w:szCs w:val="18"/>
          <w:color w:val="auto"/>
        </w:rPr>
      </w:pPr>
    </w:p>
    <w:p>
      <w:pPr>
        <w:ind w:left="960" w:hanging="50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40" w:lineRule="exact"/>
        <w:rPr>
          <w:rFonts w:ascii="Arial" w:cs="Arial" w:eastAsia="Arial" w:hAnsi="Arial"/>
          <w:sz w:val="18"/>
          <w:szCs w:val="18"/>
          <w:color w:val="auto"/>
        </w:rPr>
      </w:pPr>
    </w:p>
    <w:p>
      <w:pPr>
        <w:ind w:left="960" w:hanging="50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40" w:lineRule="exact"/>
        <w:rPr>
          <w:rFonts w:ascii="Arial" w:cs="Arial" w:eastAsia="Arial" w:hAnsi="Arial"/>
          <w:sz w:val="18"/>
          <w:szCs w:val="18"/>
          <w:color w:val="auto"/>
        </w:rPr>
      </w:pPr>
    </w:p>
    <w:p>
      <w:pPr>
        <w:ind w:left="960" w:hanging="50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40" w:lineRule="exact"/>
        <w:rPr>
          <w:rFonts w:ascii="Arial" w:cs="Arial" w:eastAsia="Arial" w:hAnsi="Arial"/>
          <w:sz w:val="18"/>
          <w:szCs w:val="18"/>
          <w:color w:val="auto"/>
        </w:rPr>
      </w:pPr>
    </w:p>
    <w:p>
      <w:pPr>
        <w:ind w:left="960" w:hanging="50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40" w:lineRule="exact"/>
        <w:rPr>
          <w:rFonts w:ascii="Arial" w:cs="Arial" w:eastAsia="Arial" w:hAnsi="Arial"/>
          <w:sz w:val="18"/>
          <w:szCs w:val="18"/>
          <w:color w:val="auto"/>
        </w:rPr>
      </w:pPr>
    </w:p>
    <w:p>
      <w:pPr>
        <w:ind w:left="960" w:hanging="50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40" w:lineRule="exact"/>
        <w:rPr>
          <w:rFonts w:ascii="Arial" w:cs="Arial" w:eastAsia="Arial" w:hAnsi="Arial"/>
          <w:sz w:val="18"/>
          <w:szCs w:val="18"/>
          <w:color w:val="auto"/>
        </w:rPr>
      </w:pPr>
    </w:p>
    <w:p>
      <w:pPr>
        <w:ind w:left="960" w:hanging="50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NTIC’s effective tax rate;</w:t>
      </w:r>
    </w:p>
    <w:p>
      <w:pPr>
        <w:spacing w:after="0" w:line="240" w:lineRule="exact"/>
        <w:rPr>
          <w:rFonts w:ascii="Arial" w:cs="Arial" w:eastAsia="Arial" w:hAnsi="Arial"/>
          <w:sz w:val="18"/>
          <w:szCs w:val="18"/>
          <w:color w:val="auto"/>
        </w:rPr>
      </w:pPr>
    </w:p>
    <w:p>
      <w:pPr>
        <w:ind w:left="960" w:hanging="50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 and</w:t>
      </w:r>
    </w:p>
    <w:p>
      <w:pPr>
        <w:spacing w:after="0" w:line="240" w:lineRule="exact"/>
        <w:rPr>
          <w:rFonts w:ascii="Arial" w:cs="Arial" w:eastAsia="Arial" w:hAnsi="Arial"/>
          <w:sz w:val="18"/>
          <w:szCs w:val="18"/>
          <w:color w:val="auto"/>
        </w:rPr>
      </w:pPr>
    </w:p>
    <w:p>
      <w:pPr>
        <w:jc w:val="both"/>
        <w:ind w:left="960" w:hanging="503"/>
        <w:spacing w:after="0" w:line="299"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NTIC’s ability to maintain effective internal control over financial reporting and comply with its other U.S. public reporting company obligations, especially in light of its upcoming transition from a “smaller reporting company” to an “accelerated filer” under federal securities laws, and anticipated increased costs and diversion of management’s time and attention associated with such compliance activities.</w:t>
      </w:r>
    </w:p>
    <w:p>
      <w:pPr>
        <w:spacing w:after="0" w:line="181" w:lineRule="exact"/>
        <w:rPr>
          <w:sz w:val="20"/>
          <w:szCs w:val="20"/>
          <w:color w:val="auto"/>
        </w:rPr>
      </w:pPr>
    </w:p>
    <w:p>
      <w:pPr>
        <w:ind w:right="480"/>
        <w:spacing w:after="0" w:line="299" w:lineRule="auto"/>
        <w:rPr>
          <w:sz w:val="20"/>
          <w:szCs w:val="20"/>
          <w:color w:val="auto"/>
        </w:rPr>
      </w:pPr>
      <w:r>
        <w:rPr>
          <w:rFonts w:ascii="Arial" w:cs="Arial" w:eastAsia="Arial" w:hAnsi="Arial"/>
          <w:sz w:val="16"/>
          <w:szCs w:val="16"/>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2013 under the heading “Part I. Item 1A. Risk Factors.”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8" w:name="page29"/>
    <w:bookmarkEnd w:id="28"/>
    <w:p>
      <w:pPr>
        <w:spacing w:after="0" w:line="279" w:lineRule="auto"/>
        <w:rPr>
          <w:sz w:val="20"/>
          <w:szCs w:val="20"/>
          <w:color w:val="auto"/>
        </w:rPr>
      </w:pPr>
      <w:r>
        <w:rPr>
          <w:rFonts w:ascii="Arial" w:cs="Arial" w:eastAsia="Arial" w:hAnsi="Arial"/>
          <w:sz w:val="16"/>
          <w:szCs w:val="16"/>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February 28, 2014 that has materially affected, or is reasonably likely to materially affect NTIC’s internal control over financial reporting.</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00"/>
          </w:cols>
          <w:pgMar w:left="240" w:top="272" w:right="259" w:bottom="1440" w:gutter="0" w:footer="0" w:header="0"/>
        </w:sectPr>
      </w:pPr>
    </w:p>
    <w:bookmarkStart w:id="29" w:name="page30"/>
    <w:bookmarkEnd w:id="29"/>
    <w:p>
      <w:pPr>
        <w:spacing w:after="0"/>
        <w:tabs>
          <w:tab w:leader="none" w:pos="840" w:val="left"/>
        </w:tabs>
        <w:rPr>
          <w:sz w:val="20"/>
          <w:szCs w:val="20"/>
          <w:color w:val="auto"/>
        </w:rPr>
      </w:pPr>
      <w:r>
        <w:rPr>
          <w:rFonts w:ascii="Arial" w:cs="Arial" w:eastAsia="Arial" w:hAnsi="Arial"/>
          <w:sz w:val="18"/>
          <w:szCs w:val="18"/>
          <w:b w:val="1"/>
          <w:bCs w:val="1"/>
          <w:color w:val="auto"/>
        </w:rPr>
        <w:t>PART II</w:t>
        <w:tab/>
        <w:t>OTHER INFORMATION</w:t>
      </w:r>
    </w:p>
    <w:p>
      <w:pPr>
        <w:spacing w:after="0" w:line="24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During the three months ended February 28, 2014, NTIC did not issue any shares of its common stock or other equity securities of NTIC that were not registered under the Securities Act of 1933, as amended.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February 28, 2014, NTIC did not purchase any shares of its common stock or other equity securities of NTIC.</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tab/>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tab/>
        <w:t>EXHIBITS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160" w:type="dxa"/>
            <w:vAlign w:val="bottom"/>
          </w:tcPr>
          <w:p>
            <w:pPr>
              <w:spacing w:after="0"/>
              <w:rPr>
                <w:sz w:val="19"/>
                <w:szCs w:val="19"/>
                <w:color w:val="auto"/>
              </w:rPr>
            </w:pPr>
          </w:p>
        </w:tc>
        <w:tc>
          <w:tcPr>
            <w:tcW w:w="10020" w:type="dxa"/>
            <w:vAlign w:val="bottom"/>
          </w:tcPr>
          <w:p>
            <w:pPr>
              <w:ind w:left="60"/>
              <w:spacing w:after="0"/>
              <w:rPr>
                <w:sz w:val="20"/>
                <w:szCs w:val="20"/>
                <w:color w:val="auto"/>
              </w:rPr>
            </w:pPr>
            <w:r>
              <w:rPr>
                <w:rFonts w:ascii="Arial" w:cs="Arial" w:eastAsia="Arial" w:hAnsi="Arial"/>
                <w:sz w:val="18"/>
                <w:szCs w:val="18"/>
                <w:b w:val="1"/>
                <w:bCs w:val="1"/>
                <w:color w:val="auto"/>
              </w:rPr>
              <w:t>Description</w:t>
            </w:r>
          </w:p>
        </w:tc>
      </w:tr>
      <w:tr>
        <w:trPr>
          <w:trHeight w:val="53"/>
        </w:trPr>
        <w:tc>
          <w:tcPr>
            <w:tcW w:w="1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20" w:type="dxa"/>
            <w:vAlign w:val="bottom"/>
            <w:tcBorders>
              <w:bottom w:val="single" w:sz="8" w:color="auto"/>
            </w:tcBorders>
          </w:tcPr>
          <w:p>
            <w:pPr>
              <w:spacing w:after="0"/>
              <w:rPr>
                <w:sz w:val="4"/>
                <w:szCs w:val="4"/>
                <w:color w:val="auto"/>
              </w:rPr>
            </w:pPr>
          </w:p>
        </w:tc>
      </w:tr>
      <w:tr>
        <w:trPr>
          <w:trHeight w:val="25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2"/>
                <w:szCs w:val="22"/>
                <w:color w:val="auto"/>
              </w:rPr>
            </w:pPr>
          </w:p>
        </w:tc>
        <w:tc>
          <w:tcPr>
            <w:tcW w:w="10020" w:type="dxa"/>
            <w:vAlign w:val="bottom"/>
          </w:tcPr>
          <w:p>
            <w:pPr>
              <w:ind w:left="60"/>
              <w:spacing w:after="0"/>
              <w:rPr>
                <w:sz w:val="20"/>
                <w:szCs w:val="20"/>
                <w:color w:val="auto"/>
              </w:rPr>
            </w:pPr>
            <w:r>
              <w:rPr>
                <w:rFonts w:ascii="Arial" w:cs="Arial" w:eastAsia="Arial" w:hAnsi="Arial"/>
                <w:sz w:val="18"/>
                <w:szCs w:val="18"/>
                <w:color w:val="auto"/>
                <w:w w:val="90"/>
              </w:rPr>
              <w:t>Letter dated December 31, 2013 to Northern Technologies International Corporation from PNC Bank, National Association (filed herewith)</w:t>
            </w:r>
          </w:p>
        </w:tc>
      </w:tr>
      <w:tr>
        <w:trPr>
          <w:trHeight w:val="304"/>
        </w:trPr>
        <w:tc>
          <w:tcPr>
            <w:tcW w:w="12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24"/>
                <w:szCs w:val="24"/>
                <w:color w:val="auto"/>
              </w:rPr>
            </w:pPr>
          </w:p>
        </w:tc>
        <w:tc>
          <w:tcPr>
            <w:tcW w:w="10020" w:type="dxa"/>
            <w:vAlign w:val="bottom"/>
          </w:tcPr>
          <w:p>
            <w:pPr>
              <w:ind w:left="60"/>
              <w:spacing w:after="0"/>
              <w:rPr>
                <w:sz w:val="20"/>
                <w:szCs w:val="20"/>
                <w:color w:val="auto"/>
              </w:rPr>
            </w:pPr>
            <w:r>
              <w:rPr>
                <w:rFonts w:ascii="Arial" w:cs="Arial" w:eastAsia="Arial" w:hAnsi="Arial"/>
                <w:sz w:val="18"/>
                <w:szCs w:val="18"/>
                <w:color w:val="auto"/>
                <w:w w:val="91"/>
              </w:rPr>
              <w:t>Certification of Chief Executive Officer Pursuant to Exchange Act Rules 13a-14(a)/15d-14(a), as Adopted Pursuant to Section 302 of the</w:t>
            </w:r>
          </w:p>
        </w:tc>
      </w:tr>
      <w:tr>
        <w:trPr>
          <w:trHeight w:val="222"/>
        </w:trPr>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20" w:type="dxa"/>
            <w:vAlign w:val="bottom"/>
          </w:tcPr>
          <w:p>
            <w:pPr>
              <w:ind w:left="60"/>
              <w:spacing w:after="0"/>
              <w:rPr>
                <w:sz w:val="20"/>
                <w:szCs w:val="20"/>
                <w:color w:val="auto"/>
              </w:rPr>
            </w:pPr>
            <w:r>
              <w:rPr>
                <w:rFonts w:ascii="Arial" w:cs="Arial" w:eastAsia="Arial" w:hAnsi="Arial"/>
                <w:sz w:val="18"/>
                <w:szCs w:val="18"/>
                <w:color w:val="auto"/>
              </w:rPr>
              <w:t>Sarbanes-Oxley Act of 2002 (filed herewith)</w:t>
            </w:r>
          </w:p>
        </w:tc>
      </w:tr>
      <w:tr>
        <w:trPr>
          <w:trHeight w:val="304"/>
        </w:trPr>
        <w:tc>
          <w:tcPr>
            <w:tcW w:w="12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24"/>
                <w:szCs w:val="24"/>
                <w:color w:val="auto"/>
              </w:rPr>
            </w:pPr>
          </w:p>
        </w:tc>
        <w:tc>
          <w:tcPr>
            <w:tcW w:w="10020" w:type="dxa"/>
            <w:vAlign w:val="bottom"/>
          </w:tcPr>
          <w:p>
            <w:pPr>
              <w:ind w:left="60"/>
              <w:spacing w:after="0"/>
              <w:rPr>
                <w:sz w:val="20"/>
                <w:szCs w:val="20"/>
                <w:color w:val="auto"/>
              </w:rPr>
            </w:pPr>
            <w:r>
              <w:rPr>
                <w:rFonts w:ascii="Arial" w:cs="Arial" w:eastAsia="Arial" w:hAnsi="Arial"/>
                <w:sz w:val="18"/>
                <w:szCs w:val="18"/>
                <w:color w:val="auto"/>
                <w:w w:val="92"/>
              </w:rPr>
              <w:t>Certification of Chief Financial Officer Pursuant to Exchange Act Rules 13a-14(a)/15d-14(a), as Adopted Pursuant to Section 302 of the</w:t>
            </w:r>
          </w:p>
        </w:tc>
      </w:tr>
      <w:tr>
        <w:trPr>
          <w:trHeight w:val="222"/>
        </w:trPr>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20" w:type="dxa"/>
            <w:vAlign w:val="bottom"/>
          </w:tcPr>
          <w:p>
            <w:pPr>
              <w:ind w:left="60"/>
              <w:spacing w:after="0"/>
              <w:rPr>
                <w:sz w:val="20"/>
                <w:szCs w:val="20"/>
                <w:color w:val="auto"/>
              </w:rPr>
            </w:pPr>
            <w:r>
              <w:rPr>
                <w:rFonts w:ascii="Arial" w:cs="Arial" w:eastAsia="Arial" w:hAnsi="Arial"/>
                <w:sz w:val="18"/>
                <w:szCs w:val="18"/>
                <w:color w:val="auto"/>
              </w:rPr>
              <w:t>Sarbanes-Oxley Act of 2002 (filed herewith)</w:t>
            </w:r>
          </w:p>
        </w:tc>
      </w:tr>
      <w:tr>
        <w:trPr>
          <w:trHeight w:val="304"/>
        </w:trPr>
        <w:tc>
          <w:tcPr>
            <w:tcW w:w="12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60" w:type="dxa"/>
            <w:vAlign w:val="bottom"/>
          </w:tcPr>
          <w:p>
            <w:pPr>
              <w:spacing w:after="0"/>
              <w:rPr>
                <w:sz w:val="24"/>
                <w:szCs w:val="24"/>
                <w:color w:val="auto"/>
              </w:rPr>
            </w:pPr>
          </w:p>
        </w:tc>
        <w:tc>
          <w:tcPr>
            <w:tcW w:w="10020" w:type="dxa"/>
            <w:vAlign w:val="bottom"/>
          </w:tcPr>
          <w:p>
            <w:pPr>
              <w:ind w:left="60"/>
              <w:spacing w:after="0"/>
              <w:rPr>
                <w:sz w:val="20"/>
                <w:szCs w:val="20"/>
                <w:color w:val="auto"/>
              </w:rPr>
            </w:pPr>
            <w:r>
              <w:rPr>
                <w:rFonts w:ascii="Arial" w:cs="Arial" w:eastAsia="Arial" w:hAnsi="Arial"/>
                <w:sz w:val="18"/>
                <w:szCs w:val="18"/>
                <w:color w:val="auto"/>
                <w:w w:val="89"/>
              </w:rPr>
              <w:t>Certification of Chief Executive Officer Pursuant to 18 U.S.C. Section 1350, as Adopted Pursuant to Section 906 of the Sarbanes-Oxley Act</w:t>
            </w:r>
          </w:p>
        </w:tc>
      </w:tr>
      <w:tr>
        <w:trPr>
          <w:trHeight w:val="222"/>
        </w:trPr>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20" w:type="dxa"/>
            <w:vAlign w:val="bottom"/>
          </w:tcPr>
          <w:p>
            <w:pPr>
              <w:ind w:left="60"/>
              <w:spacing w:after="0"/>
              <w:rPr>
                <w:sz w:val="20"/>
                <w:szCs w:val="20"/>
                <w:color w:val="auto"/>
              </w:rPr>
            </w:pPr>
            <w:r>
              <w:rPr>
                <w:rFonts w:ascii="Arial" w:cs="Arial" w:eastAsia="Arial" w:hAnsi="Arial"/>
                <w:sz w:val="18"/>
                <w:szCs w:val="18"/>
                <w:color w:val="auto"/>
              </w:rPr>
              <w:t>of 2002 (furnished herewith)</w:t>
            </w:r>
          </w:p>
        </w:tc>
      </w:tr>
      <w:tr>
        <w:trPr>
          <w:trHeight w:val="304"/>
        </w:trPr>
        <w:tc>
          <w:tcPr>
            <w:tcW w:w="12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60" w:type="dxa"/>
            <w:vAlign w:val="bottom"/>
          </w:tcPr>
          <w:p>
            <w:pPr>
              <w:spacing w:after="0"/>
              <w:rPr>
                <w:sz w:val="24"/>
                <w:szCs w:val="24"/>
                <w:color w:val="auto"/>
              </w:rPr>
            </w:pPr>
          </w:p>
        </w:tc>
        <w:tc>
          <w:tcPr>
            <w:tcW w:w="10020" w:type="dxa"/>
            <w:vAlign w:val="bottom"/>
          </w:tcPr>
          <w:p>
            <w:pPr>
              <w:ind w:left="6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 Act</w:t>
            </w:r>
          </w:p>
        </w:tc>
      </w:tr>
      <w:tr>
        <w:trPr>
          <w:trHeight w:val="222"/>
        </w:trPr>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20" w:type="dxa"/>
            <w:vAlign w:val="bottom"/>
          </w:tcPr>
          <w:p>
            <w:pPr>
              <w:ind w:left="60"/>
              <w:spacing w:after="0"/>
              <w:rPr>
                <w:sz w:val="20"/>
                <w:szCs w:val="20"/>
                <w:color w:val="auto"/>
              </w:rPr>
            </w:pPr>
            <w:r>
              <w:rPr>
                <w:rFonts w:ascii="Arial" w:cs="Arial" w:eastAsia="Arial" w:hAnsi="Arial"/>
                <w:sz w:val="18"/>
                <w:szCs w:val="18"/>
                <w:color w:val="auto"/>
              </w:rPr>
              <w:t>of 2002 (furnished herewith)</w:t>
            </w:r>
          </w:p>
        </w:tc>
      </w:tr>
    </w:tbl>
    <w:p>
      <w:pPr>
        <w:spacing w:after="0" w:line="93" w:lineRule="exact"/>
        <w:rPr>
          <w:sz w:val="20"/>
          <w:szCs w:val="20"/>
          <w:color w:val="auto"/>
        </w:rPr>
      </w:pPr>
    </w:p>
    <w:p>
      <w:pPr>
        <w:ind w:left="1460" w:right="80" w:hanging="968"/>
        <w:spacing w:after="0" w:line="291" w:lineRule="auto"/>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materials from Northern Technologies International Corporation’s Quarterly Report on Form 10-Q for the fiscal quarter ended February 28, 2014, formatted in XBRL (Extensible Business Reporting Language): (i) the unaudited Consolidated Balance Sheets, (ii) the unaudited Consolidated Statements of Operations, (iii) the unaudited Consolidated Statements of Comprehensive Income, (iv) the unaudited Consolidated Statements of Cash Flows, and (v) Notes to Condensed Financial Statements (filed herewith)</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0" w:name="page31"/>
    <w:bookmarkEnd w:id="30"/>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281305</wp:posOffset>
            </wp:positionV>
            <wp:extent cx="1102360" cy="6178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2360" cy="61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20" w:type="dxa"/>
            <w:vAlign w:val="bottom"/>
          </w:tcPr>
          <w:p>
            <w:pPr>
              <w:spacing w:after="0"/>
              <w:rPr>
                <w:sz w:val="20"/>
                <w:szCs w:val="20"/>
                <w:color w:val="auto"/>
              </w:rPr>
            </w:pPr>
            <w:r>
              <w:rPr>
                <w:rFonts w:ascii="Arial" w:cs="Arial" w:eastAsia="Arial" w:hAnsi="Arial"/>
                <w:sz w:val="18"/>
                <w:szCs w:val="18"/>
                <w:color w:val="auto"/>
              </w:rPr>
              <w:t>Date: April 11, 2014</w:t>
            </w: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r>
      <w:tr>
        <w:trPr>
          <w:trHeight w:val="213"/>
        </w:trPr>
        <w:tc>
          <w:tcPr>
            <w:tcW w:w="57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97"/>
        </w:trPr>
        <w:tc>
          <w:tcPr>
            <w:tcW w:w="57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(Principal Financial and Accounting Officer and</w:t>
            </w:r>
          </w:p>
        </w:tc>
      </w:tr>
      <w:tr>
        <w:trPr>
          <w:trHeight w:val="201"/>
        </w:trPr>
        <w:tc>
          <w:tcPr>
            <w:tcW w:w="57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w w:val="92"/>
              </w:rPr>
              <w:t>Duly Authorized to 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240" cy="37465"/>
                    </a:xfrm>
                    <a:prstGeom prst="rect">
                      <a:avLst/>
                    </a:prstGeom>
                    <a:noFill/>
                  </pic:spPr>
                </pic:pic>
              </a:graphicData>
            </a:graphic>
          </wp:anchor>
        </w:drawing>
      </w:r>
    </w:p>
    <w:p>
      <w:pPr>
        <w:sectPr>
          <w:pgSz w:w="11900" w:h="16838" w:orient="portrait"/>
          <w:cols w:equalWidth="0" w:num="1">
            <w:col w:w="10980"/>
          </w:cols>
          <w:pgMar w:left="240" w:top="266" w:right="6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6300" w:type="dxa"/>
            <w:vAlign w:val="bottom"/>
            <w:tcBorders>
              <w:top w:val="single" w:sz="8" w:color="auto"/>
              <w:right w:val="single" w:sz="8" w:color="auto"/>
            </w:tcBorders>
          </w:tcPr>
          <w:p>
            <w:pPr>
              <w:spacing w:after="0"/>
              <w:rPr>
                <w:sz w:val="20"/>
                <w:szCs w:val="20"/>
                <w:color w:val="auto"/>
              </w:rPr>
            </w:pPr>
          </w:p>
        </w:tc>
        <w:tc>
          <w:tcPr>
            <w:tcW w:w="3400" w:type="dxa"/>
            <w:vAlign w:val="bottom"/>
            <w:tcBorders>
              <w:top w:val="single" w:sz="8" w:color="auto"/>
              <w:right w:val="single" w:sz="8" w:color="auto"/>
            </w:tcBorders>
          </w:tcPr>
          <w:p>
            <w:pPr>
              <w:spacing w:after="0"/>
              <w:rPr>
                <w:sz w:val="20"/>
                <w:szCs w:val="20"/>
                <w:color w:val="auto"/>
              </w:rPr>
            </w:pPr>
          </w:p>
        </w:tc>
      </w:tr>
      <w:tr>
        <w:trPr>
          <w:trHeight w:val="22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630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Description</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Method of Filing</w:t>
            </w: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30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2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Letter dated December 31, 2013 to Northern Technologies International Corporation</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r>
      <w:tr>
        <w:trPr>
          <w:trHeight w:val="222"/>
        </w:trPr>
        <w:tc>
          <w:tcPr>
            <w:tcW w:w="1740" w:type="dxa"/>
            <w:vAlign w:val="bottom"/>
            <w:tcBorders>
              <w:left w:val="single" w:sz="8" w:color="auto"/>
              <w:right w:val="single" w:sz="8" w:color="auto"/>
            </w:tcBorders>
          </w:tcPr>
          <w:p>
            <w:pPr>
              <w:spacing w:after="0"/>
              <w:rPr>
                <w:sz w:val="19"/>
                <w:szCs w:val="19"/>
                <w:color w:val="auto"/>
              </w:rPr>
            </w:pP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from PNC Bank, National Association</w:t>
            </w:r>
          </w:p>
        </w:tc>
        <w:tc>
          <w:tcPr>
            <w:tcW w:w="3400" w:type="dxa"/>
            <w:vAlign w:val="bottom"/>
            <w:tcBorders>
              <w:right w:val="single" w:sz="8" w:color="auto"/>
            </w:tcBorders>
          </w:tcPr>
          <w:p>
            <w:pPr>
              <w:spacing w:after="0"/>
              <w:rPr>
                <w:sz w:val="19"/>
                <w:szCs w:val="19"/>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1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Certification of Chief Executive Officer Pursuant to Exchange Act Rules 13a-</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r>
      <w:tr>
        <w:trPr>
          <w:trHeight w:val="222"/>
        </w:trPr>
        <w:tc>
          <w:tcPr>
            <w:tcW w:w="1740" w:type="dxa"/>
            <w:vAlign w:val="bottom"/>
            <w:tcBorders>
              <w:left w:val="single" w:sz="8" w:color="auto"/>
              <w:right w:val="single" w:sz="8" w:color="auto"/>
            </w:tcBorders>
          </w:tcPr>
          <w:p>
            <w:pPr>
              <w:spacing w:after="0"/>
              <w:rPr>
                <w:sz w:val="19"/>
                <w:szCs w:val="19"/>
                <w:color w:val="auto"/>
              </w:rPr>
            </w:pP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14(a)/15d-14(a), as Adopted Pursuant to Section 302 of the Sarbanes-Oxley Act of 2002</w:t>
            </w:r>
          </w:p>
        </w:tc>
        <w:tc>
          <w:tcPr>
            <w:tcW w:w="3400" w:type="dxa"/>
            <w:vAlign w:val="bottom"/>
            <w:tcBorders>
              <w:right w:val="single" w:sz="8" w:color="auto"/>
            </w:tcBorders>
          </w:tcPr>
          <w:p>
            <w:pPr>
              <w:spacing w:after="0"/>
              <w:rPr>
                <w:sz w:val="19"/>
                <w:szCs w:val="19"/>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1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31.2</w:t>
            </w: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Certification of Chief Financial Officer Pursuant to Exchange Act Rules 13a-14(a)/15d-</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r>
      <w:tr>
        <w:trPr>
          <w:trHeight w:val="222"/>
        </w:trPr>
        <w:tc>
          <w:tcPr>
            <w:tcW w:w="1740" w:type="dxa"/>
            <w:vAlign w:val="bottom"/>
            <w:tcBorders>
              <w:left w:val="single" w:sz="8" w:color="auto"/>
              <w:right w:val="single" w:sz="8" w:color="auto"/>
            </w:tcBorders>
          </w:tcPr>
          <w:p>
            <w:pPr>
              <w:spacing w:after="0"/>
              <w:rPr>
                <w:sz w:val="19"/>
                <w:szCs w:val="19"/>
                <w:color w:val="auto"/>
              </w:rPr>
            </w:pP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14(a), as Adopted Pursuant to Section 302 of the Sarbanes-Oxley Act of 2002</w:t>
            </w:r>
          </w:p>
        </w:tc>
        <w:tc>
          <w:tcPr>
            <w:tcW w:w="3400" w:type="dxa"/>
            <w:vAlign w:val="bottom"/>
            <w:tcBorders>
              <w:right w:val="single" w:sz="8" w:color="auto"/>
            </w:tcBorders>
          </w:tcPr>
          <w:p>
            <w:pPr>
              <w:spacing w:after="0"/>
              <w:rPr>
                <w:sz w:val="19"/>
                <w:szCs w:val="19"/>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1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32.1</w:t>
            </w: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Certification of Chief Executive Officer Pursuant to 18 U.S.C. Section 1350, as</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22"/>
        </w:trPr>
        <w:tc>
          <w:tcPr>
            <w:tcW w:w="1740" w:type="dxa"/>
            <w:vAlign w:val="bottom"/>
            <w:tcBorders>
              <w:left w:val="single" w:sz="8" w:color="auto"/>
              <w:right w:val="single" w:sz="8" w:color="auto"/>
            </w:tcBorders>
          </w:tcPr>
          <w:p>
            <w:pPr>
              <w:spacing w:after="0"/>
              <w:rPr>
                <w:sz w:val="19"/>
                <w:szCs w:val="19"/>
                <w:color w:val="auto"/>
              </w:rPr>
            </w:pP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400" w:type="dxa"/>
            <w:vAlign w:val="bottom"/>
            <w:tcBorders>
              <w:right w:val="single" w:sz="8" w:color="auto"/>
            </w:tcBorders>
          </w:tcPr>
          <w:p>
            <w:pPr>
              <w:spacing w:after="0"/>
              <w:rPr>
                <w:sz w:val="19"/>
                <w:szCs w:val="19"/>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1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32.2</w:t>
            </w: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Certification of Chief Financial Officer Pursuant to 18 U.S.C. Section 1350, as Adopted</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22"/>
        </w:trPr>
        <w:tc>
          <w:tcPr>
            <w:tcW w:w="1740" w:type="dxa"/>
            <w:vAlign w:val="bottom"/>
            <w:tcBorders>
              <w:left w:val="single" w:sz="8" w:color="auto"/>
              <w:right w:val="single" w:sz="8" w:color="auto"/>
            </w:tcBorders>
          </w:tcPr>
          <w:p>
            <w:pPr>
              <w:spacing w:after="0"/>
              <w:rPr>
                <w:sz w:val="19"/>
                <w:szCs w:val="19"/>
                <w:color w:val="auto"/>
              </w:rPr>
            </w:pP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Pursuant to Section 906 of the Sarbanes-Oxley Act of 2002</w:t>
            </w:r>
          </w:p>
        </w:tc>
        <w:tc>
          <w:tcPr>
            <w:tcW w:w="3400" w:type="dxa"/>
            <w:vAlign w:val="bottom"/>
            <w:tcBorders>
              <w:right w:val="single" w:sz="8" w:color="auto"/>
            </w:tcBorders>
          </w:tcPr>
          <w:p>
            <w:pPr>
              <w:spacing w:after="0"/>
              <w:rPr>
                <w:sz w:val="19"/>
                <w:szCs w:val="19"/>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1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101</w:t>
            </w: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The following materials from Northern Technologies International Corporation’s</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r>
      <w:tr>
        <w:trPr>
          <w:trHeight w:val="210"/>
        </w:trPr>
        <w:tc>
          <w:tcPr>
            <w:tcW w:w="17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Quarterly Report on Form 10-Q for the fiscal quarter ended February 28, 2013,</w:t>
            </w:r>
          </w:p>
        </w:tc>
        <w:tc>
          <w:tcPr>
            <w:tcW w:w="3400" w:type="dxa"/>
            <w:vAlign w:val="bottom"/>
            <w:tcBorders>
              <w:right w:val="single" w:sz="8" w:color="auto"/>
            </w:tcBorders>
          </w:tcPr>
          <w:p>
            <w:pPr>
              <w:spacing w:after="0"/>
              <w:rPr>
                <w:sz w:val="18"/>
                <w:szCs w:val="18"/>
                <w:color w:val="auto"/>
              </w:rPr>
            </w:pPr>
          </w:p>
        </w:tc>
      </w:tr>
      <w:tr>
        <w:trPr>
          <w:trHeight w:val="210"/>
        </w:trPr>
        <w:tc>
          <w:tcPr>
            <w:tcW w:w="17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formatted in XBRL (Extensible Business Reporting Language): (i) the unaudited</w:t>
            </w:r>
          </w:p>
        </w:tc>
        <w:tc>
          <w:tcPr>
            <w:tcW w:w="3400" w:type="dxa"/>
            <w:vAlign w:val="bottom"/>
            <w:tcBorders>
              <w:right w:val="single" w:sz="8" w:color="auto"/>
            </w:tcBorders>
          </w:tcPr>
          <w:p>
            <w:pPr>
              <w:spacing w:after="0"/>
              <w:rPr>
                <w:sz w:val="18"/>
                <w:szCs w:val="18"/>
                <w:color w:val="auto"/>
              </w:rPr>
            </w:pPr>
          </w:p>
        </w:tc>
      </w:tr>
      <w:tr>
        <w:trPr>
          <w:trHeight w:val="210"/>
        </w:trPr>
        <w:tc>
          <w:tcPr>
            <w:tcW w:w="17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Consolidated Balance Sheets, (ii) the unaudited Consolidated Statements of Operations,</w:t>
            </w:r>
          </w:p>
        </w:tc>
        <w:tc>
          <w:tcPr>
            <w:tcW w:w="3400" w:type="dxa"/>
            <w:vAlign w:val="bottom"/>
            <w:tcBorders>
              <w:right w:val="single" w:sz="8" w:color="auto"/>
            </w:tcBorders>
          </w:tcPr>
          <w:p>
            <w:pPr>
              <w:spacing w:after="0"/>
              <w:rPr>
                <w:sz w:val="18"/>
                <w:szCs w:val="18"/>
                <w:color w:val="auto"/>
              </w:rPr>
            </w:pPr>
          </w:p>
        </w:tc>
      </w:tr>
      <w:tr>
        <w:trPr>
          <w:trHeight w:val="210"/>
        </w:trPr>
        <w:tc>
          <w:tcPr>
            <w:tcW w:w="17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(iii) the unaudited Consolidated Statements of Comprehensive Income, (iv) the</w:t>
            </w:r>
          </w:p>
        </w:tc>
        <w:tc>
          <w:tcPr>
            <w:tcW w:w="3400" w:type="dxa"/>
            <w:vAlign w:val="bottom"/>
            <w:tcBorders>
              <w:right w:val="single" w:sz="8" w:color="auto"/>
            </w:tcBorders>
          </w:tcPr>
          <w:p>
            <w:pPr>
              <w:spacing w:after="0"/>
              <w:rPr>
                <w:sz w:val="18"/>
                <w:szCs w:val="18"/>
                <w:color w:val="auto"/>
              </w:rPr>
            </w:pPr>
          </w:p>
        </w:tc>
      </w:tr>
      <w:tr>
        <w:trPr>
          <w:trHeight w:val="210"/>
        </w:trPr>
        <w:tc>
          <w:tcPr>
            <w:tcW w:w="17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unaudited Consolidated Statements of Cash Flows, and (v) Notes to Condensed</w:t>
            </w:r>
          </w:p>
        </w:tc>
        <w:tc>
          <w:tcPr>
            <w:tcW w:w="3400" w:type="dxa"/>
            <w:vAlign w:val="bottom"/>
            <w:tcBorders>
              <w:right w:val="single" w:sz="8" w:color="auto"/>
            </w:tcBorders>
          </w:tcPr>
          <w:p>
            <w:pPr>
              <w:spacing w:after="0"/>
              <w:rPr>
                <w:sz w:val="18"/>
                <w:szCs w:val="18"/>
                <w:color w:val="auto"/>
              </w:rPr>
            </w:pPr>
          </w:p>
        </w:tc>
      </w:tr>
      <w:tr>
        <w:trPr>
          <w:trHeight w:val="222"/>
        </w:trPr>
        <w:tc>
          <w:tcPr>
            <w:tcW w:w="1740" w:type="dxa"/>
            <w:vAlign w:val="bottom"/>
            <w:tcBorders>
              <w:left w:val="single" w:sz="8" w:color="auto"/>
              <w:right w:val="single" w:sz="8" w:color="auto"/>
            </w:tcBorders>
          </w:tcPr>
          <w:p>
            <w:pPr>
              <w:spacing w:after="0"/>
              <w:rPr>
                <w:sz w:val="19"/>
                <w:szCs w:val="19"/>
                <w:color w:val="auto"/>
              </w:rPr>
            </w:pP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Financial Statements</w:t>
            </w:r>
          </w:p>
        </w:tc>
        <w:tc>
          <w:tcPr>
            <w:tcW w:w="3400" w:type="dxa"/>
            <w:vAlign w:val="bottom"/>
            <w:tcBorders>
              <w:right w:val="single" w:sz="8" w:color="auto"/>
            </w:tcBorders>
          </w:tcPr>
          <w:p>
            <w:pPr>
              <w:spacing w:after="0"/>
              <w:rPr>
                <w:sz w:val="19"/>
                <w:szCs w:val="19"/>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138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1385" cy="3746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1"/>
          <w:szCs w:val="21"/>
          <w:color w:val="auto"/>
        </w:rPr>
        <w:t>PNC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4201 Woodland Road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Circle Pines, MN 55014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RE: Renewal of Expiration Date for committed line of credit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Loan #: 0010146473/33835685</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Amount: $3,000,000.00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Dear Mr. Wolsfeld:</w:t>
      </w:r>
    </w:p>
    <w:p>
      <w:pPr>
        <w:spacing w:after="0" w:line="240"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We are pleased to inform you that your committed line of credit has been renewed. The Expiration Date, as set forth in the Amended and Restated Committed Line of Credit Note dated January 10, 2011, as amended, and any loan agreement or letter agreement related thereto, if applicable (the “Agreement”), has been extended from January 8, 2014 to January 7, 2015, effective on January 9, 2014. All other terms and conditions of the Promissory Note and Agreement remain in full force and effect.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It has been a pleasure working with you and I look forward to a continued successful relationship. Thank you again for your business.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  /s/ Yelena Spadafora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PNC Financial Services Group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23000 Millcreek Boulevard  Highland Hills  Ohio 44122</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www.pnc.com</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40" w:lineRule="exact"/>
        <w:rPr>
          <w:sz w:val="20"/>
          <w:szCs w:val="20"/>
          <w:color w:val="auto"/>
        </w:rPr>
      </w:pPr>
    </w:p>
    <w:p>
      <w:pPr>
        <w:ind w:left="640" w:hanging="635"/>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40" w:lineRule="exact"/>
        <w:rPr>
          <w:rFonts w:ascii="Arial" w:cs="Arial" w:eastAsia="Arial" w:hAnsi="Arial"/>
          <w:sz w:val="18"/>
          <w:szCs w:val="18"/>
          <w:color w:val="auto"/>
        </w:rPr>
      </w:pPr>
    </w:p>
    <w:p>
      <w:pPr>
        <w:ind w:left="640" w:right="100" w:hanging="635"/>
        <w:spacing w:after="0" w:line="362" w:lineRule="auto"/>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left="640" w:right="540" w:hanging="635"/>
        <w:spacing w:after="0" w:line="324"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6"/>
          <w:szCs w:val="16"/>
          <w:color w:val="auto"/>
        </w:rPr>
      </w:pPr>
    </w:p>
    <w:p>
      <w:pPr>
        <w:ind w:left="640" w:right="180" w:hanging="635"/>
        <w:spacing w:after="0" w:line="252"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ind w:left="1120" w:right="280" w:hanging="10"/>
        <w:spacing w:after="0" w:line="299" w:lineRule="auto"/>
        <w:tabs>
          <w:tab w:leader="none" w:pos="1972"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6"/>
          <w:szCs w:val="16"/>
          <w:color w:val="auto"/>
        </w:rPr>
      </w:pPr>
    </w:p>
    <w:p>
      <w:pPr>
        <w:ind w:left="1120" w:right="160" w:hanging="10"/>
        <w:spacing w:after="0" w:line="252" w:lineRule="auto"/>
        <w:tabs>
          <w:tab w:leader="none" w:pos="198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16" w:lineRule="exact"/>
        <w:rPr>
          <w:rFonts w:ascii="Arial" w:cs="Arial" w:eastAsia="Arial" w:hAnsi="Arial"/>
          <w:sz w:val="18"/>
          <w:szCs w:val="18"/>
          <w:color w:val="auto"/>
        </w:rPr>
      </w:pPr>
    </w:p>
    <w:p>
      <w:pPr>
        <w:ind w:left="1120" w:hanging="10"/>
        <w:spacing w:after="0" w:line="324" w:lineRule="auto"/>
        <w:tabs>
          <w:tab w:leader="none" w:pos="1972"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ind w:left="1120" w:right="160" w:hanging="10"/>
        <w:spacing w:after="0" w:line="252" w:lineRule="auto"/>
        <w:tabs>
          <w:tab w:leader="none" w:pos="198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40" w:right="220" w:hanging="635"/>
        <w:spacing w:after="0" w:line="324"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60" w:lineRule="exact"/>
        <w:rPr>
          <w:rFonts w:ascii="Arial" w:cs="Arial" w:eastAsia="Arial" w:hAnsi="Arial"/>
          <w:sz w:val="16"/>
          <w:szCs w:val="16"/>
          <w:color w:val="auto"/>
        </w:rPr>
      </w:pPr>
    </w:p>
    <w:p>
      <w:pPr>
        <w:ind w:left="1120" w:right="120" w:hanging="10"/>
        <w:spacing w:after="0" w:line="324" w:lineRule="auto"/>
        <w:tabs>
          <w:tab w:leader="none" w:pos="2006"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120" w:right="460" w:hanging="10"/>
        <w:spacing w:after="0" w:line="261" w:lineRule="auto"/>
        <w:tabs>
          <w:tab w:leader="none" w:pos="20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139700</wp:posOffset>
            </wp:positionV>
            <wp:extent cx="2171700" cy="375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71700" cy="3759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2014</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4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40" w:lineRule="exact"/>
        <w:rPr>
          <w:sz w:val="20"/>
          <w:szCs w:val="20"/>
          <w:color w:val="auto"/>
        </w:rPr>
      </w:pPr>
    </w:p>
    <w:p>
      <w:pPr>
        <w:ind w:left="640" w:hanging="63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40" w:lineRule="exact"/>
        <w:rPr>
          <w:rFonts w:ascii="Arial" w:cs="Arial" w:eastAsia="Arial" w:hAnsi="Arial"/>
          <w:sz w:val="18"/>
          <w:szCs w:val="18"/>
          <w:color w:val="auto"/>
        </w:rPr>
      </w:pPr>
    </w:p>
    <w:p>
      <w:pPr>
        <w:ind w:left="640" w:right="100" w:hanging="635"/>
        <w:spacing w:after="0" w:line="362" w:lineRule="auto"/>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left="640" w:right="540" w:hanging="635"/>
        <w:spacing w:after="0" w:line="324"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6"/>
          <w:szCs w:val="16"/>
          <w:color w:val="auto"/>
        </w:rPr>
      </w:pPr>
    </w:p>
    <w:p>
      <w:pPr>
        <w:ind w:left="640" w:right="180" w:hanging="635"/>
        <w:spacing w:after="0" w:line="252"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ind w:left="1120" w:right="280" w:hanging="10"/>
        <w:spacing w:after="0" w:line="299" w:lineRule="auto"/>
        <w:tabs>
          <w:tab w:leader="none" w:pos="1972"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6"/>
          <w:szCs w:val="16"/>
          <w:color w:val="auto"/>
        </w:rPr>
      </w:pPr>
    </w:p>
    <w:p>
      <w:pPr>
        <w:ind w:left="1120" w:right="160" w:hanging="10"/>
        <w:spacing w:after="0" w:line="252" w:lineRule="auto"/>
        <w:tabs>
          <w:tab w:leader="none" w:pos="198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16" w:lineRule="exact"/>
        <w:rPr>
          <w:rFonts w:ascii="Arial" w:cs="Arial" w:eastAsia="Arial" w:hAnsi="Arial"/>
          <w:sz w:val="18"/>
          <w:szCs w:val="18"/>
          <w:color w:val="auto"/>
        </w:rPr>
      </w:pPr>
    </w:p>
    <w:p>
      <w:pPr>
        <w:ind w:left="1120" w:hanging="10"/>
        <w:spacing w:after="0" w:line="324" w:lineRule="auto"/>
        <w:tabs>
          <w:tab w:leader="none" w:pos="1972"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ind w:left="1120" w:right="160" w:hanging="10"/>
        <w:spacing w:after="0" w:line="252" w:lineRule="auto"/>
        <w:tabs>
          <w:tab w:leader="none" w:pos="198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40" w:right="220" w:hanging="635"/>
        <w:spacing w:after="0" w:line="324"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60" w:lineRule="exact"/>
        <w:rPr>
          <w:rFonts w:ascii="Arial" w:cs="Arial" w:eastAsia="Arial" w:hAnsi="Arial"/>
          <w:sz w:val="16"/>
          <w:szCs w:val="16"/>
          <w:color w:val="auto"/>
        </w:rPr>
      </w:pPr>
    </w:p>
    <w:p>
      <w:pPr>
        <w:ind w:left="1120" w:right="120" w:hanging="10"/>
        <w:spacing w:after="0" w:line="324" w:lineRule="auto"/>
        <w:tabs>
          <w:tab w:leader="none" w:pos="2006"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120" w:right="460" w:hanging="10"/>
        <w:spacing w:after="0" w:line="261" w:lineRule="auto"/>
        <w:tabs>
          <w:tab w:leader="none" w:pos="201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123190</wp:posOffset>
            </wp:positionV>
            <wp:extent cx="1102360" cy="6178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02360" cy="61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1905</wp:posOffset>
            </wp:positionV>
            <wp:extent cx="2171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7170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Matthew C. Wolsfeld, CPA</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Corporate Secretary</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5" w:name="page36"/>
    <w:bookmarkEnd w:id="35"/>
    <w:p>
      <w:pPr>
        <w:ind w:left="10520"/>
        <w:spacing w:after="0"/>
        <w:rPr>
          <w:sz w:val="20"/>
          <w:szCs w:val="20"/>
          <w:color w:val="auto"/>
        </w:rPr>
      </w:pPr>
      <w:r>
        <w:rPr>
          <w:rFonts w:ascii="Arial" w:cs="Arial" w:eastAsia="Arial" w:hAnsi="Arial"/>
          <w:sz w:val="16"/>
          <w:szCs w:val="16"/>
          <w:b w:val="1"/>
          <w:bCs w:val="1"/>
          <w:color w:val="auto"/>
        </w:rPr>
        <w:t>Exhibit 32.1</w:t>
      </w:r>
    </w:p>
    <w:p>
      <w:pPr>
        <w:spacing w:after="0" w:line="23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1" w:lineRule="exact"/>
        <w:rPr>
          <w:sz w:val="20"/>
          <w:szCs w:val="20"/>
          <w:color w:val="auto"/>
        </w:rPr>
      </w:pPr>
    </w:p>
    <w:p>
      <w:pPr>
        <w:jc w:val="both"/>
        <w:ind w:right="180"/>
        <w:spacing w:after="0" w:line="24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28, 2014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20" w:lineRule="exact"/>
        <w:rPr>
          <w:sz w:val="20"/>
          <w:szCs w:val="20"/>
          <w:color w:val="auto"/>
        </w:rPr>
      </w:pPr>
    </w:p>
    <w:p>
      <w:pPr>
        <w:ind w:left="1580" w:hanging="943"/>
        <w:spacing w:after="0"/>
        <w:tabs>
          <w:tab w:leader="none" w:pos="1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0" w:lineRule="exact"/>
        <w:rPr>
          <w:rFonts w:ascii="Arial" w:cs="Arial" w:eastAsia="Arial" w:hAnsi="Arial"/>
          <w:sz w:val="18"/>
          <w:szCs w:val="18"/>
          <w:color w:val="auto"/>
        </w:rPr>
      </w:pPr>
    </w:p>
    <w:p>
      <w:pPr>
        <w:ind w:left="1580" w:right="420" w:hanging="943"/>
        <w:spacing w:after="0" w:line="261" w:lineRule="auto"/>
        <w:tabs>
          <w:tab w:leader="none" w:pos="1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9" w:lineRule="exact"/>
        <w:rPr>
          <w:rFonts w:ascii="Arial" w:cs="Arial" w:eastAsia="Arial" w:hAnsi="Arial"/>
          <w:sz w:val="18"/>
          <w:szCs w:val="18"/>
          <w:color w:val="auto"/>
        </w:rPr>
      </w:pPr>
    </w:p>
    <w:p>
      <w:pPr>
        <w:ind w:left="220" w:hanging="215"/>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2179955" cy="375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79955" cy="37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President and Chief Executive Officer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11, 2014</w:t>
      </w:r>
    </w:p>
    <w:p>
      <w:pPr>
        <w:sectPr>
          <w:pgSz w:w="11900" w:h="16838" w:orient="portrait"/>
          <w:cols w:equalWidth="0" w:num="1">
            <w:col w:w="11420"/>
          </w:cols>
          <w:pgMar w:left="240" w:top="121" w:right="239" w:bottom="1440" w:gutter="0" w:footer="0" w:header="0"/>
        </w:sectPr>
      </w:pPr>
    </w:p>
    <w:bookmarkStart w:id="36" w:name="page37"/>
    <w:bookmarkEnd w:id="36"/>
    <w:p>
      <w:pPr>
        <w:ind w:left="10520"/>
        <w:spacing w:after="0"/>
        <w:rPr>
          <w:sz w:val="20"/>
          <w:szCs w:val="20"/>
          <w:color w:val="auto"/>
        </w:rPr>
      </w:pPr>
      <w:r>
        <w:rPr>
          <w:rFonts w:ascii="Arial" w:cs="Arial" w:eastAsia="Arial" w:hAnsi="Arial"/>
          <w:sz w:val="16"/>
          <w:szCs w:val="16"/>
          <w:b w:val="1"/>
          <w:bCs w:val="1"/>
          <w:color w:val="auto"/>
        </w:rPr>
        <w:t>Exhibit 32.2</w:t>
      </w:r>
    </w:p>
    <w:p>
      <w:pPr>
        <w:spacing w:after="0" w:line="23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1"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28, 2014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20" w:lineRule="exact"/>
        <w:rPr>
          <w:sz w:val="20"/>
          <w:szCs w:val="20"/>
          <w:color w:val="auto"/>
        </w:rPr>
      </w:pPr>
    </w:p>
    <w:p>
      <w:pPr>
        <w:ind w:left="1580" w:hanging="943"/>
        <w:spacing w:after="0"/>
        <w:tabs>
          <w:tab w:leader="none" w:pos="1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0" w:lineRule="exact"/>
        <w:rPr>
          <w:rFonts w:ascii="Arial" w:cs="Arial" w:eastAsia="Arial" w:hAnsi="Arial"/>
          <w:sz w:val="18"/>
          <w:szCs w:val="18"/>
          <w:color w:val="auto"/>
        </w:rPr>
      </w:pPr>
    </w:p>
    <w:p>
      <w:pPr>
        <w:ind w:left="1580" w:right="420" w:hanging="943"/>
        <w:spacing w:after="0" w:line="261" w:lineRule="auto"/>
        <w:tabs>
          <w:tab w:leader="none" w:pos="1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2179955" cy="626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79955" cy="62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11,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5"/>
    </w:lvl>
  </w:abstractNum>
  <w:abstractNum w:abstractNumId="2">
    <w:nsid w:val="1F16E9E8"/>
    <w:multiLevelType w:val="hybridMultilevel"/>
    <w:lvl w:ilvl="0">
      <w:lvlJc w:val="left"/>
      <w:lvlText w:val="%1."/>
      <w:numFmt w:val="decimal"/>
      <w:start w:val="6"/>
    </w:lvl>
  </w:abstractNum>
  <w:abstractNum w:abstractNumId="3">
    <w:nsid w:val="1190CDE7"/>
    <w:multiLevelType w:val="hybridMultilevel"/>
    <w:lvl w:ilvl="0">
      <w:lvlJc w:val="left"/>
      <w:lvlText w:val="%1."/>
      <w:numFmt w:val="decimal"/>
      <w:start w:val="7"/>
    </w:lvl>
  </w:abstractNum>
  <w:abstractNum w:abstractNumId="4">
    <w:nsid w:val="66EF438D"/>
    <w:multiLevelType w:val="hybridMultilevel"/>
    <w:lvl w:ilvl="0">
      <w:lvlJc w:val="left"/>
      <w:lvlText w:val="%1."/>
      <w:numFmt w:val="decimal"/>
      <w:start w:val="8"/>
    </w:lvl>
  </w:abstractNum>
  <w:abstractNum w:abstractNumId="5">
    <w:nsid w:val="140E0F76"/>
    <w:multiLevelType w:val="hybridMultilevel"/>
    <w:lvl w:ilvl="0">
      <w:lvlJc w:val="left"/>
      <w:lvlText w:val="%1."/>
      <w:numFmt w:val="decimal"/>
      <w:start w:val="9"/>
    </w:lvl>
  </w:abstractNum>
  <w:abstractNum w:abstractNumId="6">
    <w:nsid w:val="3352255A"/>
    <w:multiLevelType w:val="hybridMultilevel"/>
    <w:lvl w:ilvl="0">
      <w:lvlJc w:val="left"/>
      <w:lvlText w:val="%1."/>
      <w:numFmt w:val="decimal"/>
      <w:start w:val="10"/>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1"/>
    </w:lvl>
  </w:abstractNum>
  <w:abstractNum w:abstractNumId="9">
    <w:nsid w:val="7FDCC233"/>
    <w:multiLevelType w:val="hybridMultilevel"/>
    <w:lvl w:ilvl="0">
      <w:lvlJc w:val="left"/>
      <w:lvlText w:val="%1."/>
      <w:numFmt w:val="decimal"/>
      <w:start w:val="12"/>
    </w:lvl>
  </w:abstractNum>
  <w:abstractNum w:abstractNumId="10">
    <w:nsid w:val="1BEFD79F"/>
    <w:multiLevelType w:val="hybridMultilevel"/>
    <w:lvl w:ilvl="0">
      <w:lvlJc w:val="left"/>
      <w:lvlText w:val="%1."/>
      <w:numFmt w:val="decimal"/>
      <w:start w:val="13"/>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0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upperLetter"/>
      <w:start w:val="1"/>
    </w:lvl>
    <w:lvl w:ilvl="1">
      <w:lvlJc w:val="left"/>
      <w:lvlText w:val="(%2)"/>
      <w:numFmt w:val="decimal"/>
      <w:start w:val="1"/>
    </w:lvl>
  </w:abstractNum>
  <w:abstractNum w:abstractNumId="17">
    <w:nsid w:val="3F2DBA31"/>
    <w:multiLevelType w:val="hybridMultilevel"/>
    <w:lvl w:ilvl="0">
      <w:lvlJc w:val="left"/>
      <w:lvlText w:val="%1."/>
      <w:numFmt w:val="upperLetter"/>
      <w:start w:val="7"/>
    </w:lvl>
    <w:lvl w:ilvl="1">
      <w:lvlJc w:val="left"/>
      <w:lvlText w:val="%2"/>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2019-12-06T04:29:31Z</dcterms:created>
  <dcterms:modified xsi:type="dcterms:W3CDTF">2019-12-06T04:29:31Z</dcterms:modified>
</cp:coreProperties>
</file>