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4140" w:right="2140" w:hanging="4132"/>
        <w:spacing w:after="0" w:line="521"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2011</w:t>
      </w:r>
    </w:p>
    <w:p>
      <w:pPr>
        <w:spacing w:after="0" w:line="1"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NORTHERN TECHNOLOGIES INTERNATIONAL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58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110"/>
              <w:spacing w:after="0"/>
              <w:rPr>
                <w:sz w:val="20"/>
                <w:szCs w:val="20"/>
                <w:color w:val="auto"/>
              </w:rPr>
            </w:pPr>
            <w:r>
              <w:rPr>
                <w:rFonts w:ascii="Arial" w:cs="Arial" w:eastAsia="Arial" w:hAnsi="Arial"/>
                <w:sz w:val="18"/>
                <w:szCs w:val="18"/>
                <w:b w:val="1"/>
                <w:bCs w:val="1"/>
                <w:color w:val="auto"/>
              </w:rPr>
              <w:t>41-0857886</w:t>
            </w:r>
          </w:p>
        </w:tc>
      </w:tr>
      <w:tr>
        <w:trPr>
          <w:trHeight w:val="212"/>
        </w:trPr>
        <w:tc>
          <w:tcPr>
            <w:tcW w:w="584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290"/>
              <w:spacing w:after="0"/>
              <w:rPr>
                <w:sz w:val="20"/>
                <w:szCs w:val="20"/>
                <w:color w:val="auto"/>
              </w:rPr>
            </w:pPr>
            <w:r>
              <w:rPr>
                <w:rFonts w:ascii="Arial" w:cs="Arial" w:eastAsia="Arial" w:hAnsi="Arial"/>
                <w:sz w:val="18"/>
                <w:szCs w:val="18"/>
                <w:color w:val="auto"/>
                <w:w w:val="93"/>
              </w:rPr>
              <w:t>(I.R.S. Employer Identification No.)</w:t>
            </w:r>
          </w:p>
        </w:tc>
      </w:tr>
      <w:tr>
        <w:trPr>
          <w:trHeight w:val="216"/>
        </w:trPr>
        <w:tc>
          <w:tcPr>
            <w:tcW w:w="58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4201 Woodland Road</w:t>
            </w:r>
          </w:p>
        </w:tc>
        <w:tc>
          <w:tcPr>
            <w:tcW w:w="3660" w:type="dxa"/>
            <w:vAlign w:val="bottom"/>
          </w:tcPr>
          <w:p>
            <w:pPr>
              <w:spacing w:after="0"/>
              <w:rPr>
                <w:sz w:val="18"/>
                <w:szCs w:val="18"/>
                <w:color w:val="auto"/>
              </w:rPr>
            </w:pPr>
          </w:p>
        </w:tc>
      </w:tr>
      <w:tr>
        <w:trPr>
          <w:trHeight w:val="216"/>
        </w:trPr>
        <w:tc>
          <w:tcPr>
            <w:tcW w:w="584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P.O. Box 69</w:t>
            </w:r>
          </w:p>
        </w:tc>
        <w:tc>
          <w:tcPr>
            <w:tcW w:w="3660" w:type="dxa"/>
            <w:vAlign w:val="bottom"/>
          </w:tcPr>
          <w:p>
            <w:pPr>
              <w:spacing w:after="0"/>
              <w:rPr>
                <w:sz w:val="18"/>
                <w:szCs w:val="18"/>
                <w:color w:val="auto"/>
              </w:rPr>
            </w:pPr>
          </w:p>
        </w:tc>
      </w:tr>
      <w:tr>
        <w:trPr>
          <w:trHeight w:val="234"/>
        </w:trPr>
        <w:tc>
          <w:tcPr>
            <w:tcW w:w="58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Circle Pines, Minnesota</w:t>
            </w:r>
          </w:p>
        </w:tc>
        <w:tc>
          <w:tcPr>
            <w:tcW w:w="3660" w:type="dxa"/>
            <w:vAlign w:val="bottom"/>
          </w:tcPr>
          <w:p>
            <w:pPr>
              <w:jc w:val="right"/>
              <w:ind w:right="1330"/>
              <w:spacing w:after="0"/>
              <w:rPr>
                <w:sz w:val="20"/>
                <w:szCs w:val="20"/>
                <w:color w:val="auto"/>
              </w:rPr>
            </w:pPr>
            <w:r>
              <w:rPr>
                <w:rFonts w:ascii="Arial" w:cs="Arial" w:eastAsia="Arial" w:hAnsi="Arial"/>
                <w:sz w:val="18"/>
                <w:szCs w:val="18"/>
                <w:b w:val="1"/>
                <w:bCs w:val="1"/>
                <w:color w:val="auto"/>
              </w:rPr>
              <w:t>55014</w:t>
            </w:r>
          </w:p>
        </w:tc>
      </w:tr>
      <w:tr>
        <w:trPr>
          <w:trHeight w:val="270"/>
        </w:trPr>
        <w:tc>
          <w:tcPr>
            <w:tcW w:w="584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290"/>
              <w:spacing w:after="0"/>
              <w:rPr>
                <w:sz w:val="20"/>
                <w:szCs w:val="20"/>
                <w:color w:val="auto"/>
              </w:rPr>
            </w:pPr>
            <w:r>
              <w:rPr>
                <w:rFonts w:ascii="Arial" w:cs="Arial" w:eastAsia="Arial" w:hAnsi="Arial"/>
                <w:sz w:val="18"/>
                <w:szCs w:val="18"/>
                <w:color w:val="auto"/>
                <w:w w:val="94"/>
              </w:rPr>
              <w:t>(Zip Code)</w:t>
            </w:r>
          </w:p>
        </w:tc>
      </w:tr>
      <w:tr>
        <w:trPr>
          <w:trHeight w:val="445"/>
        </w:trPr>
        <w:tc>
          <w:tcPr>
            <w:tcW w:w="5840" w:type="dxa"/>
            <w:vAlign w:val="bottom"/>
          </w:tcPr>
          <w:p>
            <w:pPr>
              <w:jc w:val="center"/>
              <w:ind w:left="3710"/>
              <w:spacing w:after="0"/>
              <w:rPr>
                <w:sz w:val="20"/>
                <w:szCs w:val="20"/>
                <w:color w:val="auto"/>
              </w:rPr>
            </w:pPr>
            <w:r>
              <w:rPr>
                <w:rFonts w:ascii="Arial" w:cs="Arial" w:eastAsia="Arial" w:hAnsi="Arial"/>
                <w:sz w:val="18"/>
                <w:szCs w:val="18"/>
                <w:b w:val="1"/>
                <w:bCs w:val="1"/>
                <w:color w:val="auto"/>
                <w:w w:val="90"/>
              </w:rPr>
              <w:t>(763) 225-6600</w:t>
            </w:r>
          </w:p>
        </w:tc>
        <w:tc>
          <w:tcPr>
            <w:tcW w:w="3660" w:type="dxa"/>
            <w:vAlign w:val="bottom"/>
          </w:tcPr>
          <w:p>
            <w:pPr>
              <w:spacing w:after="0"/>
              <w:rPr>
                <w:sz w:val="24"/>
                <w:szCs w:val="24"/>
                <w:color w:val="auto"/>
              </w:rPr>
            </w:pPr>
          </w:p>
        </w:tc>
      </w:tr>
      <w:tr>
        <w:trPr>
          <w:trHeight w:val="230"/>
        </w:trPr>
        <w:tc>
          <w:tcPr>
            <w:tcW w:w="9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59"/>
        </w:trPr>
        <w:tc>
          <w:tcPr>
            <w:tcW w:w="95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Securities registered under Section 12(b) of the Act:</w:t>
            </w:r>
          </w:p>
        </w:tc>
      </w:tr>
      <w:tr>
        <w:trPr>
          <w:trHeight w:val="441"/>
        </w:trPr>
        <w:tc>
          <w:tcPr>
            <w:tcW w:w="5840" w:type="dxa"/>
            <w:vAlign w:val="bottom"/>
          </w:tcPr>
          <w:p>
            <w:pPr>
              <w:jc w:val="center"/>
              <w:ind w:right="1330"/>
              <w:spacing w:after="0"/>
              <w:rPr>
                <w:sz w:val="20"/>
                <w:szCs w:val="20"/>
                <w:color w:val="auto"/>
              </w:rPr>
            </w:pPr>
            <w:r>
              <w:rPr>
                <w:rFonts w:ascii="Arial" w:cs="Arial" w:eastAsia="Arial" w:hAnsi="Arial"/>
                <w:sz w:val="18"/>
                <w:szCs w:val="18"/>
                <w:color w:val="auto"/>
                <w:w w:val="90"/>
              </w:rPr>
              <w:t>Title of each class</w:t>
            </w:r>
          </w:p>
        </w:tc>
        <w:tc>
          <w:tcPr>
            <w:tcW w:w="3660" w:type="dxa"/>
            <w:vAlign w:val="bottom"/>
          </w:tcPr>
          <w:p>
            <w:pPr>
              <w:jc w:val="center"/>
              <w:ind w:left="39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58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0"/>
              </w:rPr>
              <w:t>Common Stock, par value $0.02 per share</w:t>
            </w:r>
          </w:p>
        </w:tc>
        <w:tc>
          <w:tcPr>
            <w:tcW w:w="3660" w:type="dxa"/>
            <w:vAlign w:val="bottom"/>
          </w:tcPr>
          <w:p>
            <w:pPr>
              <w:jc w:val="center"/>
              <w:ind w:left="390"/>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840" w:type="dxa"/>
            <w:vAlign w:val="bottom"/>
          </w:tcPr>
          <w:p>
            <w:pPr>
              <w:spacing w:after="0"/>
              <w:rPr>
                <w:sz w:val="20"/>
                <w:szCs w:val="20"/>
                <w:color w:val="auto"/>
              </w:rPr>
            </w:pPr>
          </w:p>
        </w:tc>
        <w:tc>
          <w:tcPr>
            <w:tcW w:w="3660" w:type="dxa"/>
            <w:vAlign w:val="bottom"/>
          </w:tcPr>
          <w:p>
            <w:pPr>
              <w:jc w:val="center"/>
              <w:ind w:left="390"/>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 NO [ ]</w:t>
      </w:r>
    </w:p>
    <w:p>
      <w:pPr>
        <w:spacing w:after="0" w:line="181" w:lineRule="exact"/>
        <w:rPr>
          <w:sz w:val="24"/>
          <w:szCs w:val="24"/>
          <w:color w:val="auto"/>
        </w:rPr>
      </w:pPr>
    </w:p>
    <w:p>
      <w:pPr>
        <w:jc w:val="both"/>
        <w:ind w:right="74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0" w:right="239" w:bottom="0" w:gutter="0" w:footer="0" w:header="0"/>
        </w:sectPr>
      </w:pPr>
    </w:p>
    <w:p>
      <w:pPr>
        <w:spacing w:after="0" w:line="124" w:lineRule="exact"/>
        <w:rPr>
          <w:sz w:val="24"/>
          <w:szCs w:val="24"/>
          <w:color w:val="auto"/>
        </w:rPr>
      </w:pPr>
    </w:p>
    <w:p>
      <w:pPr>
        <w:ind w:left="46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 ]</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4">
            <w:col w:w="2340" w:space="580"/>
            <w:col w:w="1460" w:space="440"/>
            <w:col w:w="3340" w:space="680"/>
            <w:col w:w="2580"/>
          </w:cols>
          <w:pgMar w:left="240" w:top="220"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registrant is a shell company (as defined in Rule 12b-2 of the Act). YES [ ] NO [x]</w:t>
      </w:r>
    </w:p>
    <w:p>
      <w:pPr>
        <w:spacing w:after="0" w:line="225"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28, 2011 (the last business day of the registrant’s second fiscal quarter) as reported by the NASDAQ Global Market on that date was $58.6 million.</w:t>
      </w:r>
    </w:p>
    <w:p>
      <w:pPr>
        <w:spacing w:after="0" w:line="1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18, 2011, 4,397,324 shares of common stock of the registrant were outstanding.</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2012 Annual Meeting of Stockholders to be held February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80" w:type="dxa"/>
            <w:vAlign w:val="bottom"/>
            <w:gridSpan w:val="18"/>
          </w:tcPr>
          <w:p>
            <w:pPr>
              <w:jc w:val="center"/>
              <w:ind w:right="192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2"/>
          </w:tcPr>
          <w:p>
            <w:pPr>
              <w:jc w:val="center"/>
              <w:ind w:right="3260"/>
              <w:spacing w:after="0"/>
              <w:rPr>
                <w:sz w:val="20"/>
                <w:szCs w:val="20"/>
                <w:color w:val="auto"/>
              </w:rPr>
            </w:pPr>
            <w:r>
              <w:rPr>
                <w:rFonts w:ascii="Arial" w:cs="Arial" w:eastAsia="Arial" w:hAnsi="Arial"/>
                <w:sz w:val="18"/>
                <w:szCs w:val="18"/>
                <w:b w:val="1"/>
                <w:bCs w:val="1"/>
                <w:color w:val="auto"/>
                <w:w w:val="99"/>
              </w:rPr>
              <w:t>ANNUAL REPORT ON FORM 10-K</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20" w:type="dxa"/>
            <w:vAlign w:val="bottom"/>
            <w:gridSpan w:val="15"/>
          </w:tcPr>
          <w:p>
            <w:pPr>
              <w:jc w:val="center"/>
              <w:ind w:right="3000"/>
              <w:spacing w:after="0"/>
              <w:rPr>
                <w:sz w:val="20"/>
                <w:szCs w:val="20"/>
                <w:color w:val="auto"/>
              </w:rPr>
            </w:pPr>
            <w:r>
              <w:rPr>
                <w:rFonts w:ascii="Arial" w:cs="Arial" w:eastAsia="Arial" w:hAnsi="Arial"/>
                <w:sz w:val="18"/>
                <w:szCs w:val="18"/>
                <w:b w:val="1"/>
                <w:bCs w:val="1"/>
                <w:color w:val="auto"/>
                <w:w w:val="97"/>
              </w:rPr>
              <w:t>FISCAL YEAR ENDED AUGUST 31, 2011</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10"/>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gridSpan w:val="5"/>
            <w:vMerge w:val="restart"/>
          </w:tcPr>
          <w:p>
            <w:pPr>
              <w:ind w:left="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Item</w:t>
              </w:r>
            </w:hyperlink>
          </w:p>
        </w:tc>
        <w:tc>
          <w:tcPr>
            <w:tcW w:w="66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1A.</w:t>
              </w:r>
            </w:hyperlink>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Item</w:t>
              </w:r>
            </w:hyperlink>
          </w:p>
        </w:tc>
        <w:tc>
          <w:tcPr>
            <w:tcW w:w="66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1B.</w:t>
              </w:r>
            </w:hyperlink>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2.</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4.</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[REMOVED AND RESERVED]</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Item</w:t>
              </w:r>
            </w:hyperlink>
          </w:p>
        </w:tc>
        <w:tc>
          <w:tcPr>
            <w:tcW w:w="66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4A.</w:t>
              </w:r>
            </w:hyperlink>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EXECUTIVE OFFICERS OF THE REGISTRANT</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5"/>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5.</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PURCHASES OF EQUITY SECURITIES</w:t>
              </w:r>
            </w:hyperlink>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6.</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7.</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78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OPERATIONS</w:t>
              </w:r>
            </w:hyperlink>
          </w:p>
        </w:tc>
        <w:tc>
          <w:tcPr>
            <w:tcW w:w="1020" w:type="dxa"/>
            <w:vAlign w:val="bottom"/>
            <w:tcBorders>
              <w:top w:val="single" w:sz="8" w:color="CCEEFF"/>
            </w:tcBorders>
            <w:gridSpan w:val="4"/>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Item</w:t>
              </w:r>
            </w:hyperlink>
          </w:p>
        </w:tc>
        <w:tc>
          <w:tcPr>
            <w:tcW w:w="66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7A.</w:t>
              </w:r>
            </w:hyperlink>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8.</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Item</w:t>
              </w:r>
            </w:hyperlink>
          </w:p>
        </w:tc>
        <w:tc>
          <w:tcPr>
            <w:tcW w:w="240" w:type="dxa"/>
            <w:vAlign w:val="bottom"/>
            <w:gridSpan w:val="2"/>
            <w:shd w:val="clear" w:color="auto" w:fill="CCEEFF"/>
          </w:tcPr>
          <w:p>
            <w:pPr>
              <w:ind w:left="2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9.</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94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DISCLOSURE</w:t>
              </w:r>
            </w:hyperlink>
          </w:p>
        </w:tc>
        <w:tc>
          <w:tcPr>
            <w:tcW w:w="860" w:type="dxa"/>
            <w:vAlign w:val="bottom"/>
            <w:tcBorders>
              <w:top w:val="single" w:sz="8" w:color="CCEEFF"/>
            </w:tcBorders>
            <w:gridSpan w:val="3"/>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Item</w:t>
              </w:r>
            </w:hyperlink>
          </w:p>
        </w:tc>
        <w:tc>
          <w:tcPr>
            <w:tcW w:w="66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9A.</w:t>
              </w:r>
            </w:hyperlink>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82">
              <w:r>
                <w:rPr>
                  <w:rFonts w:ascii="Arial" w:cs="Arial" w:eastAsia="Arial" w:hAnsi="Arial"/>
                  <w:sz w:val="18"/>
                  <w:szCs w:val="18"/>
                  <w:color w:val="0000EE"/>
                  <w:w w:val="85"/>
                </w:rPr>
                <w:t>Item</w:t>
              </w:r>
            </w:hyperlink>
          </w:p>
        </w:tc>
        <w:tc>
          <w:tcPr>
            <w:tcW w:w="66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9B.</w:t>
              </w:r>
            </w:hyperlink>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5"/>
            <w:shd w:val="clear" w:color="auto" w:fill="CCEEFF"/>
          </w:tcPr>
          <w:p>
            <w:pPr>
              <w:jc w:val="right"/>
              <w:ind w:right="20"/>
              <w:spacing w:after="0" w:line="17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PART III</w:t>
              </w:r>
            </w:hyperlink>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84">
              <w:r>
                <w:rPr>
                  <w:rFonts w:ascii="Arial" w:cs="Arial" w:eastAsia="Arial" w:hAnsi="Arial"/>
                  <w:sz w:val="18"/>
                  <w:szCs w:val="18"/>
                  <w:color w:val="0000EE"/>
                  <w:w w:val="85"/>
                </w:rPr>
                <w:t>Item</w:t>
              </w:r>
            </w:hyperlink>
          </w:p>
        </w:tc>
        <w:tc>
          <w:tcPr>
            <w:tcW w:w="280" w:type="dxa"/>
            <w:vAlign w:val="bottom"/>
            <w:gridSpan w:val="4"/>
            <w:shd w:val="clear" w:color="auto" w:fill="CCEEFF"/>
          </w:tcPr>
          <w:p>
            <w:pPr>
              <w:ind w:left="20"/>
              <w:spacing w:after="0" w:line="17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10.</w:t>
              </w:r>
            </w:hyperlink>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DIRECTORS, EXECUTIVE OFFICERS AND CORPORATE GOVERNANCE</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84">
              <w:r>
                <w:rPr>
                  <w:rFonts w:ascii="Arial" w:cs="Arial" w:eastAsia="Arial" w:hAnsi="Arial"/>
                  <w:sz w:val="18"/>
                  <w:szCs w:val="18"/>
                  <w:color w:val="0000EE"/>
                  <w:w w:val="85"/>
                </w:rPr>
                <w:t>Item</w:t>
              </w:r>
            </w:hyperlink>
          </w:p>
        </w:tc>
        <w:tc>
          <w:tcPr>
            <w:tcW w:w="260" w:type="dxa"/>
            <w:vAlign w:val="bottom"/>
            <w:gridSpan w:val="3"/>
            <w:shd w:val="clear" w:color="auto" w:fill="CCEEFF"/>
          </w:tcPr>
          <w:p>
            <w:pPr>
              <w:ind w:left="20"/>
              <w:spacing w:after="0" w:line="17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11.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80" w:type="dxa"/>
            <w:vAlign w:val="bottom"/>
            <w:gridSpan w:val="23"/>
            <w:shd w:val="clear" w:color="auto" w:fill="CCEEFF"/>
          </w:tcPr>
          <w:p>
            <w:pPr>
              <w:ind w:left="38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EXECUTIVE COMPENSATION</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0000EE"/>
            </w:tcBorders>
            <w:gridSpan w:val="4"/>
            <w:shd w:val="clear" w:color="auto" w:fill="CCEEFF"/>
          </w:tcPr>
          <w:p>
            <w:pPr>
              <w:jc w:val="right"/>
              <w:ind w:right="20"/>
              <w:spacing w:after="0" w:line="176"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Item</w:t>
              </w:r>
            </w:hyperlink>
          </w:p>
        </w:tc>
        <w:tc>
          <w:tcPr>
            <w:tcW w:w="260" w:type="dxa"/>
            <w:vAlign w:val="bottom"/>
            <w:tcBorders>
              <w:bottom w:val="single" w:sz="8" w:color="0000EE"/>
            </w:tcBorders>
            <w:gridSpan w:val="3"/>
            <w:shd w:val="clear" w:color="auto" w:fill="CCEEFF"/>
          </w:tcPr>
          <w:p>
            <w:pPr>
              <w:ind w:left="20"/>
              <w:spacing w:after="0" w:line="17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12.</w:t>
              </w:r>
            </w:hyperlink>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SECURITY OWNERSHIP OF CERTAIN BENEFICIAL OWNERS AND MANAGEMENT AND RELATED</w:t>
              </w:r>
            </w:hyperlink>
          </w:p>
        </w:tc>
        <w:tc>
          <w:tcPr>
            <w:tcW w:w="780" w:type="dxa"/>
            <w:vAlign w:val="bottom"/>
            <w:tcBorders>
              <w:bottom w:val="single" w:sz="8" w:color="CCEEFF"/>
            </w:tcBorders>
            <w:gridSpan w:val="2"/>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180" w:type="dxa"/>
            <w:vAlign w:val="bottom"/>
            <w:gridSpan w:val="23"/>
            <w:shd w:val="clear" w:color="auto" w:fill="CCEEFF"/>
          </w:tcPr>
          <w:p>
            <w:pPr>
              <w:ind w:left="38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STOCKHOLDER MATTERS</w:t>
              </w:r>
            </w:hyperlink>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5"/>
        </w:trPr>
        <w:tc>
          <w:tcPr>
            <w:tcW w:w="2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13.</w:t>
              </w:r>
            </w:hyperlink>
          </w:p>
        </w:tc>
        <w:tc>
          <w:tcPr>
            <w:tcW w:w="9820" w:type="dxa"/>
            <w:vAlign w:val="bottom"/>
            <w:gridSpan w:val="5"/>
            <w:shd w:val="clear" w:color="auto" w:fill="CCEEFF"/>
          </w:tcPr>
          <w:p>
            <w:pPr>
              <w:ind w:left="300"/>
              <w:spacing w:after="0"/>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 AND DIRECTOR INDEPENDENCE</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6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14.</w:t>
              </w:r>
            </w:hyperlink>
          </w:p>
        </w:tc>
        <w:tc>
          <w:tcPr>
            <w:tcW w:w="9820" w:type="dxa"/>
            <w:vAlign w:val="bottom"/>
            <w:gridSpan w:val="5"/>
            <w:shd w:val="clear" w:color="auto" w:fill="CCEEFF"/>
          </w:tcPr>
          <w:p>
            <w:pPr>
              <w:ind w:left="30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180" w:type="dxa"/>
            <w:vAlign w:val="bottom"/>
            <w:shd w:val="clear" w:color="auto" w:fill="CCEEFF"/>
          </w:tcPr>
          <w:p>
            <w:pPr>
              <w:jc w:val="right"/>
              <w:spacing w:after="0" w:line="17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9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0" w:type="dxa"/>
            <w:vAlign w:val="bottom"/>
            <w:gridSpan w:val="5"/>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PART IV</w:t>
              </w:r>
            </w:hyperlink>
          </w:p>
        </w:tc>
        <w:tc>
          <w:tcPr>
            <w:tcW w:w="3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7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15.</w:t>
              </w:r>
            </w:hyperlink>
          </w:p>
        </w:tc>
        <w:tc>
          <w:tcPr>
            <w:tcW w:w="9820" w:type="dxa"/>
            <w:vAlign w:val="bottom"/>
            <w:gridSpan w:val="5"/>
            <w:shd w:val="clear" w:color="auto" w:fill="CCEEFF"/>
          </w:tcPr>
          <w:p>
            <w:pPr>
              <w:ind w:left="30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EXHIBITS, FINANCIAL STATEMENT SCHEDULES</w:t>
              </w:r>
            </w:hyperlink>
          </w:p>
        </w:tc>
        <w:tc>
          <w:tcPr>
            <w:tcW w:w="180" w:type="dxa"/>
            <w:vAlign w:val="bottom"/>
            <w:shd w:val="clear" w:color="auto" w:fill="CCEEFF"/>
          </w:tcPr>
          <w:p>
            <w:pPr>
              <w:jc w:val="right"/>
              <w:spacing w:after="0" w:line="17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0" w:type="dxa"/>
            <w:vAlign w:val="bottom"/>
            <w:gridSpan w:val="5"/>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3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7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00" w:type="dxa"/>
            <w:vAlign w:val="bottom"/>
            <w:tcBorders>
              <w:top w:val="single" w:sz="8" w:color="CCEEFF"/>
            </w:tcBorders>
            <w:gridSpan w:val="4"/>
          </w:tcPr>
          <w:p>
            <w:pPr>
              <w:jc w:val="right"/>
              <w:ind w:right="3040"/>
              <w:spacing w:after="0"/>
              <w:rPr>
                <w:sz w:val="20"/>
                <w:szCs w:val="20"/>
                <w:color w:val="auto"/>
              </w:rPr>
            </w:pPr>
            <w:r>
              <w:rPr>
                <w:rFonts w:ascii="Arial" w:cs="Arial" w:eastAsia="Arial" w:hAnsi="Arial"/>
                <w:sz w:val="18"/>
                <w:szCs w:val="18"/>
                <w:color w:val="auto"/>
              </w:rPr>
              <w:t>_______________</w:t>
            </w:r>
          </w:p>
        </w:tc>
        <w:tc>
          <w:tcPr>
            <w:tcW w:w="18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“Item 1. Business – Forward-Looking Statements.”</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subsidiary, Zerust Prevenção de Corrosão S.A., all of which are consolidated on NTIC’s consolidated financial statements. NTIC’s consolidated financial statements do not include the accounts of any of its joint ventures.</w:t>
      </w:r>
    </w:p>
    <w:p>
      <w:pPr>
        <w:spacing w:after="0" w:line="21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References in this report to NTIC’s joint ventures do not include NTIC’s majority owned Brazilian subsidiary, Zerust Prevenção de Corrosão S.A. As used in this report, references to “Zerust Brazil” refer to NTIC’s majority owned Brazilian subsidiary, Zerust Prevenção de Corrosão S.A. As used in this report, references to “EXCOR” refer to NTIC’s primary joint venture in Germany, Excor Korrosionsschutz – Technologien und Produkte GmbH, references to “NTI ASEAN” refer to NTIC’s joint venture holding company for NTIC’s joint venture investments in the Association of Southeast Asian Nations (ASEAN) region, NTI ASEAN, LLC, and references to “HNTI” refer to NTIC’s joint venture in India, Harita NTI Limited.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Northern Technologies International Corporation develops and markets proprietary environmentally beneficial products and services in over 55 countries either directly or via a network of joint ventures, independent distributors and agents. NTIC’s primary business is corrosion prevention marketed mainly under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NTIC has been selling its proprietary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the automotive, agriculture,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These products are intended to reduce NTIC’s customers’ carbon footprint and provide environmentally sound disposal options.</w:t>
      </w:r>
    </w:p>
    <w:p>
      <w:pPr>
        <w:spacing w:after="0" w:line="102"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In fiscal 2011, 95.0% of NTIC’s consolidated net sales were derived from the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through a direct sales force as well as a network of independent distributors and agents. Internationally, NTIC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through its majority owned Brazilian subsidiary, Zerust Prevenção de Corrosão S.A. (Zerust Brazil), and joint venture arrangements in North America, Europe and Asia.</w:t>
      </w:r>
    </w:p>
    <w:p>
      <w:pPr>
        <w:spacing w:after="0" w:line="230" w:lineRule="exact"/>
        <w:rPr>
          <w:sz w:val="20"/>
          <w:szCs w:val="20"/>
          <w:color w:val="auto"/>
        </w:rPr>
      </w:pPr>
    </w:p>
    <w:p>
      <w:pPr>
        <w:jc w:val="both"/>
        <w:ind w:right="40"/>
        <w:spacing w:after="0" w:line="247" w:lineRule="auto"/>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For the past several years, NTIC has focused its sales and marketing efforts on the oil and gas industry since the infrastructure that supports that industry is typically constructed using metals that are highly susceptible to corrosion and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will minimize maintenance downtime on critical oil and gas industry infrastructure, extend the life of such infrastructure and reduce the risk of environmental pollution due to corrosion</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leaks. Petroleo Brasileiro S.A. (Petrobras), an oil company located in Brazil, has conducted extensive multi-year product field trials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During fiscal 2010, Zerust Brazil received a Phase I contract for an initial implementation of $1.4 million (BRL$ 2.5 million) in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to help protect Petrobras’s off-shore oil production platforms from corrosion damage. During fiscal 2011, Zerust Brazil received a Phase 2 expanded contract with Petrobras to supply an additional $2.6 million (BRL$ 4.21 million) in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NTIC is also pursuing opportunities to market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prevention solutions to other potential customers in the oil and gas industry across several countries through NTIC’s joint venture partners and other strategic partners and alliances. NTIC has entered into various agreements to provide sales and marketing services for NTIC’s oil and gas industry specific corrosion prevention solutions with a particular focus on the markets in North America, South America, the Middle East and Asia. NTIC believes the sale of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to customers in the oil and gas industry will involve a long sales cycle, likely including a one- to two-year trial period with each customer and a slow integration process thereafter.</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5" w:name="page6"/>
    <w:bookmarkEnd w:id="5"/>
    <w:p>
      <w:pPr>
        <w:ind w:right="100"/>
        <w:spacing w:after="0" w:line="232" w:lineRule="auto"/>
        <w:rPr>
          <w:sz w:val="20"/>
          <w:szCs w:val="20"/>
          <w:color w:val="auto"/>
        </w:rPr>
      </w:pPr>
      <w:r>
        <w:rPr>
          <w:rFonts w:ascii="Arial" w:cs="Arial" w:eastAsia="Arial" w:hAnsi="Arial"/>
          <w:sz w:val="17"/>
          <w:szCs w:val="17"/>
          <w:color w:val="auto"/>
        </w:rPr>
        <w:t>NTIC’s consolidated net sales for fiscal 2011 included $984,004 in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resin compounds and finished products.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bio-based and biodegradable plastics are manufactured using NTIC’s patented and/or proprietary technologies and are intended to replace conventional petroleum-based plastics.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bioplastics portfolio includes biopolymer resin compounds which are available in several grades tailored for a variety of applications, such as blown-film extrusion, extrusion coating, injection molding and rigid, engineered plastics, and finished products, including shopping and grocery bags, lawn and leaf bags, can liners, pet waste collection bags, cutlery, packaging foam and coated paper products, which are engineered to be fully biodegradable in a composting environment in accordance with ASTM D6400 and as certified by the Biodegradable Products Institute (BPI). In North America, NTIC markets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primarily through a network of independent distributors and agents. Internationally, NTIC sells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both directly and through some of its joint venture arrangements, including in particular its joint venture in India, Harita NTI Limited (HNTI).</w:t>
      </w:r>
    </w:p>
    <w:p>
      <w:pPr>
        <w:spacing w:after="0" w:line="230"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In fiscal 2011, NTIC and HNTI signed a memorandum of understanding with the Indian conglomerate ITC Limited to jointly develop and commercialize biopolymer extrusion coated paper products targeted at the consumer goods packaging market in India. The companies are jointly developing solutions in the Indian market towards providing biodegradable/compostable products such as food service ware, food packaging, personal care product packaging and other fast-moving consumer goods packaging. The biopolymer resin compounds will be manufactured by HNTI for integration with paper manufactured by ITC’s Paperboards and Specialty Papers Division. In addition, during fiscal 2011, NTIC entered into an agreement with Italy-based Naturfuels s.r.l. to distribute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materials and products in the Italian and Swiss markets. Under the terms of the distribution agreement, NTIC will supply Naturfuels with NTIC’s patented high-strength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film grade resin compounds to be used for the production of bio-plastic shopping and garbage bags on conventional plastic film production equipment in fiscal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5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NTIC participates, either directly or indirectly, in 24 active joint venture arrangements in North America, Europe and Asia. Each of these joint ventures generally manufactures and markets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Although Zerust Brazil was originally formed as a joint venture with NTIC, it is no longer considered a joint venture, but rather a majority owned subsidiary of NTIC and unlike NTIC’s joint ventures, Zerust Brazil’s results are consolidated on NTIC’s consolidated financial statements.</w:t>
      </w:r>
    </w:p>
    <w:p>
      <w:pPr>
        <w:spacing w:after="0" w:line="220"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While most of NTIC’s joint ventures exclusively sell rust and corrosion inhibiting products, some of NTIC’s joint ventures sell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and NTIC’s Polymer Energy LLC joint venture manufactures and sells Polymer Energy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equipment that converts waste plastic into diesel, gasoline and heavy fractions.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list of NTIC’s operating joint ventures as of November 18, 2011,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Joint Venture Name</w:t>
            </w:r>
          </w:p>
        </w:tc>
        <w:tc>
          <w:tcPr>
            <w:tcW w:w="2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5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TAIYONIC LTD.</w:t>
            </w:r>
          </w:p>
        </w:tc>
        <w:tc>
          <w:tcPr>
            <w:tcW w:w="27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c>
          <w:tcPr>
            <w:tcW w:w="56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ACOBAL SAS</w:t>
            </w: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2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line="229" w:lineRule="exact"/>
              <w:rPr>
                <w:sz w:val="20"/>
                <w:szCs w:val="20"/>
                <w:color w:val="auto"/>
              </w:rPr>
            </w:pPr>
            <w:r>
              <w:rPr>
                <w:rFonts w:ascii="Arial" w:cs="Arial" w:eastAsia="Arial" w:hAnsi="Arial"/>
                <w:sz w:val="18"/>
                <w:szCs w:val="18"/>
                <w:color w:val="auto"/>
                <w:w w:val="86"/>
              </w:rPr>
              <w:t>Taiwan</w:t>
            </w:r>
            <w:r>
              <w:rPr>
                <w:rFonts w:ascii="Arial" w:cs="Arial" w:eastAsia="Arial" w:hAnsi="Arial"/>
                <w:sz w:val="25"/>
                <w:szCs w:val="25"/>
                <w:color w:val="auto"/>
                <w:w w:val="86"/>
                <w:vertAlign w:val="superscript"/>
              </w:rPr>
              <w:t>(1)</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25%</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EXCOR GMBH</w:t>
            </w: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2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line="229" w:lineRule="exact"/>
              <w:rPr>
                <w:sz w:val="20"/>
                <w:szCs w:val="20"/>
                <w:color w:val="auto"/>
              </w:rPr>
            </w:pPr>
            <w:r>
              <w:rPr>
                <w:rFonts w:ascii="Arial" w:cs="Arial" w:eastAsia="Arial" w:hAnsi="Arial"/>
                <w:sz w:val="18"/>
                <w:szCs w:val="18"/>
                <w:color w:val="auto"/>
                <w:w w:val="85"/>
              </w:rPr>
              <w:t>Singapore</w:t>
            </w:r>
            <w:r>
              <w:rPr>
                <w:rFonts w:ascii="Arial" w:cs="Arial" w:eastAsia="Arial" w:hAnsi="Arial"/>
                <w:sz w:val="25"/>
                <w:szCs w:val="25"/>
                <w:color w:val="auto"/>
                <w:w w:val="85"/>
                <w:vertAlign w:val="superscript"/>
              </w:rPr>
              <w:t>(1)</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60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60" w:type="dxa"/>
            <w:vAlign w:val="bottom"/>
          </w:tcPr>
          <w:p>
            <w:pPr>
              <w:jc w:val="right"/>
              <w:ind w:right="101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4080" w:type="dxa"/>
            <w:vAlign w:val="bottom"/>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Joint Venture Name</w:t>
            </w:r>
          </w:p>
        </w:tc>
        <w:tc>
          <w:tcPr>
            <w:tcW w:w="5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5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ZERUST AB</w:t>
            </w:r>
          </w:p>
        </w:tc>
        <w:tc>
          <w:tcPr>
            <w:tcW w:w="58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Sweden</w:t>
            </w:r>
          </w:p>
        </w:tc>
        <w:tc>
          <w:tcPr>
            <w:tcW w:w="56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MOSTNIC</w:t>
            </w: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Russia</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KOREA ZERUST CO., LTD.</w:t>
            </w: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South Korea</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25%</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ZERUST OY</w:t>
            </w: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Finland</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ZERUST (U.K.) LTD.</w:t>
            </w: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EXCOR-ZERUST S.R.O.</w:t>
            </w: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Czech Republic</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EXCOR SP. Z.O.O.</w:t>
            </w: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Poland</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ZERUST SPECIALTY TECH CO. LTD.</w:t>
            </w:r>
          </w:p>
        </w:tc>
        <w:tc>
          <w:tcPr>
            <w:tcW w:w="580" w:type="dxa"/>
            <w:vAlign w:val="bottom"/>
          </w:tcPr>
          <w:p>
            <w:pPr>
              <w:spacing w:after="0"/>
              <w:rPr>
                <w:sz w:val="19"/>
                <w:szCs w:val="19"/>
                <w:color w:val="auto"/>
              </w:rPr>
            </w:pPr>
          </w:p>
        </w:tc>
        <w:tc>
          <w:tcPr>
            <w:tcW w:w="1720" w:type="dxa"/>
            <w:vAlign w:val="bottom"/>
          </w:tcPr>
          <w:p>
            <w:pPr>
              <w:jc w:val="center"/>
              <w:spacing w:after="0" w:line="229" w:lineRule="exact"/>
              <w:rPr>
                <w:sz w:val="20"/>
                <w:szCs w:val="20"/>
                <w:color w:val="auto"/>
              </w:rPr>
            </w:pPr>
            <w:r>
              <w:rPr>
                <w:rFonts w:ascii="Arial" w:cs="Arial" w:eastAsia="Arial" w:hAnsi="Arial"/>
                <w:sz w:val="18"/>
                <w:szCs w:val="18"/>
                <w:color w:val="auto"/>
                <w:w w:val="89"/>
              </w:rPr>
              <w:t>Thailand</w:t>
            </w:r>
            <w:r>
              <w:rPr>
                <w:rFonts w:ascii="Arial" w:cs="Arial" w:eastAsia="Arial" w:hAnsi="Arial"/>
                <w:sz w:val="25"/>
                <w:szCs w:val="25"/>
                <w:color w:val="auto"/>
                <w:w w:val="89"/>
                <w:vertAlign w:val="superscript"/>
              </w:rPr>
              <w:t>(1)</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25%</w:t>
            </w: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TIANJIN ZERUST CO.</w:t>
            </w: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line="229" w:lineRule="exact"/>
              <w:rPr>
                <w:sz w:val="20"/>
                <w:szCs w:val="20"/>
                <w:color w:val="auto"/>
              </w:rPr>
            </w:pPr>
            <w:r>
              <w:rPr>
                <w:rFonts w:ascii="Arial" w:cs="Arial" w:eastAsia="Arial" w:hAnsi="Arial"/>
                <w:sz w:val="18"/>
                <w:szCs w:val="18"/>
                <w:color w:val="auto"/>
                <w:w w:val="83"/>
              </w:rPr>
              <w:t>China</w:t>
            </w:r>
            <w:r>
              <w:rPr>
                <w:rFonts w:ascii="Arial" w:cs="Arial" w:eastAsia="Arial" w:hAnsi="Arial"/>
                <w:sz w:val="25"/>
                <w:szCs w:val="25"/>
                <w:color w:val="auto"/>
                <w:w w:val="83"/>
                <w:vertAlign w:val="superscript"/>
              </w:rPr>
              <w:t>(1)</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25%</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HARITA NTI LIMITED</w:t>
            </w: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CHONG WAH-NTIA SDN. BHD.</w:t>
            </w: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line="229" w:lineRule="exact"/>
              <w:rPr>
                <w:sz w:val="20"/>
                <w:szCs w:val="20"/>
                <w:color w:val="auto"/>
              </w:rPr>
            </w:pPr>
            <w:r>
              <w:rPr>
                <w:rFonts w:ascii="Arial" w:cs="Arial" w:eastAsia="Arial" w:hAnsi="Arial"/>
                <w:sz w:val="18"/>
                <w:szCs w:val="18"/>
                <w:color w:val="auto"/>
                <w:w w:val="87"/>
              </w:rPr>
              <w:t>Malaysia</w:t>
            </w:r>
            <w:r>
              <w:rPr>
                <w:rFonts w:ascii="Arial" w:cs="Arial" w:eastAsia="Arial" w:hAnsi="Arial"/>
                <w:sz w:val="25"/>
                <w:szCs w:val="25"/>
                <w:color w:val="auto"/>
                <w:w w:val="87"/>
                <w:vertAlign w:val="superscript"/>
              </w:rPr>
              <w:t>(1)</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25%</w:t>
            </w: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NTIA ZERUST PHILIPPINES, INC.</w:t>
            </w:r>
          </w:p>
        </w:tc>
        <w:tc>
          <w:tcPr>
            <w:tcW w:w="580" w:type="dxa"/>
            <w:vAlign w:val="bottom"/>
          </w:tcPr>
          <w:p>
            <w:pPr>
              <w:spacing w:after="0"/>
              <w:rPr>
                <w:sz w:val="19"/>
                <w:szCs w:val="19"/>
                <w:color w:val="auto"/>
              </w:rPr>
            </w:pPr>
          </w:p>
        </w:tc>
        <w:tc>
          <w:tcPr>
            <w:tcW w:w="1720" w:type="dxa"/>
            <w:vAlign w:val="bottom"/>
          </w:tcPr>
          <w:p>
            <w:pPr>
              <w:jc w:val="center"/>
              <w:spacing w:after="0" w:line="229" w:lineRule="exact"/>
              <w:rPr>
                <w:sz w:val="20"/>
                <w:szCs w:val="20"/>
                <w:color w:val="auto"/>
              </w:rPr>
            </w:pPr>
            <w:r>
              <w:rPr>
                <w:rFonts w:ascii="Arial" w:cs="Arial" w:eastAsia="Arial" w:hAnsi="Arial"/>
                <w:sz w:val="18"/>
                <w:szCs w:val="18"/>
                <w:color w:val="auto"/>
                <w:w w:val="89"/>
              </w:rPr>
              <w:t>Philippines</w:t>
            </w:r>
            <w:r>
              <w:rPr>
                <w:rFonts w:ascii="Arial" w:cs="Arial" w:eastAsia="Arial" w:hAnsi="Arial"/>
                <w:sz w:val="25"/>
                <w:szCs w:val="25"/>
                <w:color w:val="auto"/>
                <w:w w:val="89"/>
                <w:vertAlign w:val="superscript"/>
              </w:rPr>
              <w:t>(1)</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25%</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FIBRO NTI JOINT STOCK CO.</w:t>
            </w: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Turkey</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ZERUST CONSUMER PRODUCTS, LLC</w:t>
            </w: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POLYMER ENERGY LLC</w:t>
            </w:r>
            <w:r>
              <w:rPr>
                <w:rFonts w:ascii="Arial" w:cs="Arial" w:eastAsia="Arial" w:hAnsi="Arial"/>
                <w:sz w:val="25"/>
                <w:szCs w:val="25"/>
                <w:color w:val="auto"/>
                <w:vertAlign w:val="superscript"/>
              </w:rPr>
              <w:t>(2)</w:t>
            </w: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62.5%</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ZERUST – DNEPR</w:t>
            </w: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PT. CHEMINDO – NTIA</w:t>
            </w: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line="229" w:lineRule="exact"/>
              <w:rPr>
                <w:sz w:val="20"/>
                <w:szCs w:val="20"/>
                <w:color w:val="auto"/>
              </w:rPr>
            </w:pPr>
            <w:r>
              <w:rPr>
                <w:rFonts w:ascii="Arial" w:cs="Arial" w:eastAsia="Arial" w:hAnsi="Arial"/>
                <w:sz w:val="18"/>
                <w:szCs w:val="18"/>
                <w:color w:val="auto"/>
                <w:w w:val="85"/>
              </w:rPr>
              <w:t>Indonesia</w:t>
            </w:r>
            <w:r>
              <w:rPr>
                <w:rFonts w:ascii="Arial" w:cs="Arial" w:eastAsia="Arial" w:hAnsi="Arial"/>
                <w:sz w:val="25"/>
                <w:szCs w:val="25"/>
                <w:color w:val="auto"/>
                <w:w w:val="85"/>
                <w:vertAlign w:val="superscript"/>
              </w:rPr>
              <w:t>(1)</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25%</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LENPROMTECHNOLOGIES, LLC</w:t>
            </w:r>
          </w:p>
        </w:tc>
        <w:tc>
          <w:tcPr>
            <w:tcW w:w="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Russia</w:t>
            </w:r>
          </w:p>
        </w:tc>
        <w:tc>
          <w:tcPr>
            <w:tcW w:w="226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50%</w:t>
            </w: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MUTEC GMBH</w:t>
            </w: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line="229" w:lineRule="exact"/>
              <w:rPr>
                <w:sz w:val="20"/>
                <w:szCs w:val="20"/>
                <w:color w:val="auto"/>
              </w:rPr>
            </w:pPr>
            <w:r>
              <w:rPr>
                <w:rFonts w:ascii="Arial" w:cs="Arial" w:eastAsia="Arial" w:hAnsi="Arial"/>
                <w:sz w:val="18"/>
                <w:szCs w:val="18"/>
                <w:color w:val="auto"/>
                <w:w w:val="84"/>
              </w:rPr>
              <w:t>Germany</w:t>
            </w:r>
            <w:r>
              <w:rPr>
                <w:rFonts w:ascii="Arial" w:cs="Arial" w:eastAsia="Arial" w:hAnsi="Arial"/>
                <w:sz w:val="25"/>
                <w:szCs w:val="25"/>
                <w:color w:val="auto"/>
                <w:w w:val="84"/>
                <w:vertAlign w:val="superscript"/>
              </w:rPr>
              <w:t>(3)</w:t>
            </w:r>
          </w:p>
        </w:tc>
        <w:tc>
          <w:tcPr>
            <w:tcW w:w="22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44%</w:t>
            </w:r>
          </w:p>
        </w:tc>
      </w:tr>
      <w:tr>
        <w:trPr>
          <w:trHeight w:val="218"/>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____________________</w:t>
            </w: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Indirect ownership interest through NTI ASEAN, LLC.</w:t>
      </w:r>
    </w:p>
    <w:p>
      <w:pPr>
        <w:spacing w:after="0" w:line="7"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Polymer Energy LLC had immaterial activity in fiscal 2011 and fiscal 2010 and is not fully consolidated on NTIC’s consolidated financial statements.</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Indirect ownership through Northern Instruments Corporation LLC.</w:t>
      </w:r>
    </w:p>
    <w:p>
      <w:pPr>
        <w:spacing w:after="0" w:line="23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NTIC typically owns a 50% ownership interest in each of its joint ventures. However, NTIC owns a 62.5% ownership interest in Polymer Energy LLC and a 50% ownership interest in NTI ASEAN, LLC for NTIC’s joint venture investments in the Association of Southeast Asian Nations (ASEAN) region. Taiyo Petroleum Gas Co. Ltd., NTIC’s existing joint venture partner in Japan, owns the remaining 50% ownership interest in NTI ASEAN, LLC.</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has a 50% ownership interest in Northern Instruments Corporation LLC for NTIC’s joint venture investment in Mütec GmbH in Germany. Taiyo Petroleum Gas Co. Ltd. owns the remaining 50% ownership interest in Northern Instruments Corporation LLC. Northern Instruments Corporation LLC in turn owns 88% of Mütec GmbH. Mütec GmbH manufactures proprietary electronic sensing instruments, which it sells through distributors as well as certain joint ventures.</w:t>
      </w:r>
    </w:p>
    <w:p>
      <w:pPr>
        <w:spacing w:after="0" w:line="21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NTIC’s joint venture in Germany, EXCOR GmbH (EXCOR), and NTIC’s ASEAN joint venture holding company (NTI ASEAN) are considered significant to NTIC’s consolidated assets and income; and therefore NTIC provides certain additional financial information regarding these entities in the notes to NTIC’s consolidated financial statements and elsewhere in this report.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spacing w:after="0" w:line="285" w:lineRule="auto"/>
        <w:rPr>
          <w:sz w:val="20"/>
          <w:szCs w:val="20"/>
          <w:color w:val="auto"/>
        </w:rPr>
      </w:pPr>
      <w:r>
        <w:rPr>
          <w:rFonts w:ascii="Arial" w:cs="Arial" w:eastAsia="Arial" w:hAnsi="Arial"/>
          <w:sz w:val="16"/>
          <w:szCs w:val="16"/>
          <w:color w:val="auto"/>
        </w:rPr>
        <w:t>NTIC’s receipt of funds as a result of sales by its joint ventures is dependent upon NTIC’s receipt of dividend distributions from the joint ventures and NTIC’s receipt of fees for services that NTIC provides to its joint ventures based primarily on the revenues of the joint ventures. The profits of NTIC’s joint ventures are shared by the respective joint venture owners in accordance with their respective ownership percentages. NTIC typically owns 50% or less of each of its joint venture entities and thus does not control the decisions of these entities regarding whether to pay dividends and, if paid, how much the dividends should be in any given year. NTIC’s equity in income from its joint ventures was $5,536,243 in fiscal 2011 compared to $3,919,084 in fiscal 2010, an increase of</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41.3%. NTIC provides certain services to its joint ventures, including technical consulting, legal, insurance, technical and marketing services. NTIC’s fee income for services provided to joint ventures was $6,129,979 in fiscal 2011 compared to $4,690,450 in fiscal 2010, an increase of 30.7%, primarily as a result of improved joint venture sales, which increased 40.4% to $119,276,553 during fiscal 2011 compared to $84,973,646 during fiscal 2010. Sales by NTIC’s joint ventures are not included in the net sales of NTIC. NTIC incurs direct expenses related to its joint ventures and in connection with NTIC’s provision of services to its joint ventures. Such expenses include items such as employee compensation and benefits, travel, consulting, legal and lab supplies and testing expenses. NTIC incurred $1,000,576 in direct joint venture expenses in fiscal 2011 compared to $875,869 in fiscal 2010, representing an increase of 14.2%.</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derives revenues directly and/or indirectly through its joint ventures from the following product lines:</w:t>
      </w:r>
    </w:p>
    <w:p>
      <w:pPr>
        <w:spacing w:after="0" w:line="252"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fiscal 2011, 95.0% of NTIC’s consolidated net sales were derived from developing, manufacturing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include plastic and paper packaging, liquids and coatings, rust removers and cleaners, diffusers and variations of these products designed specifically for the oil and gas industry, as well as technical corrosion management and consulting services.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Plastic and Paper Packaging</w:t>
      </w:r>
      <w:r>
        <w:rPr>
          <w:rFonts w:ascii="Arial" w:cs="Arial" w:eastAsia="Arial" w:hAnsi="Arial"/>
          <w:sz w:val="17"/>
          <w:szCs w:val="17"/>
          <w:color w:val="auto"/>
        </w:rPr>
        <w:t>. NTIC’s ZERUST</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packaging products contain proprietary nontoxic chemical formulations that continuously release an</w:t>
      </w:r>
    </w:p>
    <w:p>
      <w:pPr>
        <w:spacing w:after="0"/>
        <w:rPr>
          <w:sz w:val="20"/>
          <w:szCs w:val="20"/>
          <w:color w:val="auto"/>
        </w:rPr>
      </w:pPr>
      <w:r>
        <w:rPr>
          <w:rFonts w:ascii="Arial" w:cs="Arial" w:eastAsia="Arial" w:hAnsi="Arial"/>
          <w:sz w:val="16"/>
          <w:szCs w:val="16"/>
          <w:color w:val="auto"/>
        </w:rPr>
        <w:t>invisible, odorless, safe and environmentally friendly corrosion inhibiting vapor into the enclosure that passivates metal surfaces and thereby inhibits rust and</w:t>
      </w:r>
    </w:p>
    <w:p>
      <w:pPr>
        <w:spacing w:after="0" w:line="229" w:lineRule="auto"/>
        <w:rPr>
          <w:sz w:val="20"/>
          <w:szCs w:val="20"/>
          <w:color w:val="auto"/>
        </w:rPr>
      </w:pPr>
      <w:r>
        <w:rPr>
          <w:rFonts w:ascii="Arial" w:cs="Arial" w:eastAsia="Arial" w:hAnsi="Arial"/>
          <w:sz w:val="18"/>
          <w:szCs w:val="18"/>
          <w:color w:val="auto"/>
        </w:rPr>
        <w:t>corrosion. The corrosion-inhibiting protection is maintained as long as the metal products to be protected remain enclosed within the ZERUST</w:t>
      </w:r>
      <w:r>
        <w:rPr>
          <w:rFonts w:ascii="Arial" w:cs="Arial" w:eastAsia="Arial" w:hAnsi="Arial"/>
          <w:sz w:val="25"/>
          <w:szCs w:val="25"/>
          <w:color w:val="auto"/>
          <w:vertAlign w:val="superscript"/>
        </w:rPr>
        <w:t>®</w:t>
      </w:r>
    </w:p>
    <w:p>
      <w:pPr>
        <w:spacing w:after="0" w:line="205" w:lineRule="auto"/>
        <w:rPr>
          <w:sz w:val="20"/>
          <w:szCs w:val="20"/>
          <w:color w:val="auto"/>
        </w:rPr>
      </w:pPr>
      <w:r>
        <w:rPr>
          <w:rFonts w:ascii="Arial" w:cs="Arial" w:eastAsia="Arial" w:hAnsi="Arial"/>
          <w:sz w:val="16"/>
          <w:szCs w:val="16"/>
          <w:color w:val="auto"/>
        </w:rPr>
        <w:t>packaging. Electron scanning shows that once the contents are removed from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protection dissipates from the contents’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surfaces within two hours, leaving a clean, dry and corrosion-free metal component. This mechanism of corrosion protection enables NTIC’s customers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easily package metal objects for rust-free shipment or long-term storage. Furthermore, by eliminating costly greasing and degreasing processes and/or</w:t>
      </w:r>
    </w:p>
    <w:p>
      <w:pPr>
        <w:spacing w:after="0" w:line="219" w:lineRule="auto"/>
        <w:rPr>
          <w:sz w:val="20"/>
          <w:szCs w:val="20"/>
          <w:color w:val="auto"/>
        </w:rPr>
      </w:pPr>
      <w:r>
        <w:rPr>
          <w:rFonts w:ascii="Arial" w:cs="Arial" w:eastAsia="Arial" w:hAnsi="Arial"/>
          <w:sz w:val="17"/>
          <w:szCs w:val="17"/>
          <w:color w:val="auto"/>
        </w:rPr>
        <w:t>significantly reducing the use of oils to inhibit corrosion,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provide customers significant savings in labor,</w:t>
      </w:r>
    </w:p>
    <w:p>
      <w:pPr>
        <w:spacing w:after="0"/>
        <w:rPr>
          <w:sz w:val="20"/>
          <w:szCs w:val="20"/>
          <w:color w:val="auto"/>
        </w:rPr>
      </w:pPr>
      <w:r>
        <w:rPr>
          <w:rFonts w:ascii="Arial" w:cs="Arial" w:eastAsia="Arial" w:hAnsi="Arial"/>
          <w:sz w:val="16"/>
          <w:szCs w:val="16"/>
          <w:color w:val="auto"/>
        </w:rPr>
        <w:t>material and capital expenditures for equipment to apply, remove and dispose of oil and grease, as well as the attendant environmental problems, as compared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 traditional methods of corrosion prevention.</w:t>
      </w:r>
    </w:p>
    <w:p>
      <w:pPr>
        <w:spacing w:after="0" w:line="23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NTIC developed the first means of combining volatile corrosion inhibiting chemical systems with polyethylene and polypropylene resins. Combining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chemical systems with polyethylene and polypropylene resins permitted NTIC to introduce a line of plastic packaging products in the form of low and high density polyethylene bags and shroud film, including stretch, shrink, skin and bubble cushioning film, thereby giving packaging engineers an opportunity to ship and store ferrous, nonferrous and mixed multi-metal products in a clean, dry and corrosion-free condition, with an attendant overall savings in total packaging cost. In addition to plastic packaging, NTIC has developed additives in liquid form to imbue kraft paper, corrugated cardboard, solid fiber and chipboard packaging materials with corrosion protection properties.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plastic and paper packaging products come in various thicknesses, strength enhancements, protection types, shapes and sizes.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both"/>
        <w:ind w:right="340"/>
        <w:spacing w:after="0" w:line="275" w:lineRule="auto"/>
        <w:rPr>
          <w:sz w:val="20"/>
          <w:szCs w:val="20"/>
          <w:color w:val="auto"/>
        </w:rPr>
      </w:pPr>
      <w:r>
        <w:rPr>
          <w:rFonts w:ascii="Arial" w:cs="Arial" w:eastAsia="Arial" w:hAnsi="Arial"/>
          <w:sz w:val="16"/>
          <w:szCs w:val="16"/>
          <w:i w:val="1"/>
          <w:iCs w:val="1"/>
          <w:color w:val="auto"/>
        </w:rPr>
        <w:t>Liquids and Coatings</w:t>
      </w:r>
      <w:r>
        <w:rPr>
          <w:rFonts w:ascii="Arial" w:cs="Arial" w:eastAsia="Arial" w:hAnsi="Arial"/>
          <w:sz w:val="16"/>
          <w:szCs w:val="16"/>
          <w:color w:val="auto"/>
        </w:rPr>
        <w:t>. NTIC’s corrosion prevention solutions include a line of metal surface treatment liquids and coatings, which are oil, water and bio-solvent based, marketed under the Axxatec,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Axxanol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Z-Maxx brand names. These liquids and coatings provide powerful corrosion protection in aggressive environments, such as salt air and humid high temperatures. Products are formulated for most metal types and protection levels.</w:t>
      </w:r>
    </w:p>
    <w:p>
      <w:pPr>
        <w:spacing w:after="0" w:line="19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Rust Removers and Cleaners</w:t>
      </w:r>
      <w:r>
        <w:rPr>
          <w:rFonts w:ascii="Arial" w:cs="Arial" w:eastAsia="Arial" w:hAnsi="Arial"/>
          <w:sz w:val="16"/>
          <w:szCs w:val="16"/>
          <w:color w:val="auto"/>
        </w:rPr>
        <w:t>. NTIC also sells rust removal and cleaning products designed to recover rusty parts by replacing labor-intensive, abrasive</w:t>
      </w:r>
      <w:r>
        <w:rPr>
          <w:rFonts w:ascii="Arial" w:cs="Arial" w:eastAsia="Arial" w:hAnsi="Arial"/>
          <w:sz w:val="16"/>
          <w:szCs w:val="16"/>
          <w:i w:val="1"/>
          <w:iCs w:val="1"/>
          <w:color w:val="auto"/>
        </w:rPr>
        <w:t xml:space="preserve"> </w:t>
      </w:r>
      <w:r>
        <w:rPr>
          <w:rFonts w:ascii="Arial" w:cs="Arial" w:eastAsia="Arial" w:hAnsi="Arial"/>
          <w:sz w:val="16"/>
          <w:szCs w:val="16"/>
          <w:color w:val="auto"/>
        </w:rPr>
        <w:t>cleaners that damage surfaces and fail to remove rust from small gear teeth and other difficult to reach areas under the 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Axxaclean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w:t>
      </w:r>
    </w:p>
    <w:p>
      <w:pPr>
        <w:spacing w:after="0" w:line="6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i w:val="1"/>
          <w:iCs w:val="1"/>
          <w:color w:val="auto"/>
        </w:rPr>
        <w:t>Diffusers</w:t>
      </w:r>
      <w:r>
        <w:rPr>
          <w:rFonts w:ascii="Arial" w:cs="Arial" w:eastAsia="Arial" w:hAnsi="Arial"/>
          <w:sz w:val="16"/>
          <w:szCs w:val="16"/>
          <w:color w:val="auto"/>
        </w:rPr>
        <w:t>. NTIC’s corrosion prevention solutions include a line of several diffusers, such as ZERUST ICT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Vapor Capsules, ZERUST ICT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Plastabs</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color w:val="auto"/>
        </w:rPr>
        <w:t>ZERUST 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Cor-Tabs</w:t>
      </w:r>
      <w:r>
        <w:rPr>
          <w:rFonts w:ascii="Arial" w:cs="Arial" w:eastAsia="Arial" w:hAnsi="Arial"/>
          <w:sz w:val="22"/>
          <w:szCs w:val="22"/>
          <w:color w:val="auto"/>
          <w:vertAlign w:val="superscript"/>
        </w:rPr>
        <w:t>®</w:t>
      </w:r>
      <w:r>
        <w:rPr>
          <w:rFonts w:ascii="Arial" w:cs="Arial" w:eastAsia="Arial" w:hAnsi="Arial"/>
          <w:sz w:val="16"/>
          <w:szCs w:val="16"/>
          <w:color w:val="auto"/>
        </w:rPr>
        <w:t>, which are designed to provide corrosion protection of interior surfaces, such as metals within switch gearboxes, electronic cabinets and other enclosures holding electrical gear. Diffuser products are self-contained corrosion inhibiting capsules and tabs that prevent corrosion of multiple metal types within enclosures. Diffusers work by permeating the interior air of an enclosure with an invisible, odorless, non-toxic corrosion inhibiting vapor that protects metal surfaces within the distance of a certain specified “radius of protection” which lasts for one or two years depending on the model. This invisible and dry protective layer revaporizes upon removal of the capsule from the enclosure, leaving all surfaces clean, dry, residue-free and corrosion-free. This product line also includes items such as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gun cases and car covers, which are targeted at retail consumers.</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auto"/>
        </w:rPr>
        <w:t>ZERUST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Corrosion Prevention Solutions Designed Specifically for the Oil and Gas Industry</w:t>
      </w:r>
      <w:r>
        <w:rPr>
          <w:rFonts w:ascii="Arial" w:cs="Arial" w:eastAsia="Arial" w:hAnsi="Arial"/>
          <w:sz w:val="16"/>
          <w:szCs w:val="16"/>
          <w:color w:val="auto"/>
        </w:rPr>
        <w:t>. NTIC has developed proprietary corrosion inhibiting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specifically for the mitigation of corrosion in capital assets used in the petroleum and chemical process industries and is initially targeting the sale of these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solutions to potential customers in the oil and gas industry. The infrastructure that supports the oil and gas industry is typically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 and other critical equipment. Besides the losses due to replacement of parts and structures, maintenance and repairs, product loss, etc., there are significant costs associated with lowered production. In addition, there are also considerable health, safety and environmental risks that can greatly increase the losses due to corrosion.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oil and gas corrosion prevention solutions will minimize maintenance downtime on critical oil and gas industry infrastructure, extend the life of such infrastructure and reduce the risk of environmental pollution due to corrosion related product leaks.</w:t>
      </w:r>
    </w:p>
    <w:p>
      <w:pPr>
        <w:spacing w:after="0" w:line="210"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NTIC’s rust and corrosion inhibiting products for the oil and gas industry include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Flange Savers,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ReCAST-R VCI Dispensers and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Zerion chemicals in addition to many of the traditional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previously described.</w:t>
      </w:r>
    </w:p>
    <w:p>
      <w:pPr>
        <w:spacing w:after="0" w:line="93"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Flange Savers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specially designed covers that have been impregnated with a proprietary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inhibitor formulation that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operational and safety problems.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Flange Savers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available in various sizes to accommodate different pipe diameters, pressure ratings and international standards for pipeline valves and flanges.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17"/>
          <w:szCs w:val="17"/>
          <w:color w:val="auto"/>
        </w:rPr>
        <w:t>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ReCAST-R VCI Dispensers protect the interior surfaces of aboveground storage tank roofs by delivering proprietary inhibitor formulations into the vapor space between the surface of the product and the tank roof. Certain grades of oil that contain sulphur emit corrosive sour gas vapors that destroy the internal surfaces of aboveground storage tank roofs and their support structures above the product layer. Aggressive pitting and crevice corrosion create holes in the tank tops that cause unsafe operating conditions and environmental problems. Internal tank coatings decrease surface corrosion but have proven to be ineffective in preventing dangerous pitting and crevice corrosion, especially in the interstitial spaces between the roof and support structures.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ReCAST-R solution is designed to extend the service life of a single tank roof to 25 years and beyond by forming a protective layer that prevents corrosion in highly aggressive environments. Each system is tailored to a customer’s requirements, depending upon specific environmental conditions, product stored, tank diameter and type of metal and can be applied on both new and existing tank roofs.</w:t>
      </w:r>
    </w:p>
    <w:p>
      <w:pPr>
        <w:spacing w:after="0" w:line="22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Zerion chemicals protect the bottoms of aboveground storage tanks by delivering proprietary inhibitor formulations into the sand/soil bed on which the tank bottom rests. Bottom plate corrosion leads to loss of stored product into the soil causing economic losses as well as environmental issues. Each system is tailored to a customer’s requirements, depending upon specific environmental conditions, product stored, tank diameter and type of metal and can be applied on both new and existing tank bottoms.</w:t>
      </w:r>
    </w:p>
    <w:p>
      <w:pPr>
        <w:spacing w:after="0" w:line="231"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i w:val="1"/>
          <w:iCs w:val="1"/>
          <w:color w:val="auto"/>
        </w:rPr>
        <w:t>Z-CIS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Technical Services</w:t>
      </w:r>
      <w:r>
        <w:rPr>
          <w:rFonts w:ascii="Arial" w:cs="Arial" w:eastAsia="Arial" w:hAnsi="Arial"/>
          <w:sz w:val="18"/>
          <w:szCs w:val="18"/>
          <w:color w:val="auto"/>
        </w:rPr>
        <w:t>. As an on-going effort to help NTIC’s customers improve and control their processes in terms of corrosion management, NTIC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offers unique corrosion management and consulting services to target customers. This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inhibitor system (known as Z-CIS</w:t>
      </w:r>
      <w:r>
        <w:rPr>
          <w:rFonts w:ascii="Arial" w:cs="Arial" w:eastAsia="Arial" w:hAnsi="Arial"/>
          <w:sz w:val="25"/>
          <w:szCs w:val="25"/>
          <w:color w:val="auto"/>
          <w:vertAlign w:val="superscript"/>
        </w:rPr>
        <w:t>®</w:t>
      </w:r>
      <w:r>
        <w:rPr>
          <w:rFonts w:ascii="Arial" w:cs="Arial" w:eastAsia="Arial" w:hAnsi="Arial"/>
          <w:sz w:val="18"/>
          <w:szCs w:val="18"/>
          <w:color w:val="auto"/>
        </w:rPr>
        <w:t>) utilizes NTIC’s global experience in successful corrosion management control. Services and consulting are billed according to work done on the customer’s behalf to improve the customer’s internal and external corrosion control systems. Several major automotive companies and their automotive parts suppliers have used NTIC’s Z-CIS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w:t>
      </w:r>
    </w:p>
    <w:p>
      <w:pPr>
        <w:spacing w:after="0" w:line="14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w:t>
      </w:r>
      <w:r>
        <w:rPr>
          <w:rFonts w:ascii="Arial" w:cs="Arial" w:eastAsia="Arial" w:hAnsi="Arial"/>
          <w:sz w:val="16"/>
          <w:szCs w:val="16"/>
          <w:color w:val="auto"/>
        </w:rPr>
        <w:t>. NTIC manufactures and sells a range of bio-based and biodegradable (compostable) polymer resin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compounds and finished products under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NTIC’s consolidated net sales for fiscal 2011 included $984,004 in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In recent years, a combination of market drivers such as volatile petroleum prices, a desire to reduce dependence on foreign oil, increased environmental and sustainability awareness at the corporate and consumer level, improved technical properties and product functionality, as well as recent foreign, state and local governmental regulations banning the use of traditional, petroleum-based plastics or mandating the use of certain biodegradable or compostable products, have led to increased interest in sustainable, renewable resource based and compostable alternatives to traditional plastics. The term “bio-plastics” encompasses a broad category of plastics that are either bio-based, which means derived from renewable resources such as corn or cellulosic/plant material or blends thereof, or are engineered to be fully biodegradable, or both. According to Freedonia Research, the market for bio-plastic resins worldwide is estimated at $1 billion and is projected to grow to over $2.6 billion by 2013.</w:t>
      </w:r>
    </w:p>
    <w:p>
      <w:pPr>
        <w:spacing w:after="0" w:line="212"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i w:val="1"/>
          <w:iCs w:val="1"/>
          <w:color w:val="auto"/>
        </w:rPr>
        <w:t>Resin Compounds</w:t>
      </w:r>
      <w:r>
        <w:rPr>
          <w:rFonts w:ascii="Arial" w:cs="Arial" w:eastAsia="Arial" w:hAnsi="Arial"/>
          <w:sz w:val="16"/>
          <w:szCs w:val="16"/>
          <w:color w:val="auto"/>
        </w:rPr>
        <w:t>. Natur-Tec</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resin compounds are produced by blending commercially available base resins, such as Ecoflex</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from BASF or Ingeo</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PLA</w:t>
      </w:r>
      <w:r>
        <w:rPr>
          <w:rFonts w:ascii="Arial" w:cs="Arial" w:eastAsia="Arial" w:hAnsi="Arial"/>
          <w:sz w:val="16"/>
          <w:szCs w:val="16"/>
          <w:i w:val="1"/>
          <w:iCs w:val="1"/>
          <w:color w:val="auto"/>
        </w:rPr>
        <w:t xml:space="preserve"> </w:t>
      </w:r>
      <w:r>
        <w:rPr>
          <w:rFonts w:ascii="Arial" w:cs="Arial" w:eastAsia="Arial" w:hAnsi="Arial"/>
          <w:sz w:val="16"/>
          <w:szCs w:val="16"/>
          <w:color w:val="auto"/>
        </w:rPr>
        <w:t>from NatureWorks LLC, with organic and inorganic fillers, and proprietary polymer modifiers and compatabilizers, using NTIC’s proprietary and patent pending ReX Process. In this process, biodegradable polymers, natural polymers made from renewable resources, and organic and inorganic materials are reactively blended in the presence of proprietary compatibilizers and polymer modifiers to produce bio-based and/or biodegradable polymer resin formulations that exhibit unique and stable morphology.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are engineered for high performance, ease of processing and reduced cost compared to most other bio-plastic materials, and can be processed by converters using conventional manufacturing processes and equipment.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 w:name="page11"/>
    <w:bookmarkEnd w:id="10"/>
    <w:p>
      <w:pPr>
        <w:ind w:right="20"/>
        <w:spacing w:after="0" w:line="239" w:lineRule="auto"/>
        <w:rPr>
          <w:sz w:val="20"/>
          <w:szCs w:val="20"/>
          <w:color w:val="auto"/>
        </w:rPr>
      </w:pPr>
      <w:r>
        <w:rPr>
          <w:rFonts w:ascii="Arial" w:cs="Arial" w:eastAsia="Arial" w:hAnsi="Arial"/>
          <w:sz w:val="16"/>
          <w:szCs w:val="16"/>
          <w:color w:val="auto"/>
        </w:rPr>
        <w:t>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are available in several grades tailored for a variety of applications, such as blown-film extrusion, extrusion coating, injection molding and rigid, engineered plastics.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flexible film resin compounds are fully biodegradable and compostable and meet requirements of international standards for compostable plastics such as ASTM D6400 (U.S.) and EN 13432 (Europe), and are certified as 100% compostable by the Biodegradable Products Institute in the United States.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film resin compounds can be used to produce film for applications, such as bags, including compost bags, lawn and leaf bags, pet waste bags and carry-out bags, agricultural film and consumer and industrial packaging.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compostable injection molding resin compounds are biobased and biodegradable and are designed to replace conventional plastic materials for injection molded plastic applications.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compostable injection molding resin compounds are manufactured using sustainable and renewable resources, per the ASTM D6866 standard which allows industry and consumers the opportunity to reduce or neutralize their carbon footprint, and are designed to meet the requirements of international standards for compostable plastics, such as ASTM D6400 and EN 13432.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compostable injection molding resin compounds can be used for injection molded plastic applications, such as cutlery, hangers, containers and packaging.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biobased injection molding resin compounds are made with at least 50% of biobased/renewable resource-based materials per the ASTM D6866 standard and are meant to enhance sustainability by replacing petroleum-based plastics.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also produces biobased injection molding resin compounds that are not designed or intended to biodegrade but rather aid in sustainability by requiring far less energy for production and by reducing dependence on petroleum as a raw material.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23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i w:val="1"/>
          <w:iCs w:val="1"/>
          <w:color w:val="auto"/>
        </w:rPr>
        <w:t>Finished Products</w:t>
      </w:r>
      <w:r>
        <w:rPr>
          <w:rFonts w:ascii="Arial" w:cs="Arial" w:eastAsia="Arial" w:hAnsi="Arial"/>
          <w:sz w:val="16"/>
          <w:szCs w:val="16"/>
          <w:color w:val="auto"/>
        </w:rPr>
        <w:t>. Natur-Tec</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finished products include totally biodegradable compost and trash bags, agricultural film and other single-use disposable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such as compostable cutlery, food and consumer goods packaging that are currently marketed under the Natur-Bag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Natur-Ware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w:t>
      </w:r>
    </w:p>
    <w:p>
      <w:pPr>
        <w:spacing w:after="0" w:line="93" w:lineRule="exact"/>
        <w:rPr>
          <w:sz w:val="20"/>
          <w:szCs w:val="20"/>
          <w:color w:val="auto"/>
        </w:rPr>
      </w:pPr>
    </w:p>
    <w:p>
      <w:pPr>
        <w:ind w:right="100"/>
        <w:spacing w:after="0" w:line="203" w:lineRule="auto"/>
        <w:rPr>
          <w:sz w:val="20"/>
          <w:szCs w:val="20"/>
          <w:color w:val="auto"/>
        </w:rPr>
      </w:pPr>
      <w:r>
        <w:rPr>
          <w:rFonts w:ascii="Arial" w:cs="Arial" w:eastAsia="Arial" w:hAnsi="Arial"/>
          <w:sz w:val="18"/>
          <w:szCs w:val="18"/>
          <w:color w:val="auto"/>
        </w:rPr>
        <w:t>The Natur-Bag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offers eight different compostable bag sizes, from three to 69 gallons. The bags are available in various SKU configurations from retail packs that are sold to the consumer either through retail outlets or through online stores, and industrial case packs that are sold to commercial and industrial customers primarily through wholesalers and distributors. The Natur-Bag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are manufactured from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flexible film resin compounds and thus are fully biodegradable and compostable.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Natur-Ware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consists of biobased and compostable cutlery made from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compostable injection molding resin compounds.</w:t>
      </w:r>
    </w:p>
    <w:p>
      <w:pPr>
        <w:spacing w:after="0" w:line="230" w:lineRule="auto"/>
        <w:rPr>
          <w:sz w:val="20"/>
          <w:szCs w:val="20"/>
          <w:color w:val="auto"/>
        </w:rPr>
      </w:pPr>
      <w:r>
        <w:rPr>
          <w:rFonts w:ascii="Arial" w:cs="Arial" w:eastAsia="Arial" w:hAnsi="Arial"/>
          <w:sz w:val="18"/>
          <w:szCs w:val="18"/>
          <w:color w:val="auto"/>
        </w:rPr>
        <w:t>Natur-Ware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cutlery can be composted along with food scraps in zero-waste programs.</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i w:val="1"/>
          <w:iCs w:val="1"/>
          <w:color w:val="auto"/>
        </w:rPr>
        <w:t>Polymer Energy</w:t>
      </w:r>
      <w:r>
        <w:rPr>
          <w:rFonts w:ascii="Arial" w:cs="Arial" w:eastAsia="Arial" w:hAnsi="Arial"/>
          <w:sz w:val="24"/>
          <w:szCs w:val="24"/>
          <w:b w:val="1"/>
          <w:bCs w:val="1"/>
          <w:i w:val="1"/>
          <w:iCs w:val="1"/>
          <w:color w:val="auto"/>
          <w:vertAlign w:val="superscript"/>
        </w:rPr>
        <w:t>™</w:t>
      </w:r>
      <w:r>
        <w:rPr>
          <w:rFonts w:ascii="Arial" w:cs="Arial" w:eastAsia="Arial" w:hAnsi="Arial"/>
          <w:sz w:val="17"/>
          <w:szCs w:val="17"/>
          <w:b w:val="1"/>
          <w:bCs w:val="1"/>
          <w:i w:val="1"/>
          <w:iCs w:val="1"/>
          <w:color w:val="auto"/>
        </w:rPr>
        <w:t xml:space="preserve"> Conversion of Waste Plastic to Fuel Machines</w:t>
      </w:r>
      <w:r>
        <w:rPr>
          <w:rFonts w:ascii="Arial" w:cs="Arial" w:eastAsia="Arial" w:hAnsi="Arial"/>
          <w:sz w:val="17"/>
          <w:szCs w:val="17"/>
          <w:color w:val="auto"/>
        </w:rPr>
        <w:t>. NTIC’s Polymer Energy LLC joint venture markets and sells a system that uses catalytic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pyrolysis to convert waste plastic (primarily polyolefins) into hydrocarbons (primarily a mix of diesels, gasoline and heavy fractions) resulting in an economically viable and environmentally responsible alternative to current methods of recycling and disposal of waste plastic. The Polymer Energy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process can handle plastic that is contaminated to some extent with other types of waste such as metals, glass, dirt and water, and as a result, the waste plastic does not need to be pre-sorted, cleaned or dried prior to processing, which significantly reduces the overall cost of operation. The output crude oil mix is high-grade and can be further processed in a refinery or used as an input for co-generation of electricity. NTIC’s Polymer Energy LLC joint venture has an exclusive license to market the Polymer Energy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in countries in Asia and North America.</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1" w:name="page12"/>
    <w:bookmarkEnd w:id="11"/>
    <w:p>
      <w:pPr>
        <w:ind w:right="420"/>
        <w:spacing w:after="0" w:line="308" w:lineRule="auto"/>
        <w:rPr>
          <w:sz w:val="20"/>
          <w:szCs w:val="20"/>
          <w:color w:val="auto"/>
        </w:rPr>
      </w:pPr>
      <w:r>
        <w:rPr>
          <w:rFonts w:ascii="Arial" w:cs="Arial" w:eastAsia="Arial" w:hAnsi="Arial"/>
          <w:sz w:val="17"/>
          <w:szCs w:val="17"/>
          <w:b w:val="1"/>
          <w:bCs w:val="1"/>
          <w:i w:val="1"/>
          <w:iCs w:val="1"/>
          <w:color w:val="auto"/>
        </w:rPr>
        <w:t>Electronic Measuring Instruments</w:t>
      </w:r>
      <w:r>
        <w:rPr>
          <w:rFonts w:ascii="Arial" w:cs="Arial" w:eastAsia="Arial" w:hAnsi="Arial"/>
          <w:sz w:val="17"/>
          <w:szCs w:val="17"/>
          <w:color w:val="auto"/>
        </w:rPr>
        <w:t>. NTIC’s Mütec GmbH joint venture develops, manufactures and sells proprietary electronics components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signal converters, Input-Output interfaces, bulk goods property measurement instruments, and process sensor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In the United States, NTIC markets its ZERUST</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rust and corrosion inhibiting products and services,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NTIC’s technical service consultants work directly with the end users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to analyze their specific corrosion prevention needs and develop systems to meet their technical requirements. As of August 31, 2011, NTIC (excluding Zerust Brazil) had 12 employees selling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and several independent distributors and manufacturer’s sales representatives marketing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Internationally, NTIC has entered into several joint venture and similar arrangements with foreign partners (either directly or through a holding</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company). NTIC receives fees for providing technical support, marketing assistance and other services to its joint ventures based primarily on the revenues of the joint ventures in accordance with the terms of the joint venture arrangements. Such services include consulting, legal, insurance, technical and marketing services.</w:t>
      </w:r>
    </w:p>
    <w:p>
      <w:pPr>
        <w:spacing w:after="0" w:line="21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With respect to the sales and marketing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the oil and gas industry, NTIC uses a combination of direct sales personnel, independent sales agents and its joint venture network. However, since many of NTIC’s existing joint ventures do not have significant experience and contacts within the oil and gas industry, NTIC has formed one and may continue to form other new joint ventures to focus exclusively on the sale and marketing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this industry. In addition, in an attempt to penetrate this industry within certain markets more quickly, NTIC has entered into certain sales and marketing agency agreements with specific organizations that have existing long 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to customers in the oil and gas industry will involve a long sales cycle, likely including a one- to two-year trial period with each customer and a slow integration process thereafter.</w:t>
      </w:r>
    </w:p>
    <w:p>
      <w:pPr>
        <w:spacing w:after="0" w:line="210"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In the United States, NTIC markets its Natur-Tec® resin compounds and finished products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of approximately 22 national and regional distributors and independent manufacturer’s sales representatives and two NTIC direct sales employees as of August 31, 2011. Target customers for Natur-Tec® finished products include individual consumers and commercial and institutional organizations such as corporations and universities that are mandated to divert their organic waste away from landfills to composting. Sales and marketing efforts have focused on strengthening and expanding NTIC’s West Coast distribution network in California and expanding NTIC’s distribution reach to geographical “green” hotspots such as Oregon, Washington, Minnesota and New England, where a combination of favorable governmental regulation and environmental awareness is driving the adoption and use of compostable bags and food service ware. NTIC is also targeting key national and regional retailers utilizing independent sales agents. Target customers for Natur-Tec® resin compounds include film extruders and injection molders who would purchase Natur-Tec® resin compounds to manufacture and sell their own finished bio-based, biodegradable or compostable end products, such as film, bags and cutlery.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2" w:name="page13"/>
    <w:bookmarkEnd w:id="12"/>
    <w:p>
      <w:pPr>
        <w:ind w:right="140"/>
        <w:spacing w:after="0" w:line="289" w:lineRule="auto"/>
        <w:rPr>
          <w:sz w:val="20"/>
          <w:szCs w:val="20"/>
          <w:color w:val="auto"/>
        </w:rPr>
      </w:pPr>
      <w:r>
        <w:rPr>
          <w:rFonts w:ascii="Arial" w:cs="Arial" w:eastAsia="Arial" w:hAnsi="Arial"/>
          <w:sz w:val="16"/>
          <w:szCs w:val="16"/>
          <w:color w:val="auto"/>
        </w:rPr>
        <w:t>Internationally, NTIC uses some of its joint ventures, including in particular, NTIC’s joint venture in India, and a network of eight distributors to market its Natur-Tec® resin compounds and finished products. During fiscal 2011, NTIC and HNTI signed a memorandum of understanding with the Indian conglomerate ITC Limited to jointly develop and commercialize biopolymer extrusion coated paper products targeted at the consumer goods packaging market in India. The two companies jointly develop solutions for the Indian market towards providing biodegradable or compostable products such as food service ware, food packaging, personal care product packaging and other fast-moving consumer goods packaging. The biopolymer resin compounds are manufactured and sold by HNTI, for integration with paper manufactured by ITC’s Paperboards and Specialty Papers Division. Both companies also collaboratively develop and promote joint branding and messaging for these products. In addition, during fiscal 2011, NTIC entered into an agreement with Italy based Naturfuels s.r.l. to distribute Natur-Tec® resin compounds and finished products in the Italian and Swiss markets. Under the terms of the distribution agreement, NTIC will supply Naturfuels with its Natur-Tec® compostable film grade resin compounds.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24"/>
          <w:szCs w:val="24"/>
          <w:b w:val="1"/>
          <w:bCs w:val="1"/>
          <w:i w:val="1"/>
          <w:iCs w:val="1"/>
          <w:color w:val="auto"/>
          <w:vertAlign w:val="superscript"/>
        </w:rPr>
        <w:t>®</w:t>
      </w:r>
      <w:r>
        <w:rPr>
          <w:rFonts w:ascii="Arial" w:cs="Arial" w:eastAsia="Arial" w:hAnsi="Arial"/>
          <w:sz w:val="17"/>
          <w:szCs w:val="17"/>
          <w:b w:val="1"/>
          <w:bCs w:val="1"/>
          <w:i w:val="1"/>
          <w:iCs w:val="1"/>
          <w:color w:val="auto"/>
        </w:rPr>
        <w:t xml:space="preserve"> Corrosion Prevention Solutions</w:t>
      </w:r>
      <w:r>
        <w:rPr>
          <w:rFonts w:ascii="Arial" w:cs="Arial" w:eastAsia="Arial" w:hAnsi="Arial"/>
          <w:sz w:val="17"/>
          <w:szCs w:val="17"/>
          <w:color w:val="auto"/>
        </w:rPr>
        <w:t>. While NTIC is unaware of any third parties with which NTIC competes on a worldwide basis with respect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marketing and other resources substantially greater than those of NTIC. As a result, they may be able to adapt more quickly to new or emerging technologies and changes in customer requirements, or devote greater resources to the promotion and sale of their products than NTIC. With respect to its rust and corrosion inhibiting products, NTIC competes on the basis of price, product innovation, quality and reliability, product support, customer service, reputation as well as price. Some of these companies may have achieved significant market acceptance of their competing products and brand recognition. NTIC, however, believes it has an advantage over most of its competitors as a result of NTIC’s technical innovation and its value added service. NTIC attempts to provide its customers with the highest level of technical service and applications engineering in addition to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Nonetheless, the commoditization of certain of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have led and may continue to lead to decreased pricing and lower margins on such products. In addition, because the barriers to entry are low, additional competitors, including plastic extrusion companies, may emerge, which likely would lead to the further commoditization of NTIC’s rust and corrosion inhibiting products.</w:t>
      </w:r>
    </w:p>
    <w:p>
      <w:pPr>
        <w:spacing w:after="0" w:line="22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With respect to NTIC’s corrosion prevention solutions for use in the oil and gas industry, NTIC’s primary barrier to entry is a combination of conservatism, complacency, confidence in old approaches as well as the complexity of the buying organization. Some of NTIC’s competitors with respect to its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 products.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3" w:name="page14"/>
    <w:bookmarkEnd w:id="13"/>
    <w:p>
      <w:pPr>
        <w:ind w:right="80"/>
        <w:spacing w:after="0" w:line="273"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shelf life, place of manufacture and price. Because of price competition, NTIC’s margins on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are smaller than its margins on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NTIC also faces supply constraints for the base resins used to manufacture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since there are a limited number of suppliers of such base resins and limited capacity for their production.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Dresden, Germany; and Chennai, India under the direction of internationally known scientists and research institutes under exclusive contract to NTIC with respect to the subject of their respective research efforts. EXCOR has established a wholly owned subsidiary, Excor Korrosionsforschung GmbH, to conduct research into new fields of corrosion inhibiting packaging and the applications engineering of such products in conjunction with NTIC’s domestic research and development operations. With respect to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21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NTIC spent $4,364,109 in fiscal 2011 and $3,333,683 in fiscal 2010 in connection with its research and development activities. NTIC anticipates that it will spend between $4,300,000 and $4,500,000 in fiscal 2012 on research and development activities. These amounts are net of reimbursements related to certain research and development contracts. Such reimbursements totaled $219,175 and $600,023 in fiscal 2011 and fiscal 2010, respectively. Most of NTIC’s research and development contracts under which NTIC received reimbursements during fiscal 2011 were in connection with developing corrosion prevention solutions for the oil and gas industry, and to a lesser extent, U.S. government or other grants or awards in connection with developing future potential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w:t>
      </w:r>
    </w:p>
    <w:p>
      <w:pPr>
        <w:spacing w:after="0" w:line="13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fiscal 2009, NTIC entered into a multi-year contract between Zerust Brazil and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also has started aimed at field trials of certain pipeline protection technologies. These initiatives, which continued during fiscal 2011 and are expected to be concluded in fiscal 2012, are designed to help mitigate corrosion for critical oil and gas industry infrastructure, such as storage tanks and pipelines.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NTIC was awarded three National Science Foundation (NSF) awards -- one in June 2009 as a Phase I Small Business Technology Transfer (STTR) grant for $150,000 on advanced polylactide materials for biobased and biodegradable products, the second in September 2009 as a Phase I Small Business Innovation Research (SBIR) grant for an additional $150,000 on “Biobased coatings for corrosion protection” and a third in November 2011 as a Phase II SBIR grant of $500,000 for the development of advanced polylactide materials for biobased and biodegradable plastic products. The Phase I projects were completed in June 2010 and have helped NTIC develop biobased technologies for new innovative applications in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areas. The research and technology development was conducted in collaboration with Michigan State University. NTIC plans to use modified polylactic acid chemistries developed at Michigan State University to expand its product portfolio with enhanced solutions for bioplastics packaging.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During fiscal 2010, NTIC was awarded money from the U.S. Department of Defense for a Phase I Small Business Innovation Research contract worth</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$70,000 to develop non-plastic marine biodegradable waste bags for the U.S. Navy. NTIC collaborated with the U.S. Army Natick labs and Michigan State University on this project. In November 2011, NTIC was awarded a Department of Defense Small Business Innovation Research Phase II grant of $500,000 for the development of biobased and marine biodegradable non-plastic bags for the U.S. Navy.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U.S. covering various corrosion inhibiting technologies, systems and applications, and now owns several patents in these areas. These patents as well as patent applications have been extended to the countries of strategic relevance to NTIC including, but not limited to, the Patent Cooperation Treaty. In addition, EXCOR owns several patents in the area covering various corrosion inhibiting technologies and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U.S. and in countries of strategic relevance to NTIC including, but not limited to, the Patent Cooperation Treaty.</w:t>
      </w:r>
    </w:p>
    <w:p>
      <w:pPr>
        <w:spacing w:after="0" w:line="20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addition to seeking patent protection, NTIC maintains an extensive portfolio of trademarks in countries where NTIC has a presence directly or through its joint ventures. NTIC continuously pursues new trademark applications of strategic interest worldwide. NTIC owns the following U.S. registered trademarks: NTI</w:t>
      </w:r>
      <w:r>
        <w:rPr>
          <w:rFonts w:ascii="Arial" w:cs="Arial" w:eastAsia="Arial" w:hAnsi="Arial"/>
          <w:sz w:val="22"/>
          <w:szCs w:val="22"/>
          <w:color w:val="auto"/>
          <w:vertAlign w:val="superscript"/>
        </w:rPr>
        <w:t>®</w:t>
      </w:r>
      <w:r>
        <w:rPr>
          <w:rFonts w:ascii="Arial" w:cs="Arial" w:eastAsia="Arial" w:hAnsi="Arial"/>
          <w:sz w:val="16"/>
          <w:szCs w:val="16"/>
          <w:color w:val="auto"/>
        </w:rPr>
        <w:t>, NTI &amp; Globe Design, ZERUST</w:t>
      </w:r>
      <w:r>
        <w:rPr>
          <w:rFonts w:ascii="Arial" w:cs="Arial" w:eastAsia="Arial" w:hAnsi="Arial"/>
          <w:sz w:val="22"/>
          <w:szCs w:val="22"/>
          <w:color w:val="auto"/>
          <w:vertAlign w:val="superscript"/>
        </w:rPr>
        <w:t>®</w:t>
      </w:r>
      <w:r>
        <w:rPr>
          <w:rFonts w:ascii="Arial" w:cs="Arial" w:eastAsia="Arial" w:hAnsi="Arial"/>
          <w:sz w:val="16"/>
          <w:szCs w:val="16"/>
          <w:color w:val="auto"/>
        </w:rPr>
        <w:t>, EXCOR</w:t>
      </w:r>
      <w:r>
        <w:rPr>
          <w:rFonts w:ascii="Arial" w:cs="Arial" w:eastAsia="Arial" w:hAnsi="Arial"/>
          <w:sz w:val="22"/>
          <w:szCs w:val="22"/>
          <w:color w:val="auto"/>
          <w:vertAlign w:val="superscript"/>
        </w:rPr>
        <w:t>®</w:t>
      </w:r>
      <w:r>
        <w:rPr>
          <w:rFonts w:ascii="Arial" w:cs="Arial" w:eastAsia="Arial" w:hAnsi="Arial"/>
          <w:sz w:val="16"/>
          <w:szCs w:val="16"/>
          <w:color w:val="auto"/>
        </w:rPr>
        <w:t>, ICT</w:t>
      </w:r>
      <w:r>
        <w:rPr>
          <w:rFonts w:ascii="Arial" w:cs="Arial" w:eastAsia="Arial" w:hAnsi="Arial"/>
          <w:sz w:val="22"/>
          <w:szCs w:val="22"/>
          <w:color w:val="auto"/>
          <w:vertAlign w:val="superscript"/>
        </w:rPr>
        <w:t>®</w:t>
      </w:r>
      <w:r>
        <w:rPr>
          <w:rFonts w:ascii="Arial" w:cs="Arial" w:eastAsia="Arial" w:hAnsi="Arial"/>
          <w:sz w:val="16"/>
          <w:szCs w:val="16"/>
          <w:color w:val="auto"/>
        </w:rPr>
        <w:t>, Z-CIS</w:t>
      </w:r>
      <w:r>
        <w:rPr>
          <w:rFonts w:ascii="Arial" w:cs="Arial" w:eastAsia="Arial" w:hAnsi="Arial"/>
          <w:sz w:val="22"/>
          <w:szCs w:val="22"/>
          <w:color w:val="auto"/>
          <w:vertAlign w:val="superscript"/>
        </w:rPr>
        <w:t>®</w:t>
      </w:r>
      <w:r>
        <w:rPr>
          <w:rFonts w:ascii="Arial" w:cs="Arial" w:eastAsia="Arial" w:hAnsi="Arial"/>
          <w:sz w:val="16"/>
          <w:szCs w:val="16"/>
          <w:color w:val="auto"/>
        </w:rPr>
        <w:t>, COR TAB</w:t>
      </w:r>
      <w:r>
        <w:rPr>
          <w:rFonts w:ascii="Arial" w:cs="Arial" w:eastAsia="Arial" w:hAnsi="Arial"/>
          <w:sz w:val="22"/>
          <w:szCs w:val="22"/>
          <w:color w:val="auto"/>
          <w:vertAlign w:val="superscript"/>
        </w:rPr>
        <w:t>®</w:t>
      </w:r>
      <w:r>
        <w:rPr>
          <w:rFonts w:ascii="Arial" w:cs="Arial" w:eastAsia="Arial" w:hAnsi="Arial"/>
          <w:sz w:val="16"/>
          <w:szCs w:val="16"/>
          <w:color w:val="auto"/>
        </w:rPr>
        <w:t>, PLASTABS</w:t>
      </w:r>
      <w:r>
        <w:rPr>
          <w:rFonts w:ascii="Arial" w:cs="Arial" w:eastAsia="Arial" w:hAnsi="Arial"/>
          <w:sz w:val="22"/>
          <w:szCs w:val="22"/>
          <w:color w:val="auto"/>
          <w:vertAlign w:val="superscript"/>
        </w:rPr>
        <w:t>®</w:t>
      </w:r>
      <w:r>
        <w:rPr>
          <w:rFonts w:ascii="Arial" w:cs="Arial" w:eastAsia="Arial" w:hAnsi="Arial"/>
          <w:sz w:val="16"/>
          <w:szCs w:val="16"/>
          <w:color w:val="auto"/>
        </w:rPr>
        <w:t>, MATCH-TECH</w:t>
      </w:r>
      <w:r>
        <w:rPr>
          <w:rFonts w:ascii="Arial" w:cs="Arial" w:eastAsia="Arial" w:hAnsi="Arial"/>
          <w:sz w:val="22"/>
          <w:szCs w:val="22"/>
          <w:color w:val="auto"/>
          <w:vertAlign w:val="superscript"/>
        </w:rPr>
        <w:t>®</w:t>
      </w:r>
      <w:r>
        <w:rPr>
          <w:rFonts w:ascii="Arial" w:cs="Arial" w:eastAsia="Arial" w:hAnsi="Arial"/>
          <w:sz w:val="16"/>
          <w:szCs w:val="16"/>
          <w:color w:val="auto"/>
        </w:rPr>
        <w:t>, COR/SCI</w:t>
      </w:r>
      <w:r>
        <w:rPr>
          <w:rFonts w:ascii="Arial" w:cs="Arial" w:eastAsia="Arial" w:hAnsi="Arial"/>
          <w:sz w:val="22"/>
          <w:szCs w:val="22"/>
          <w:color w:val="auto"/>
          <w:vertAlign w:val="superscript"/>
        </w:rPr>
        <w:t>®</w:t>
      </w:r>
      <w:r>
        <w:rPr>
          <w:rFonts w:ascii="Arial" w:cs="Arial" w:eastAsia="Arial" w:hAnsi="Arial"/>
          <w:sz w:val="16"/>
          <w:szCs w:val="16"/>
          <w:color w:val="auto"/>
        </w:rPr>
        <w:t>, NIC</w:t>
      </w:r>
      <w:r>
        <w:rPr>
          <w:rFonts w:ascii="Arial" w:cs="Arial" w:eastAsia="Arial" w:hAnsi="Arial"/>
          <w:sz w:val="22"/>
          <w:szCs w:val="22"/>
          <w:color w:val="auto"/>
          <w:vertAlign w:val="superscript"/>
        </w:rPr>
        <w:t>®</w:t>
      </w:r>
      <w:r>
        <w:rPr>
          <w:rFonts w:ascii="Arial" w:cs="Arial" w:eastAsia="Arial" w:hAnsi="Arial"/>
          <w:sz w:val="16"/>
          <w:szCs w:val="16"/>
          <w:color w:val="auto"/>
        </w:rPr>
        <w:t>, NATUR-TEC</w:t>
      </w:r>
      <w:r>
        <w:rPr>
          <w:rFonts w:ascii="Arial" w:cs="Arial" w:eastAsia="Arial" w:hAnsi="Arial"/>
          <w:sz w:val="22"/>
          <w:szCs w:val="22"/>
          <w:color w:val="auto"/>
          <w:vertAlign w:val="superscript"/>
        </w:rPr>
        <w:t>®</w:t>
      </w:r>
      <w:r>
        <w:rPr>
          <w:rFonts w:ascii="Arial" w:cs="Arial" w:eastAsia="Arial" w:hAnsi="Arial"/>
          <w:sz w:val="16"/>
          <w:szCs w:val="16"/>
          <w:color w:val="auto"/>
        </w:rPr>
        <w:t>, NATUR-TEC &amp; Design</w:t>
      </w:r>
      <w:r>
        <w:rPr>
          <w:rFonts w:ascii="Arial" w:cs="Arial" w:eastAsia="Arial" w:hAnsi="Arial"/>
          <w:sz w:val="22"/>
          <w:szCs w:val="22"/>
          <w:color w:val="auto"/>
          <w:vertAlign w:val="superscript"/>
        </w:rPr>
        <w:t>®</w:t>
      </w:r>
      <w:r>
        <w:rPr>
          <w:rFonts w:ascii="Arial" w:cs="Arial" w:eastAsia="Arial" w:hAnsi="Arial"/>
          <w:sz w:val="16"/>
          <w:szCs w:val="16"/>
          <w:color w:val="auto"/>
        </w:rPr>
        <w:t>, NATUR-BAG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NATUR-WARE</w:t>
      </w:r>
      <w:r>
        <w:rPr>
          <w:rFonts w:ascii="Arial" w:cs="Arial" w:eastAsia="Arial" w:hAnsi="Arial"/>
          <w:sz w:val="22"/>
          <w:szCs w:val="22"/>
          <w:color w:val="auto"/>
          <w:vertAlign w:val="superscript"/>
        </w:rPr>
        <w:t>®</w:t>
      </w:r>
      <w:r>
        <w:rPr>
          <w:rFonts w:ascii="Arial" w:cs="Arial" w:eastAsia="Arial" w:hAnsi="Arial"/>
          <w:sz w:val="16"/>
          <w:szCs w:val="16"/>
          <w:color w:val="auto"/>
        </w:rPr>
        <w:t>. NTIC also has a registered trademark on the use of the Color Yellow with respect to corrosion inhibiting packaging. In addition, NTIC has applied for the following new trademarks in the U.S.: Polymer Energy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Polymer Energy Logo</w:t>
      </w:r>
      <w:r>
        <w:rPr>
          <w:rFonts w:ascii="Arial" w:cs="Arial" w:eastAsia="Arial" w:hAnsi="Arial"/>
          <w:sz w:val="22"/>
          <w:szCs w:val="22"/>
          <w:color w:val="auto"/>
          <w:vertAlign w:val="superscript"/>
        </w:rPr>
        <w:t>™</w:t>
      </w:r>
      <w:r>
        <w:rPr>
          <w:rFonts w:ascii="Arial" w:cs="Arial" w:eastAsia="Arial" w:hAnsi="Arial"/>
          <w:sz w:val="16"/>
          <w:szCs w:val="16"/>
          <w:color w:val="auto"/>
        </w:rPr>
        <w:t>. Furthermore, NTI</w:t>
      </w:r>
      <w:r>
        <w:rPr>
          <w:rFonts w:ascii="Arial" w:cs="Arial" w:eastAsia="Arial" w:hAnsi="Arial"/>
          <w:sz w:val="22"/>
          <w:szCs w:val="22"/>
          <w:color w:val="auto"/>
          <w:vertAlign w:val="superscript"/>
        </w:rPr>
        <w:t>®</w:t>
      </w:r>
      <w:r>
        <w:rPr>
          <w:rFonts w:ascii="Arial" w:cs="Arial" w:eastAsia="Arial" w:hAnsi="Arial"/>
          <w:sz w:val="16"/>
          <w:szCs w:val="16"/>
          <w:color w:val="auto"/>
        </w:rPr>
        <w:t>, ZERUST</w:t>
      </w:r>
      <w:r>
        <w:rPr>
          <w:rFonts w:ascii="Arial" w:cs="Arial" w:eastAsia="Arial" w:hAnsi="Arial"/>
          <w:sz w:val="22"/>
          <w:szCs w:val="22"/>
          <w:color w:val="auto"/>
          <w:vertAlign w:val="superscript"/>
        </w:rPr>
        <w:t>®</w:t>
      </w:r>
      <w:r>
        <w:rPr>
          <w:rFonts w:ascii="Arial" w:cs="Arial" w:eastAsia="Arial" w:hAnsi="Arial"/>
          <w:sz w:val="16"/>
          <w:szCs w:val="16"/>
          <w:color w:val="auto"/>
        </w:rPr>
        <w:t>, The ZERUST People</w:t>
      </w:r>
      <w:r>
        <w:rPr>
          <w:rFonts w:ascii="Arial" w:cs="Arial" w:eastAsia="Arial" w:hAnsi="Arial"/>
          <w:sz w:val="22"/>
          <w:szCs w:val="22"/>
          <w:color w:val="auto"/>
          <w:vertAlign w:val="superscript"/>
        </w:rPr>
        <w:t>®</w:t>
      </w:r>
      <w:r>
        <w:rPr>
          <w:rFonts w:ascii="Arial" w:cs="Arial" w:eastAsia="Arial" w:hAnsi="Arial"/>
          <w:sz w:val="16"/>
          <w:szCs w:val="16"/>
          <w:color w:val="auto"/>
        </w:rPr>
        <w:t>, EXCOR</w:t>
      </w:r>
      <w:r>
        <w:rPr>
          <w:rFonts w:ascii="Arial" w:cs="Arial" w:eastAsia="Arial" w:hAnsi="Arial"/>
          <w:sz w:val="22"/>
          <w:szCs w:val="22"/>
          <w:color w:val="auto"/>
          <w:vertAlign w:val="superscript"/>
        </w:rPr>
        <w:t>®</w:t>
      </w:r>
      <w:r>
        <w:rPr>
          <w:rFonts w:ascii="Arial" w:cs="Arial" w:eastAsia="Arial" w:hAnsi="Arial"/>
          <w:sz w:val="16"/>
          <w:szCs w:val="16"/>
          <w:color w:val="auto"/>
        </w:rPr>
        <w:t>, the Color Yellow</w:t>
      </w:r>
      <w:r>
        <w:rPr>
          <w:rFonts w:ascii="Arial" w:cs="Arial" w:eastAsia="Arial" w:hAnsi="Arial"/>
          <w:sz w:val="22"/>
          <w:szCs w:val="22"/>
          <w:color w:val="auto"/>
          <w:vertAlign w:val="superscript"/>
        </w:rPr>
        <w:t>®</w:t>
      </w:r>
      <w:r>
        <w:rPr>
          <w:rFonts w:ascii="Arial" w:cs="Arial" w:eastAsia="Arial" w:hAnsi="Arial"/>
          <w:sz w:val="16"/>
          <w:szCs w:val="16"/>
          <w:color w:val="auto"/>
        </w:rPr>
        <w:t>, NTI ASEAN</w:t>
      </w:r>
      <w:r>
        <w:rPr>
          <w:rFonts w:ascii="Arial" w:cs="Arial" w:eastAsia="Arial" w:hAnsi="Arial"/>
          <w:sz w:val="22"/>
          <w:szCs w:val="22"/>
          <w:color w:val="auto"/>
          <w:vertAlign w:val="superscript"/>
        </w:rPr>
        <w:t>®</w:t>
      </w:r>
      <w:r>
        <w:rPr>
          <w:rFonts w:ascii="Arial" w:cs="Arial" w:eastAsia="Arial" w:hAnsi="Arial"/>
          <w:sz w:val="16"/>
          <w:szCs w:val="16"/>
          <w:color w:val="auto"/>
        </w:rPr>
        <w:t>, COR/SCI</w:t>
      </w:r>
      <w:r>
        <w:rPr>
          <w:rFonts w:ascii="Arial" w:cs="Arial" w:eastAsia="Arial" w:hAnsi="Arial"/>
          <w:sz w:val="22"/>
          <w:szCs w:val="22"/>
          <w:color w:val="auto"/>
          <w:vertAlign w:val="superscript"/>
        </w:rPr>
        <w:t>®</w:t>
      </w:r>
      <w:r>
        <w:rPr>
          <w:rFonts w:ascii="Arial" w:cs="Arial" w:eastAsia="Arial" w:hAnsi="Arial"/>
          <w:sz w:val="16"/>
          <w:szCs w:val="16"/>
          <w:color w:val="auto"/>
        </w:rPr>
        <w:t>, Polymer Energy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Polymer Energy Logo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 well as other marks have been registered in the European Union with several new applications pending.</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5" w:name="page16"/>
    <w:bookmarkEnd w:id="15"/>
    <w:p>
      <w:pPr>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are manufactured according to NTIC’s specifications primarily by selected sub-contractors and joint ventures under trade secrecy agreements and/or license agreements. During fiscal 2012, NTIC expects to manufacture certain select new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 house at its corporate headquarters location in Circle Pines, Minnesota in order to improve the speed and quality of product development and technical support.</w:t>
      </w:r>
    </w:p>
    <w:p>
      <w:pPr>
        <w:spacing w:after="0" w:line="23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NTIC’s joint venture in India produces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at a compounding facility in Chennai, India. Depending upon future demand for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NTIC may need to open an additional compounding facility to produce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The resin compounds produced in India can be shipped to any facility around the world where they can then be converted into a finished product, such as a bag or piece of cutlery.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finished products are manufactured using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by selected sub-contractors. Because of an increasing trend for customers to buy American made products and products that have a reduced or neutral carbon footprint, NTIC is exploring alternative United States based sub-contractors for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finished products.</w:t>
      </w:r>
    </w:p>
    <w:p>
      <w:pPr>
        <w:spacing w:after="0" w:line="14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NTIC is ISO 9001 certified with respect to the manufacturing of its products and ISO 14000 certified with respect to environmental management standards. NTIC believes that the process of ISO 9001 certification serves as an excellent total quality management tool, enabling NTIC to ensure consistency in the performance of its products. NTIC believes that the process of ISO 14000 certification serves as an excellent tool for NTIC to continuously improve its environmental performance. In addition, because potential customers may prefer or require manufacturers to have achieved ISO certification, such ISO certifications may provide NTIC with certain competitive advantages.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5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NTIC generally does not carry excess quantities of raw materials or purchased parts because of widespread availability for such materials and parts from various suppliers. However, with respect to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the resin compounds and finished products, and NTIC has experienced some delay in obtaining such base resins. In addition, a number of raw materials and purchased parts used in NTIC’s rust and corrosion inhibiting products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to replace these sources in the ordinary course of business.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 had an order backlog of $400,000 as of August 31, 2011 compared to $342,000 as of August 31, 2010. These are orders that are held by NTIC pending release instructions from the customers to be used in just-in-time production. Customers generally place orders on an “as needed” basis and expect delivery within a relatively short period of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August 31, 2011, NTIC had 58 full-time employees located in the United States, consisting of 22 in sales and marketing, 16 in research and development and lab, nine in administration, 10 in production and one responsible for international coordination. As of August 31, 2011, NTIC’s majority owned Brazilian subsidiary, the operations of which are consolidated on NTIC’s consolidated financial statements, had 12 full-time employees. There are no unions representing NTIC’s employees and NTIC believes that its relations with its employees are good.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The information on NTIC’s website or any other website is not incorporated by reference into this report and is included as an inactive textual reference only.</w:t>
      </w:r>
    </w:p>
    <w:p>
      <w:pPr>
        <w:spacing w:after="0" w:line="17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report contains or incorporates by reference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guidance, plans, objectives, strategies and prospects regarding, among other things, its financial condition, results of operations and business. NTIC has identified some of these forward-looking statements with words like “believe,” “may,” “could,” “would,” “might,” “forecast,” “possible,” “potential,” “project,” “will,” “should,” “expect,” “intend,” “plan,” “predict,” “anticipate,” “estimate,” “approximate” or “continue” and other words and terms of similar meaning. The use of future dates is also an indication of a forward-looking statement. Forward-looking statements may be contained in the notes to NTIC’s consolidated financial statements and elsewhere in this report, including under the heading “Part II. Item 7. Management’s Discussion and Analysis of Financial Condition and Results of Operations.”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7"/>
          <w:szCs w:val="17"/>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“Item 1A.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“Item 1A. Risk Factors.” The risks and uncertainties described under the heading “Item 1A.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stockholders and investors to consult any further disclosures NTIC may make on related subjects in its annual reports on Form 10-K, quarterly reports on Form 10-Q and current reports on Form 8-K that NTIC files with or furnishes to the Securities and Exchange Commission.</w:t>
      </w:r>
    </w:p>
    <w:p>
      <w:pPr>
        <w:spacing w:after="0" w:line="2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operating results or financial condition.</w:t>
      </w:r>
    </w:p>
    <w:p>
      <w:pPr>
        <w:spacing w:after="0" w:line="2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Disruption and turmoil in global credit and financial markets, which may be exacerbated by the inability of certain countries to continue to service their sovereign debt obligations, and the possible negative implications of such events to the global economy, may negatively impact our business, operating results and financial condition.</w:t>
      </w:r>
    </w:p>
    <w:p>
      <w:pPr>
        <w:spacing w:after="0" w:line="20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recent downgrade of the U.S. credit rating and the possibility that certain European Union member states will default on their debt obligations have contributed to significant uncertainty about the stability of global credit and financial markets. The credit and economic conditions within certain European Union countries in particular, including Greece, Ireland, Italy, Portugal and Spain, have continued to deteriorate and have contributed to the instability in global credit and financial markets. The possibility that such EU member states will default on their debt obligations, the continued uncertainty regarding international and the European Union’s financial support programs and the possibility that other EU member states may experience similar financial troubles could further disrupt global credit and financial markets. While the ultimate outcome of these events cannot be predicted, it is possible that such events could have a negative effect on the global economy as a whole, and the business, operating results and financial condition of us and our joint ventures, in particular. For example, if the European sovereign debt crisis continues or worsens, the negative implications to the global economy and us and our joint ventures could be significant. Approximately 60% of the $119.3 million in net sales of our joint ventures during fiscal 2011 was to customers in the European Union. A deterioration of economic conditions in such countries likely would have an adverse effect the net sales of our joint ventures and, accordingly, our equity in income from joint ventures, fees for services provided to joint ventures and receipt of dividend distributions from our joint ventures. In addition, if the European sovereign debt crisis continues or worsens, the value of the Euro could deteriorate, which could negatively impact the business, operating results and financial condition of us and our joint ventures in light of the substantial operations of our joint ventures and the revenues our joint ventures derive from customers in the European Union. Tightening of the credit and financial markets could negatively impact the ability of companies to borrow money from their existing lenders, obtain credit from other sources or raise financing to fund their operations. This could negatively impact the ability of our customers and the customers of our joint ventures to purchase our products, suppliers’ ability to provide us and our joint ventures with materials and components and the ability of us and our joint ventures, if needed, to finance operations on commercially reasonable terms, or at all. Any or all of these events could negatively impact our business, operating results and financial condition.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Adverse worldwide economic conditions may adversely affect NTIC’s business, operating results and financial condition.</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Apart from the European sovereign debt crisis, the U.S. and other global economies have experienced adverse economic conditions that have affected all sectors of the economy, resulting in declines in economic growth and consumer confidence, increases in unemployment rates and uncertainty about economic stability and the possibility of a “double-dip” or another worldwide economic recession. Recessionary factors and adverse worldwide economic conditions have adversely affected NTIC’s business, operating results and financial condition in the past. NTIC’s operating results for fiscal 2009 were adversely affected by worldwide economic conditions, particularly adverse conditions affecting the worldwide automobile industry at that time. Since a significant portion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are sold to customers in the automotive industry, adverse economic conditions affecting the automotive industry again in particular may result in another adverse effect on NTIC’s net sales and its other operating results.</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Global credit and financial markets also have experienced disruptions, including diminished liquidity and credit availability and rapid fluctuations in market valuations. NTIC’s business also has been affected by these conditions and is likely to be affected by them in the future, and there is no certainty that recent improvements in economic conditions will continue, or that economic conditions will not deteriorate further. These uncertainties affect businesses such as NTIC’s in a number of ways, making it difficult to accurately forecast and plan its future business activities and financial performance. For example, the ability of NTIC’s customers to borrow money from their existing lenders or to obtain credit from other sources to purchase NTIC’s products has been and may continue to be impaired. In addition,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continued weaknesses in the worldwide economy persist or worsen.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202"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to receive.</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revenues of the joint ventures and NTIC’s receipt of dividend distributions from its joint ventures based on the profitability of its joint ventures. NTIC’s liquidity and financial position rely on NTIC’s receipt of fees for services that NTIC provides to its joint ventures and dividend distributions from its joint ventures. During fiscal 2011, NTIC received $6,129,979 in fees and $2,838,437 in dividend distributions from its joint ventures. During fiscal 2010, NTIC received $4,690,450 in fees and $840,996 in dividend distributions from its joint ventures. Because NTIC typically owns only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right="400"/>
        <w:spacing w:after="0" w:line="277"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of joint ventures and since NTIC’s equity income of joint ventures varies from quarter to quarter, NTIC’s earnings are subject to quarterly fluctuations.</w:t>
      </w:r>
    </w:p>
    <w:p>
      <w:pPr>
        <w:spacing w:after="0" w:line="19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 significant portion of NTIC’s earnings results from NTIC’s equity income of joint ventures. NTIC’s equity in income of joint ventures consists of NTIC’s share of equity in income of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of joint ventures. Accordingly, the variability in NTIC’s equity income of joint ventures, in turn, subjects NTIC’s earnings to quarterly fluctuations.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NTIC’s products are sold in intense competitive markets throughout the world. This intense competition could result in pricing pressures, lower sales, reduced margins and lower market share. The principal competitive factors in NTIC’s corrosion prevention solutions markets are pricing, product innovation, quality and reliability, product support, customer service and reputation. Additional competitive factors present in NTIC’s bioplastics business are brand awareness, distribution network, product availability, product offering, shelf life and place of manufacture.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which have led to decreased pricing and smaller margins for NTIC. NTIC anticipates that such intense competition likely will continue and that new competitors may emerge, including plastic extrusion companies, which would continue to adversely affect NTIC’s operating results.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0" w:name="page21"/>
    <w:bookmarkEnd w:id="20"/>
    <w:p>
      <w:pPr>
        <w:ind w:right="60"/>
        <w:spacing w:after="0" w:line="269" w:lineRule="auto"/>
        <w:rPr>
          <w:sz w:val="20"/>
          <w:szCs w:val="20"/>
          <w:color w:val="auto"/>
        </w:rPr>
      </w:pPr>
      <w:r>
        <w:rPr>
          <w:rFonts w:ascii="Arial" w:cs="Arial" w:eastAsia="Arial" w:hAnsi="Arial"/>
          <w:sz w:val="16"/>
          <w:szCs w:val="16"/>
          <w:b w:val="1"/>
          <w:bCs w:val="1"/>
          <w:i w:val="1"/>
          <w:iCs w:val="1"/>
          <w:color w:val="auto"/>
        </w:rPr>
        <w:t>NTIC’s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generate a significant portion of NTIC’s net sales and the net sales of NTIC’s joint ventures. During fiscal 2011, 95.0% of NTIC’s consolidated net sales were derived from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While the net sales of NTIC’s joint venture are not included in NTIC’s net sales on NTIC’s consolidated financial statements, NTIC’s receipt of fees for services that NTIC provides to its joint ventures and NTIC’s receipt of dividend distributions from its joint ventures is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23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7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20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2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 an effort to increase net sales, NTIC has expanded the marketing of its corrosion prevention solutions into the oil and gas industry, and expanded its product lines to include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The majority of NTIC’s research and development expense in fiscal 2011 was spent in connection with research and development activities related to these two strategic initiatives.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NTIC believes that the sale of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into the oil and gas industry, in particular, will involve a long sales cycle, likely including a one- to two-year trial period with each customer and a slow integration process thereafter. This long sales cycle may cause NTIC’s management, stockholders and investors to lose faith in the business opportunities for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in the oil and gas industry.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ind w:right="160"/>
        <w:spacing w:after="0" w:line="231"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launch of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will continue to require significant resources during fiscal 2012 and beyond. To the extent that NTIC’s existing capital, including amounts available under its revolving line of credit or other then existing financing arrangements,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231"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b w:val="1"/>
          <w:bCs w:val="1"/>
          <w:i w:val="1"/>
          <w:iCs w:val="1"/>
          <w:color w:val="auto"/>
        </w:rPr>
        <w:t>NTIC’s strategy of expanding its corrosion prevention solutions into the oil and gas industry and continuing its launch of its Natur-Tec</w:t>
      </w:r>
      <w:r>
        <w:rPr>
          <w:rFonts w:ascii="Arial" w:cs="Arial" w:eastAsia="Arial" w:hAnsi="Arial"/>
          <w:sz w:val="21"/>
          <w:szCs w:val="21"/>
          <w:b w:val="1"/>
          <w:bCs w:val="1"/>
          <w:i w:val="1"/>
          <w:iCs w:val="1"/>
          <w:color w:val="auto"/>
          <w:vertAlign w:val="superscript"/>
        </w:rPr>
        <w:t>®</w:t>
      </w:r>
      <w:r>
        <w:rPr>
          <w:rFonts w:ascii="Arial" w:cs="Arial" w:eastAsia="Arial" w:hAnsi="Arial"/>
          <w:sz w:val="15"/>
          <w:szCs w:val="15"/>
          <w:b w:val="1"/>
          <w:bCs w:val="1"/>
          <w:i w:val="1"/>
          <w:iCs w:val="1"/>
          <w:color w:val="auto"/>
        </w:rPr>
        <w:t xml:space="preserve"> bioplastics resin compounds and finished products is risky and may not prove to be successful, which could harm NTIC’s operating results and financial condition.</w:t>
      </w:r>
    </w:p>
    <w:p>
      <w:pPr>
        <w:spacing w:after="0" w:line="166"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During fiscal 2012, NTIC intends to continue its current strategy of expanding its corrosion prevention solutions into the oil and gas industry and continuing its launch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bioplastics resin compounds and finished products, either directly or indirectly through joint ventures and independent distributors and agents. Such a strategy is risky and subject to all of the risks inherent in the establishment of a new business enterprise, including:</w:t>
      </w:r>
    </w:p>
    <w:p>
      <w:pPr>
        <w:spacing w:after="0" w:line="193" w:lineRule="exact"/>
        <w:rPr>
          <w:sz w:val="20"/>
          <w:szCs w:val="20"/>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3"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38" w:lineRule="exact"/>
        <w:rPr>
          <w:sz w:val="20"/>
          <w:szCs w:val="20"/>
          <w:color w:val="auto"/>
        </w:rPr>
      </w:pPr>
    </w:p>
    <w:p>
      <w:pPr>
        <w:ind w:right="500"/>
        <w:spacing w:after="0" w:line="223" w:lineRule="auto"/>
        <w:rPr>
          <w:sz w:val="20"/>
          <w:szCs w:val="20"/>
          <w:color w:val="auto"/>
        </w:rPr>
      </w:pPr>
      <w:r>
        <w:rPr>
          <w:rFonts w:ascii="Arial" w:cs="Arial" w:eastAsia="Arial" w:hAnsi="Arial"/>
          <w:sz w:val="18"/>
          <w:szCs w:val="18"/>
          <w:b w:val="1"/>
          <w:bCs w:val="1"/>
          <w:i w:val="1"/>
          <w:iCs w:val="1"/>
          <w:color w:val="auto"/>
        </w:rPr>
        <w:t>If NTIC is unable to sell excess inventory related to its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bioplastics business at certain prices, NTIC may be required to record additional future write-downs, which would have an adverse effect NTIC’s operating results.</w:t>
      </w:r>
    </w:p>
    <w:p>
      <w:pPr>
        <w:spacing w:after="0" w:line="229" w:lineRule="exact"/>
        <w:rPr>
          <w:sz w:val="20"/>
          <w:szCs w:val="20"/>
          <w:color w:val="auto"/>
        </w:rPr>
      </w:pPr>
    </w:p>
    <w:p>
      <w:pPr>
        <w:ind w:right="20"/>
        <w:spacing w:after="0" w:line="208" w:lineRule="auto"/>
        <w:rPr>
          <w:sz w:val="20"/>
          <w:szCs w:val="20"/>
          <w:color w:val="auto"/>
        </w:rPr>
      </w:pPr>
      <w:r>
        <w:rPr>
          <w:rFonts w:ascii="Arial" w:cs="Arial" w:eastAsia="Arial" w:hAnsi="Arial"/>
          <w:sz w:val="17"/>
          <w:szCs w:val="17"/>
          <w:color w:val="auto"/>
        </w:rPr>
        <w:t>NTIC anticipated greater demand for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bioplastics finished products during fiscal 2010 than NTIC actually experienced, and accordingly, was unable to sell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inventory at the times and prices and in the volumes that NTIC initially anticipated. As a result, NTIC recorded a $360,577 write-down of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inventory during fourth quarter of fiscal 2010 to its market value, which adversely affected NTIC’s cost of goods sold for fiscal 2010.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raw material and finished goods inventory was purchased and manufactured previously when the base resins were significantly more expensive. As of August 31, 2011, $902,507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inventory remained on NTIC’s consolidated balance sheet. If NTIC is unable to sell its remaining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inventory at the times and prices and in the volumes at which it currently anticipates, additional future write-downs may be necessary, which would again adversely affect NTIC’s cost of goods sold, and in turn, NTIC’s operating results.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NTIC relies on others for its production and any interruptions of these arrangements could disrupt NTIC’s ability to fill its customers’ orders.</w:t>
      </w:r>
    </w:p>
    <w:p>
      <w:pPr>
        <w:spacing w:after="0" w:line="2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utilizes contract manufacturers for substantially all of its production requirements. The majority of NTIC’s manufacturing is conducted in China and India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and thus adversely affect NTIC’s net sales and other operating results.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9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 Shortages of raw materials, quality control problems, production capacity constraints or delays by suppliers could negatively affect NTIC’s ability to meet its production obligations and result in increased prices for affected</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parts. Any such shortage, constraint or delay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 With respect to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and NTIC has experienced some delay in obtaining such base resins. In addition, a number of raw materials and purchased parts used in NTIC’s rust and corrosion inhibiting products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components. Future shortages of materials and components could cause delayed shipments and customer dissatisfaction and adversely affect 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NTIC uses certain raw materials and components in its products, including in particular plastic resins, which are subject to price increases. Increases in prices for raw materials and components used in NTIC’s products could adversely affect NTIC’s gross margins and other operating results.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right="620"/>
        <w:spacing w:after="0" w:line="223"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 viability of market opportunities for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The traditional plastics market sector is well-established with entrenched competitors with whom NTIC competes. Pricing for traditional plastics has been highly volatile in recent years, which drive, to some extent, the commercial and other support for bioplastics. While NTIC expects to be able to command a premium price for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 widening gap in the pricing for bioplastics versus petroleum-based plastics may reduce the size of the addressable market for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finished products.</w:t>
      </w:r>
    </w:p>
    <w:p>
      <w:pPr>
        <w:spacing w:after="0" w:line="15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NTIC’s international business, which is conducted primarily through its joint ventures, requires management attention and financial resources and exposes NTIC to difficulties and risks presented by international economic, political, legal, accounting and business factors.</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sells products and services directly and via a network of joint ventures, independent distributors, manufacturer’s sales representatives and agents in over 55 countries, including countries in North America, Europe, Asia and the Middle East. One of NTIC’s strategic objectives is the continued expansion of its international operations. The expansion of NTIC’s existing international operations and entry into additional international markets require management attention and financial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2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Many of the countries in which NTIC sells its products directly or indirectly through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208" w:lineRule="exact"/>
        <w:rPr>
          <w:sz w:val="20"/>
          <w:szCs w:val="20"/>
          <w:color w:val="auto"/>
        </w:rPr>
      </w:pPr>
    </w:p>
    <w:p>
      <w:pPr>
        <w:ind w:left="820" w:hanging="13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97" w:lineRule="exact"/>
        <w:rPr>
          <w:rFonts w:ascii="Arial" w:cs="Arial" w:eastAsia="Arial" w:hAnsi="Arial"/>
          <w:sz w:val="18"/>
          <w:szCs w:val="18"/>
          <w:color w:val="auto"/>
        </w:rPr>
      </w:pPr>
    </w:p>
    <w:p>
      <w:pPr>
        <w:jc w:val="both"/>
        <w:ind w:left="820" w:hanging="136"/>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ind w:left="820" w:hanging="13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97"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5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 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ind w:right="20"/>
        <w:spacing w:after="0" w:line="255"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 The Securities and Exchange Commission has increased its enforcement of the FCPA during the past several years. Although NTIC does not believe it is currently a target in any such enforcement action, any investigation of any potential violations of the FCPA or other anticorruption laws by U.S. or foreign authorities also could have an adverse impact on NTIC’s business, financial condition and results of operations.</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Any changes in foreign currency exchange rates would be reflected as a foreign currency translation adjustment and would not change NTIC’s equity in income of joint ventures reflected in its consolidated statements of operations. NTIC does not hedge against its foreign currency exchange rate risk.</w:t>
      </w:r>
    </w:p>
    <w:p>
      <w:pPr>
        <w:spacing w:after="0" w:line="19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mix of pre-tax income or loss among the tax jurisdictions in which NTIC operates that have varying tax rates could impact NTIC’s effective tax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rate. NTIC is subject to income taxes as well as non-income based taxes, in both the United States and various foreign jurisdictions. Judgment is required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worldwide provision for income taxes, other tax liabilities, interest and penalties. Future events could change management’s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assessment. NTIC operates within multiple taxing jurisdictions and is subject to tax audits in these jurisdictions. These audits can involve complex issues,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may require an extended period of time to resolve. NTIC also has made assumptions about the realization of deferred tax assets. Changes in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could result in a valuation allowance for these assets. Final determination of tax audits or tax disputes may be different from what is currently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reflected by NTIC’s income tax provisions and accruals.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intends to grow its business through additional joint ventures, alliances and acquisitions, which could be risky and harm its business.</w:t>
      </w:r>
    </w:p>
    <w:p>
      <w:pPr>
        <w:spacing w:after="0" w:line="2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214" w:lineRule="exact"/>
        <w:rPr>
          <w:sz w:val="20"/>
          <w:szCs w:val="20"/>
          <w:color w:val="auto"/>
        </w:rPr>
      </w:pPr>
    </w:p>
    <w:p>
      <w:pPr>
        <w:ind w:left="820" w:hanging="13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52" w:lineRule="exact"/>
        <w:rPr>
          <w:rFonts w:ascii="Arial" w:cs="Arial" w:eastAsia="Arial" w:hAnsi="Arial"/>
          <w:sz w:val="18"/>
          <w:szCs w:val="18"/>
          <w:color w:val="auto"/>
        </w:rPr>
      </w:pPr>
    </w:p>
    <w:p>
      <w:pPr>
        <w:ind w:left="820" w:hanging="13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spacing w:after="0" w:line="197" w:lineRule="exact"/>
        <w:rPr>
          <w:rFonts w:ascii="Arial" w:cs="Arial" w:eastAsia="Arial" w:hAnsi="Arial"/>
          <w:sz w:val="18"/>
          <w:szCs w:val="18"/>
          <w:color w:val="auto"/>
        </w:rPr>
      </w:pPr>
    </w:p>
    <w:p>
      <w:pPr>
        <w:ind w:left="820" w:hanging="13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spacing w:after="0" w:line="197" w:lineRule="exact"/>
        <w:rPr>
          <w:rFonts w:ascii="Arial" w:cs="Arial" w:eastAsia="Arial" w:hAnsi="Arial"/>
          <w:sz w:val="18"/>
          <w:szCs w:val="18"/>
          <w:color w:val="auto"/>
        </w:rPr>
      </w:pPr>
    </w:p>
    <w:p>
      <w:pPr>
        <w:ind w:left="820" w:hanging="13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spacing w:after="0" w:line="197" w:lineRule="exact"/>
        <w:rPr>
          <w:rFonts w:ascii="Arial" w:cs="Arial" w:eastAsia="Arial" w:hAnsi="Arial"/>
          <w:sz w:val="18"/>
          <w:szCs w:val="18"/>
          <w:color w:val="auto"/>
        </w:rPr>
      </w:pPr>
    </w:p>
    <w:p>
      <w:pPr>
        <w:jc w:val="both"/>
        <w:ind w:left="820" w:right="20" w:hanging="13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208" w:lineRule="exact"/>
        <w:rPr>
          <w:rFonts w:ascii="Arial" w:cs="Arial" w:eastAsia="Arial" w:hAnsi="Arial"/>
          <w:sz w:val="18"/>
          <w:szCs w:val="18"/>
          <w:color w:val="auto"/>
        </w:rPr>
      </w:pPr>
    </w:p>
    <w:p>
      <w:pPr>
        <w:ind w:left="820" w:hanging="13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spacing w:after="0" w:line="197" w:lineRule="exact"/>
        <w:rPr>
          <w:rFonts w:ascii="Arial" w:cs="Arial" w:eastAsia="Arial" w:hAnsi="Arial"/>
          <w:sz w:val="18"/>
          <w:szCs w:val="18"/>
          <w:color w:val="auto"/>
        </w:rPr>
      </w:pPr>
    </w:p>
    <w:p>
      <w:pPr>
        <w:ind w:left="820" w:right="20" w:hanging="13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219"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especially risky in light of the hazards typically associated with such operations and the significant amount of potential liability involved, which could adversely affect our business if our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are involved, even if the cause of such events was not related to our products.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Because we sell our ZERUST® rust and corrosion inhibiting products into the oil and gas industry, we are subject to some of the risks and hazards typically associated with such operations, including hazards such as fire, explosion, blowouts, cratering, unplanned gas releases and spills, each of which could be claimed to be attributed to the failure of our products to perform as anticipated. If such events occur and our products are involved, our business and operating results may suffer even if the cause of such events was not related to our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NTIC’s current management, other than its President and Chief Executive Officer, does not have any material stock ownership in NTIC. In addition, none of NTIC’s employees has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93"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b w:val="1"/>
          <w:bCs w:val="1"/>
          <w:i w:val="1"/>
          <w:iCs w:val="1"/>
          <w:color w:val="auto"/>
        </w:rPr>
        <w:t>NTIC expects to transition the manufacturing of certain select ZERUST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rust and corrosion inhibiting products in house at its corporate headquarters location in Circle Pines, Minnesota during fiscal 2012 which could adversely affect the supply of such products if the transition does not proceed smoothly.</w:t>
      </w:r>
    </w:p>
    <w:p>
      <w:pPr>
        <w:spacing w:after="0" w:line="230"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During fiscal 2012, NTIC expects to transition the manufacturing of certain select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in house at its corporate headquarters location in Circle Pines, Minnesota in order to improve the speed and quality of product development and technical support. If such transition does not proceed smoothly, it could affect the supply of such products and adversely affect NTIC’s business and operating results.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28" w:name="page29"/>
    <w:bookmarkEnd w:id="28"/>
    <w:p>
      <w:pPr>
        <w:ind w:right="16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22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NTIC may not achieve projected goals and objectives in the time periods that NTIC anticipates or announces publicly, which could have an adverse effect on NTIC’s business and could cause its stock price to decline.</w:t>
      </w:r>
    </w:p>
    <w:p>
      <w:pPr>
        <w:spacing w:after="0" w:line="19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NTIC sets goals and objectives for, and makes public statements regarding, the timing of certain accomplishments and milestones regarding its business, such as its progress in selling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to customers in the oil and gas industry, the progress and timing of its various field trials with prospective customers in the oil and gas industry, its ability to increase sales of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and other developments and milestones. The actual timing of these events can vary dramatically due to a number of factors including without limitation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and could cause its stock price to decline.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9" w:name="page30"/>
    <w:bookmarkEnd w:id="29"/>
    <w:p>
      <w:pPr>
        <w:ind w:right="20"/>
        <w:spacing w:after="0" w:line="264" w:lineRule="auto"/>
        <w:rPr>
          <w:sz w:val="20"/>
          <w:szCs w:val="20"/>
          <w:color w:val="auto"/>
        </w:rPr>
      </w:pPr>
      <w:r>
        <w:rPr>
          <w:rFonts w:ascii="Arial" w:cs="Arial" w:eastAsia="Arial" w:hAnsi="Arial"/>
          <w:sz w:val="18"/>
          <w:szCs w:val="18"/>
          <w:color w:val="auto"/>
        </w:rPr>
        <w:t>NTIC also discloses from time to time projected financial information, including its anticipated annual net sales and net earnings. These financial projections are based on management’s current expectations and do not contain any margin of error or cushion for any specific uncertainties, or for the uncertainties inherent in all financial forecasting.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7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Dodd-Frank Wall Street Reform and Consumer Protection Act and the Sarbanes-Oxley Act of 2002 and related and other recent regulations implemented by the SEC and the NASDAQ Stock Market, are creating challenges for publicly-held companies, including NTIC. NTIC’s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Although NTIC’s management concluded that NTIC’s internal control over financial reporting was effective as of August 31, 2011, no assurance can be provided that NTIC’s management will reach a similar conclusion as of any later date or that NTIC’s independent registered public accounting firm will agree with management’s conclusions in the event NTIC becomes an “accelerated filer” under SEC rules and NTIC’s independent registered public accounting firm is required to attest to management’s report on its internal control over financial reporting.</w:t>
      </w:r>
    </w:p>
    <w:p>
      <w:pPr>
        <w:spacing w:after="0" w:line="19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NTIC’s compliance with U.S. generally accepted accounting principles and any changes in such principles might adversely affect NTIC’s operating results and financial condition. Any requirement to consolidate NTIC’s joint ventures or subject them to compliance with the internal control provisions of the Sarbanes-Oxley Act of 2002 could adversely affect NTIC’s operating results and financial condition.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there were a change in accounting rules and NTIC were required to fully consolidate its joint ventures or if NTIC’s joint ventures otherwise would be required to be consolidated with NTIC to be in compliance with the internal control provisions of the Sarbanes-Oxley Act of 2002,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NTIC becomes an “accelerated filer” under SEC rules, NTIC will be subject to additional burdensome SEC disclosure and other rules and regulations, which may cause NTIC to incur additional costs to comply with such rules and regulations and the non-compliance of which may have an adverse effect on NTIC’s operating results.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0" w:name="page31"/>
    <w:bookmarkEnd w:id="30"/>
    <w:p>
      <w:pPr>
        <w:ind w:right="20"/>
        <w:spacing w:after="0" w:line="276" w:lineRule="auto"/>
        <w:rPr>
          <w:sz w:val="20"/>
          <w:szCs w:val="20"/>
          <w:color w:val="auto"/>
        </w:rPr>
      </w:pPr>
      <w:r>
        <w:rPr>
          <w:rFonts w:ascii="Arial" w:cs="Arial" w:eastAsia="Arial" w:hAnsi="Arial"/>
          <w:sz w:val="17"/>
          <w:szCs w:val="17"/>
          <w:color w:val="auto"/>
        </w:rPr>
        <w:t>If NTIC becomes an “accelerated filer” under SEC rules, NTIC will be subject to additional burdensome SEC disclosure and other rules and regulations, such as the requirement of NTIC’s independent registered public accounting firm to attest to NTIC’s management’s report on the effectiveness of NTIC’s internal control over financial reporting and the requirement of NTIC to comply with certain additional disclosures rules and regulations, including the requirement to include additional executive compensation disclosures in NTIC’s proxy statement in connection with its annual meeting of stockholders. If NTIC does not comply with such additional rules and regulations, the results may have an adverse effect on NTIC’s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NTIC’s business is subject to a number of other miscellaneous risks that may adversely affect NTIC’s operating results, financial condition or business, such as natural or man-made disasters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number of shares of NTIC’s common stock being traded on a daily basis is often very low and on some trading days, there is no trading volume at all. Any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market price and trading volume of NTIC’s common stock price has fluctuated over a wide range during the past year or so. During fiscal 2011, the sale price of NTIC’s common stock ranged from a low of $9.00 per share to a high of $20.87 per share, and the daily trading volume ranged from zero shares to 41,500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As of November 18, 2011, NTIC had 4,397,324 shares of common stock outstanding, of which 17.8%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2" w:name="page33"/>
    <w:bookmarkEnd w:id="32"/>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of these analysts cease coverage of NTIC or fail to regularly publish reports on NTIC, NTIC could lose visibility in the financial markets, which, in turn, could cause the market price or trading volume for NTIC’s common stock to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in the past NTIC has paid dividends on its common stock, NTIC has not done so since fiscal 2005. The payment of any future dividends will be determined by NTIC’s Board of Directors in light of conditions then existing, including NTIC’s earnings (if any), financial condition, cash requirements, restrictions in financing agreements, business conditions and other factors. NTIC’s Board of Directors currently does not anticipate paying a dividend on NTIC’s common stock in the near future, but rather intends to retain all of its earnings for the foreseeable future to finance the operation and expansion of its business. As a result, NTIC’s stockholders will only receive a return on their investment in NTIC’s common stock if the market price of the common stock increases.</w:t>
      </w:r>
    </w:p>
    <w:p>
      <w:pPr>
        <w:spacing w:after="0" w:line="22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November 18, 2011, Inter Alia Holding Company, or Inter Alia, beneficially owned approximately 13.7% of NTIC’s outstanding common stock. Inter Alia is an entity partially owned by G. Patrick Lynch, NTIC’s President and Chief Executive Officer and a director, as well as three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issuances by NTIC may have dilutive and other effects on NTIC’s existing stockholders.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November 18, 2011 there were 4,397,324 shares of NTIC’s common stock outstanding, and in addition, security holders held options, which, if vested and exercised, would obligate NTIC to issue up to 213,839 additional shares of common stock. It is expected that such shares, when NTIC issues them upon exercise, will be available for immediate resale in the public market. The market price of NTIC’s common stock could fall as a result of sales of these shares of common stock due to the increased number of shares available for sale in the market. In addition, NTIC has a shelf registration statement, which subject to certain limitations, permits NTIC to sell shares of its common stock or securities convertible into or exercisable for shares of its common stock, and all of which would be available for resale in the public market. Of the initial $50,000,000 in equity securities registered under this shelf registration statement, approximately $46,500,000 in equity securities remains available for issuance. Any issuances by NTIC of equity securities either under this shelf registration statement or otherwise may be at or below the prevailing market price of NTIC’s common stock and may have a dilutive impact on NTIC’s existing stockholders. These issuances or other dilutive issuances also would cause NTIC’s net income per share, if any, to decrease in future periods. As a result, the market price of NTIC’s common stock could decrease.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1B is inapplicable to NTIC as a smaller reporting company.</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NTIC’s principal executive offices, production facilities and domestic research and development operations are located at 4201 Woodland Road, Circle Pines, Minnesota 55014. NTIC purchased the real estate and 40,000 square feet building in which its corporate headquarters is located in September 2006. To finance the purchase, Northern Technologies Holding Company, LLC (NTI LLC) obtained a term loan from PNC Bank, National Association (PNC Bank) with a principal amount of $1,275,000 that was to mature on May 1, 2011. On January 10, 2011, NTI LLC refinanced the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The term loan is secured by a first lien on the real estate and building owned by NTI LLC and all of the assets of NTIC and is guaranteed by NTIC.</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subsidiary of NTIC, NTI Facilities, Inc., leases approximately 17,000 square feet of office, manufacturing, laboratory and warehouse space located at 23205 Mercantile Road, Beachwood, Ohio. The monthly rental payments are $17,500, which are adjusted annually according to the annual consumer price index, through November 2014. Additionally, NTIC has contract warehousing agreements in place in California and Indiana to hold and release stock products to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NTIC’s management considers NTIC’s current properties suitable and adequate for its current and foreseeable needs.</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From time to time, NTIC is subject to various claims and legal actions in the ordinary course of its business. NTIC is not currently involved in any legal proceeding in which NTIC believes, based on information currently available, that there is a reasonable possibility of a material loss.</w:t>
      </w:r>
    </w:p>
    <w:p>
      <w:pPr>
        <w:spacing w:after="0" w:line="1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[REMOVED AND RESERVED]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34" w:name="page35"/>
    <w:bookmarkEnd w:id="34"/>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two individuals named below have been designated by NTIC’s Board of Directors as “executive officers” of NTIC. Their ages and the offices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18, 2011,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696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Position with NTIC</w:t>
            </w:r>
          </w:p>
        </w:tc>
      </w:tr>
      <w:tr>
        <w:trPr>
          <w:trHeight w:val="224"/>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 Patrick Lynch</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color w:val="auto"/>
              </w:rPr>
              <w:t>Matthew C. Wolsfeld</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37</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Business School in Ann Arbor, Michigan.</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the offices held, as of November 18, 2011,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696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Position with NTIC</w:t>
            </w:r>
          </w:p>
        </w:tc>
      </w:tr>
      <w:tr>
        <w:trPr>
          <w:trHeight w:val="224"/>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Prof. Efim Ya. Lyublinski</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Vice President and Director of New Technologies and Applications Engineering</w:t>
            </w:r>
          </w:p>
        </w:tc>
      </w:tr>
      <w:tr>
        <w:trPr>
          <w:trHeight w:val="516"/>
        </w:trPr>
        <w:tc>
          <w:tcPr>
            <w:tcW w:w="2880" w:type="dxa"/>
            <w:vAlign w:val="bottom"/>
            <w:gridSpan w:val="2"/>
          </w:tcPr>
          <w:p>
            <w:pPr>
              <w:spacing w:after="0"/>
              <w:rPr>
                <w:sz w:val="20"/>
                <w:szCs w:val="20"/>
                <w:color w:val="auto"/>
              </w:rPr>
            </w:pPr>
            <w:r>
              <w:rPr>
                <w:rFonts w:ascii="Arial" w:cs="Arial" w:eastAsia="Arial" w:hAnsi="Arial"/>
                <w:sz w:val="18"/>
                <w:szCs w:val="18"/>
                <w:color w:val="auto"/>
              </w:rPr>
              <w:t>Vineet R. Dalal</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Vice President and Director – Global Market Development – Natur-Tec</w:t>
            </w:r>
            <w:r>
              <w:rPr>
                <w:rFonts w:ascii="Arial" w:cs="Arial" w:eastAsia="Arial" w:hAnsi="Arial"/>
                <w:sz w:val="25"/>
                <w:szCs w:val="25"/>
                <w:color w:val="auto"/>
                <w:vertAlign w:val="superscript"/>
              </w:rPr>
              <w:t>®</w:t>
            </w:r>
          </w:p>
        </w:tc>
      </w:tr>
      <w:tr>
        <w:trPr>
          <w:trHeight w:val="347"/>
        </w:trPr>
        <w:tc>
          <w:tcPr>
            <w:tcW w:w="2880" w:type="dxa"/>
            <w:vAlign w:val="bottom"/>
            <w:gridSpan w:val="2"/>
          </w:tcPr>
          <w:p>
            <w:pPr>
              <w:spacing w:after="0"/>
              <w:rPr>
                <w:sz w:val="20"/>
                <w:szCs w:val="20"/>
                <w:color w:val="auto"/>
              </w:rPr>
            </w:pPr>
            <w:r>
              <w:rPr>
                <w:rFonts w:ascii="Arial" w:cs="Arial" w:eastAsia="Arial" w:hAnsi="Arial"/>
                <w:sz w:val="18"/>
                <w:szCs w:val="18"/>
                <w:color w:val="auto"/>
              </w:rPr>
              <w:t>Gautam Ramdas</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37</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Vice President and Director – Global Market Development –   Oil &amp; Gas</w:t>
            </w: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 Protection at the Central Research Institute of Structural Materials, St. Petersburg, Russia. Prof. Lyublinski also held a Senior Consulting Position with Osmos Technology, Boston, Massachusetts from 1995 to 1999. Prof. Lyublinski holds several patents, is responsible for several inventions and has authored several books and articles and lectured at more than 100 symposiums, conferences and congresses in the areas of materials science and corrosion.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5" w:name="page36"/>
    <w:bookmarkEnd w:id="35"/>
    <w:p>
      <w:pPr>
        <w:ind w:right="80"/>
        <w:spacing w:after="0" w:line="241" w:lineRule="auto"/>
        <w:rPr>
          <w:sz w:val="20"/>
          <w:szCs w:val="20"/>
          <w:color w:val="auto"/>
        </w:rPr>
      </w:pPr>
      <w:r>
        <w:rPr>
          <w:rFonts w:ascii="Arial" w:cs="Arial" w:eastAsia="Arial" w:hAnsi="Arial"/>
          <w:sz w:val="18"/>
          <w:szCs w:val="18"/>
          <w:color w:val="auto"/>
        </w:rPr>
        <w:t>Vineet R. Dalal, an employee of NTIC since 2004, has served as Vice President and Director – Global Market Development –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since November 2005. Prior to joining NTIC, Mr. Dalal was a Principal in the Worldwide Product Development Practice of PRTM, a management consultancy to technology based companies.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Business School in Ann Arbor, Michigan. He also holds an M.S. degree in Electrical and Computer Engineering from Oregon State University, and a B.Eng. degree in Electronics Engineering from Karnatak University, India.</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U.S. and in India. Mr. Ramdas received an M.B.A. from the University of Michigan Business School in Ann Arbor, Michigan. He also holds a bachelor’s degree in Mechanical Engineering from the College of Engineering, Guindy (Chennai), India.</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2011</w:t>
            </w:r>
          </w:p>
        </w:tc>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Third Quarter</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First Quarter</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Fiscal 2010</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Third Quarter</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First Quarter</w:t>
            </w:r>
          </w:p>
        </w:tc>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NTIC’s Board of Directors has declared cash dividends to NTIC’s stockholders in the past,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2011, there were 243 record holders of NTIC’s common stock. This does not include shares held in “street name” or beneficially owned.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NTIC did not issue any shares of its common stock or any other equity securities of NTIC that were not registered under the Securities Act of 1933, as amended, during the fourth quarter of fiscal year ended August 31,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NTIC did not purchase any shares of its common stock or any other equity securities of NTIC during the fourth quarter of fiscal year ended August 31, 2011.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7" w:name="page38"/>
    <w:bookmarkEnd w:id="37"/>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6 is inapplicable to NTIC as a smaller reporting company and has been omitted pursuant to Item 301(c) of SEC Regulation S-K.</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1. Business—Forward-Looking Statements” and under the heading “Part I. Item 1A. Risk Factors.” The following discussion of the results of the operations and financial condition of NTIC should be read in conjunction with NTIC’s consolidated financial statements and the related notes thereto included under “Part II. Item 8. Financial Statements and Supplementary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48" w:lineRule="exact"/>
        <w:rPr>
          <w:sz w:val="20"/>
          <w:szCs w:val="20"/>
          <w:color w:val="auto"/>
        </w:rPr>
      </w:pPr>
    </w:p>
    <w:p>
      <w:pPr>
        <w:ind w:left="820" w:hanging="136"/>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recent fiscal year.</w:t>
      </w:r>
    </w:p>
    <w:p>
      <w:pPr>
        <w:spacing w:after="0" w:line="188" w:lineRule="exact"/>
        <w:rPr>
          <w:rFonts w:ascii="Arial" w:cs="Arial" w:eastAsia="Arial" w:hAnsi="Arial"/>
          <w:sz w:val="18"/>
          <w:szCs w:val="18"/>
          <w:color w:val="auto"/>
        </w:rPr>
      </w:pPr>
    </w:p>
    <w:p>
      <w:pPr>
        <w:ind w:left="820" w:right="20" w:hanging="136"/>
        <w:spacing w:after="0" w:line="313"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NTIC’s Joint Venture Network</w:t>
      </w:r>
      <w:r>
        <w:rPr>
          <w:rFonts w:ascii="Arial" w:cs="Arial" w:eastAsia="Arial" w:hAnsi="Arial"/>
          <w:sz w:val="17"/>
          <w:szCs w:val="17"/>
          <w:color w:val="auto"/>
        </w:rPr>
        <w:t>. This section provides a brief overview of NTIC’s joint venture network, the joint ventures which are considered</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significant to NTIC’s consolidated assets and income and how NTIC’s joint ventures are accounted for by NTIC.</w:t>
      </w:r>
    </w:p>
    <w:p>
      <w:pPr>
        <w:spacing w:after="0" w:line="165" w:lineRule="exact"/>
        <w:rPr>
          <w:rFonts w:ascii="Arial" w:cs="Arial" w:eastAsia="Arial" w:hAnsi="Arial"/>
          <w:sz w:val="17"/>
          <w:szCs w:val="17"/>
          <w:color w:val="auto"/>
        </w:rPr>
      </w:pPr>
    </w:p>
    <w:p>
      <w:pPr>
        <w:ind w:left="820" w:hanging="13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Financial Overview</w:t>
      </w:r>
      <w:r>
        <w:rPr>
          <w:rFonts w:ascii="Arial" w:cs="Arial" w:eastAsia="Arial" w:hAnsi="Arial"/>
          <w:sz w:val="18"/>
          <w:szCs w:val="18"/>
          <w:color w:val="auto"/>
        </w:rPr>
        <w:t>. This section provides a brief summary of NTIC’s financial results and financial condition for fiscal 2011.</w:t>
      </w:r>
    </w:p>
    <w:p>
      <w:pPr>
        <w:spacing w:after="0" w:line="252" w:lineRule="exact"/>
        <w:rPr>
          <w:rFonts w:ascii="Arial" w:cs="Arial" w:eastAsia="Arial" w:hAnsi="Arial"/>
          <w:sz w:val="18"/>
          <w:szCs w:val="18"/>
          <w:color w:val="auto"/>
        </w:rPr>
      </w:pPr>
    </w:p>
    <w:p>
      <w:pPr>
        <w:ind w:left="820" w:hanging="136"/>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88" w:lineRule="exact"/>
        <w:rPr>
          <w:rFonts w:ascii="Arial" w:cs="Arial" w:eastAsia="Arial" w:hAnsi="Arial"/>
          <w:sz w:val="18"/>
          <w:szCs w:val="18"/>
          <w:color w:val="auto"/>
        </w:rPr>
      </w:pPr>
    </w:p>
    <w:p>
      <w:pPr>
        <w:ind w:left="820" w:hanging="13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Results of Operations</w:t>
      </w:r>
      <w:r>
        <w:rPr>
          <w:rFonts w:ascii="Arial" w:cs="Arial" w:eastAsia="Arial" w:hAnsi="Arial"/>
          <w:sz w:val="17"/>
          <w:szCs w:val="17"/>
          <w:color w:val="auto"/>
        </w:rPr>
        <w:t>. This section provides an analysis of the significant line items in NTIC’s consolidated statements of operations.</w:t>
      </w:r>
    </w:p>
    <w:p>
      <w:pPr>
        <w:spacing w:after="0" w:line="263" w:lineRule="exact"/>
        <w:rPr>
          <w:rFonts w:ascii="Arial" w:cs="Arial" w:eastAsia="Arial" w:hAnsi="Arial"/>
          <w:sz w:val="17"/>
          <w:szCs w:val="17"/>
          <w:color w:val="auto"/>
        </w:rPr>
      </w:pPr>
    </w:p>
    <w:p>
      <w:pPr>
        <w:ind w:left="820" w:right="20" w:hanging="136"/>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debt and other commitments.</w:t>
      </w:r>
    </w:p>
    <w:p>
      <w:pPr>
        <w:spacing w:after="0" w:line="188" w:lineRule="exact"/>
        <w:rPr>
          <w:rFonts w:ascii="Arial" w:cs="Arial" w:eastAsia="Arial" w:hAnsi="Arial"/>
          <w:sz w:val="18"/>
          <w:szCs w:val="18"/>
          <w:color w:val="auto"/>
        </w:rPr>
      </w:pPr>
    </w:p>
    <w:p>
      <w:pPr>
        <w:ind w:left="820" w:hanging="13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63" w:lineRule="exact"/>
        <w:rPr>
          <w:rFonts w:ascii="Arial" w:cs="Arial" w:eastAsia="Arial" w:hAnsi="Arial"/>
          <w:sz w:val="17"/>
          <w:szCs w:val="17"/>
          <w:color w:val="auto"/>
        </w:rPr>
      </w:pPr>
    </w:p>
    <w:p>
      <w:pPr>
        <w:ind w:left="820" w:hanging="13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52" w:lineRule="exact"/>
        <w:rPr>
          <w:rFonts w:ascii="Arial" w:cs="Arial" w:eastAsia="Arial" w:hAnsi="Arial"/>
          <w:sz w:val="18"/>
          <w:szCs w:val="18"/>
          <w:color w:val="auto"/>
        </w:rPr>
      </w:pPr>
    </w:p>
    <w:p>
      <w:pPr>
        <w:ind w:left="820" w:hanging="13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52" w:lineRule="exact"/>
        <w:rPr>
          <w:rFonts w:ascii="Arial" w:cs="Arial" w:eastAsia="Arial" w:hAnsi="Arial"/>
          <w:sz w:val="18"/>
          <w:szCs w:val="18"/>
          <w:color w:val="auto"/>
        </w:rPr>
      </w:pPr>
    </w:p>
    <w:p>
      <w:pPr>
        <w:jc w:val="both"/>
        <w:ind w:left="820" w:hanging="136"/>
        <w:spacing w:after="0" w:line="26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the accounting policies and estimates that are considered important to</w:t>
      </w:r>
      <w:r>
        <w:rPr>
          <w:rFonts w:ascii="Arial" w:cs="Arial" w:eastAsia="Arial" w:hAnsi="Arial"/>
          <w:sz w:val="18"/>
          <w:szCs w:val="18"/>
          <w:b w:val="1"/>
          <w:bCs w:val="1"/>
          <w:color w:val="auto"/>
        </w:rPr>
        <w:t xml:space="preserve"> </w:t>
      </w:r>
      <w:r>
        <w:rPr>
          <w:rFonts w:ascii="Arial" w:cs="Arial" w:eastAsia="Arial" w:hAnsi="Arial"/>
          <w:sz w:val="18"/>
          <w:szCs w:val="18"/>
          <w:color w:val="auto"/>
        </w:rPr>
        <w:t>NTIC’s financial condition and results of operations and require NTIC to exercise subjective or complex judgments in their application. All of NTIC’s significant accounting policies, including its critical accounting estimates, are summarized in Note 1 to NTIC’s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8" w:name="page39"/>
    <w:bookmarkEnd w:id="38"/>
    <w:p>
      <w:pPr>
        <w:jc w:val="both"/>
        <w:ind w:left="820" w:hanging="136"/>
        <w:spacing w:after="0" w:line="26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This section discusses recently issued accounting pronouncements that have had or may affect NTIC’s</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operations and financial condition and references Note 2 to NTIC’s consolidated financial statements, which summarizes such pronouncements.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NTIC develops and markets proprietary environmentally beneficial products and services in over 55 countries either directly or via a network of joint ventures, independent distributors and agents. NTIC’s primary business is corrosion prevention marketed mainly under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NTIC has been selling its proprietary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These products are intended to reduce NTIC’s customers’ carbon footprint and provide environmentally sound disposal options.</w:t>
      </w:r>
    </w:p>
    <w:p>
      <w:pPr>
        <w:spacing w:after="0" w:line="231"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through a direct sales force as well as a network of independent distributors and agents. Internationally, NTIC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through its majority owned Brazilian subsidiary, Zerust Prevenção de Corrosão S.A. (Zerust Brazil), and joint venture arrangements in North America, Europe and Asia.</w:t>
      </w:r>
    </w:p>
    <w:p>
      <w:pPr>
        <w:spacing w:after="0" w:line="231" w:lineRule="exact"/>
        <w:rPr>
          <w:sz w:val="20"/>
          <w:szCs w:val="20"/>
          <w:color w:val="auto"/>
        </w:rPr>
      </w:pPr>
    </w:p>
    <w:p>
      <w:pPr>
        <w:jc w:val="both"/>
        <w:ind w:right="100"/>
        <w:spacing w:after="0" w:line="247" w:lineRule="auto"/>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For the past several years, NTIC has focused its sales and marketing efforts on the oil and gas industry since the infrastructure that supports that industry is typically constructed using metals that are highly susceptible to corrosion and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will minimize maintenance downtime on critical oil and gas industry infrastructure, extend the life of such infrastructure and reduce the risk of environmental pollution due to corrosion</w:t>
      </w:r>
    </w:p>
    <w:p>
      <w:pPr>
        <w:spacing w:after="0" w:line="2"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leaks. Petroleo Brasileiro S.A. (Petrobras), an oil company located in Brazil, has conducted extensive multi-year product field trials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against competitive alternatives. During fiscal 2010, Zerust Brazil received a Phase I contract for an initial implementation of $1.4 million (BRL$ 2.5 million) in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During fiscal 2011, Zerust Brazil signed a Phase 2 expanded contract with Petrobras to supply an additional $2.6 million (BRL$ 4.21 million) in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NTIC is also pursuing opportunities to market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prevention solutions to other targeted potential customers in the oil and gas industry across several countries through NTIC’s joint venture partners and other strategic partners. NTIC believes the sale of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to customers in the oil and gas industry will involve a long sales cycle, likely including a one- to two-year trial period with each customer and a slow integration process thereafter.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9" w:name="page40"/>
    <w:bookmarkEnd w:id="39"/>
    <w:p>
      <w:pPr>
        <w:ind w:right="80"/>
        <w:spacing w:after="0" w:line="243" w:lineRule="auto"/>
        <w:rPr>
          <w:sz w:val="20"/>
          <w:szCs w:val="20"/>
          <w:color w:val="auto"/>
        </w:rPr>
      </w:pPr>
      <w:r>
        <w:rPr>
          <w:rFonts w:ascii="Arial" w:cs="Arial" w:eastAsia="Arial" w:hAnsi="Arial"/>
          <w:sz w:val="16"/>
          <w:szCs w:val="16"/>
          <w:color w:val="auto"/>
        </w:rPr>
        <w:t>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bio-based and biodegradable plastics are manufactured using NTIC’s patented and/or proprietary technologies and are intended to replace conventional petroleum-based plastics.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bioplastics portfolio includes biopolymer resin compounds which are available in several grades tailored for a variety of applications, such as blown-film extrusion, extrusion coating, injection molding and rigid, engineered plastics, and finished products, including shopping and grocery bags, lawn and leaf bags, can liners, pet waste collection bags, cutlery, packaging foam and coated paper products, which are engineered to be fully biodegradable in a composting environment. In North America, NTIC markets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primarily through a network of independent distributors and agents. Internationally, NTIC sells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both directly and through some of its joint venture arrangements, including in particular its joint venture in India, Harita NTI Limited (HNTI).</w:t>
      </w:r>
    </w:p>
    <w:p>
      <w:pPr>
        <w:spacing w:after="0" w:line="22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In fiscal 2011, NTIC and HNTI signed a memorandum of understanding with the Indian conglomerate ITC Limited to jointly develop and commercialize biopolymer extrusion coated paper products targeted at the consumer goods packaging market in India. The two companies will jointly develop solutions in the Indian market towards providing biodegradable/compostable products such as food service ware, food packaging, personal care product packaging and other fast-moving consumer goods packaging. The biopolymer resin compounds will be manufactured by HNTI for integration with paper manufactured by ITC’s Paperboards and Specialty Papers Division. In addition, during fiscal 2011, NTIC entered into an agreement with Italy-based Naturfuels s.r.l. to distribute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materials and products in the Italian and Swiss markets. Under the terms of the distribution agreement, NTIC will supply Naturfuels with NTIC’s patented high-strength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film grade resin compounds to be used for the production of bio-plastic shopping and garbage bags on conventional plastic film production equipment.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NTIC participates, either directly or indirectly, in 24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and NTIC’s Polymer Energy LLC joint venture manufactures and sells Polymer Energy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equipment that converts waste plastic into diesel, gasoline and heavy fractions. NTIC historically has funded its joint venture investments with cash generated from operations.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With respect to NTIC’s ASEAN joint venture holding company (NTI ASEAN), NTIC does not receive a fee for such services, but rather receives a bi-annual dividend based on available cash.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only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0" w:name="page41"/>
    <w:bookmarkEnd w:id="40"/>
    <w:p>
      <w:pPr>
        <w:ind w:right="40"/>
        <w:spacing w:after="0" w:line="269" w:lineRule="auto"/>
        <w:rPr>
          <w:sz w:val="20"/>
          <w:szCs w:val="20"/>
          <w:color w:val="auto"/>
        </w:rPr>
      </w:pPr>
      <w:r>
        <w:rPr>
          <w:rFonts w:ascii="Arial" w:cs="Arial" w:eastAsia="Arial" w:hAnsi="Arial"/>
          <w:sz w:val="17"/>
          <w:szCs w:val="17"/>
          <w:color w:val="auto"/>
        </w:rPr>
        <w:t>NTIC does not consolidate the results of its joint ventures on its consolidated financial statements. NTIC’s investments in its joint ventures are accounted for using the equity method. Although Zerust Brazil originated as a joint venture of NTIC, it is no longer considered a joint venture, but rather it is a majority owned subsidiary of NTIC and thus unlike NTIC’s joint ventures, its results are consolidated on NTIC’s consolidated financial statements. NTIC holds 85% of the equity and 85% of the voting rights of Zerust Brazil. Prior to the fourth quarter of fiscal 2010 and the preparation of NTIC’s fiscal 2010 financial statements, NTIC accounted for its Zerust Brazil investment under the equity method. NTIC owned only 50%, which it considered to be less than a majority, of the equity and voting rights of Zerust Brazil prior to September 2006. NTIC acquired an additional 35% ownership interest in Zerust Brazil in September 2006 and held 85% of the equity and voting rights thereafter. Prior to the fourth quarter of fiscal 2010, NTIC held the additional 35% ownership interest in Zerust Brazil with the intent of finding an acquiring party, believing its majority control of Zerust Brazil would be temporary and determined not to consolidate Zerust Brazil because the impact on NTIC’s consolidated financial statements was immaterial. During the fourth quarter of fiscal 2010, NTIC stopped pursuing a buyer of the 35% ownership interest and decided to consolidate the financial results of Zerust Brazil as of and for the fiscal year ended August 31, 2010. NTIC believes that the impact of not consolidating Zerust Brazil on NTIC’s consolidated financial statements for periods prior to the fourth quarter of fiscal 2010 was immaterial to NTIC’s consolidated financial statements.</w:t>
      </w:r>
    </w:p>
    <w:p>
      <w:pPr>
        <w:spacing w:after="0" w:line="20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NTIC has not consolidated the Polymer Energy LLC joint venture in NTIC’s consolidated financial statements for fiscal 2011 or fiscal 2010 or any prior period since Polymer Energy LLC has had limited activity since its inception in 2003 and NTIC believes that the impact of not consolidating this entity on NTIC’s consolidated financial statement has been immaterial. Prior to fiscal 2010 and during fiscal 2011, Polymer Energy LLC did not have any financial activity including assets, liabilities, capital contributions, revenues or expenses. During fiscal 2010, the only financial activity of Polymer Energy LLC was the receipt of license fees which were distributed to its owners in proportion to their respective ownership percentages. Since NTIC owns a 62.5% ownership interest in Polymer Energy LLC, NTIC received and recorded a portion of these fees for services provided to joint ventures in its fiscal 2010 consolidated financial statements. No license fees were received by Polymer Energy LLC and no other financial activity took place during fiscal 2011. Accordingly, during fiscal 2011, NTIC received and recorded no fees for services provided to joint ventures in its consolidated financial statements attributable to its ownership interest in Polymer Energy LLC.</w:t>
      </w:r>
    </w:p>
    <w:p>
      <w:pPr>
        <w:spacing w:after="0" w:line="2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NTIC considers EXCOR and NTI ASEAN to be individually significant to NTIC’s consolidated assets and income; and therefore, provides certain additional information regarding these entities in the notes to NTIC’s consolidated financial statements and in this section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w:t>
      </w:r>
    </w:p>
    <w:p>
      <w:pPr>
        <w:spacing w:after="0" w:line="6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NTIC’s consolidated net sales increased 35.7% during fiscal 2011 compared to fiscal 2010. This increase was primarily a result of increased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and sales to NTIC’s joint ventures. During fiscal 2011, 95.0% of NTIC’s consolidated net sales were derived from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which increased 34.2% to $18,542,523 during fiscal 2011 compared to $13,814,101 during fiscal 2010 due to increased demand primarily as a result of the economic recovery of the domestic manufacturing sector and the addition of new customers, partially offset by decreased pricing due to increased competition. NTIC has focused its sales efforts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fiscal 2011 included $3,359,463 of sales made by Zerust Brazil, and of those sales, $997,426 in sales were made to Petrobras in Brazil. Overall demand for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depends heavily on the overall health of the markets in which NTIC sells its products, including in particular the automotive market.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ind w:right="180"/>
        <w:spacing w:after="0" w:line="209" w:lineRule="auto"/>
        <w:rPr>
          <w:sz w:val="20"/>
          <w:szCs w:val="20"/>
          <w:color w:val="auto"/>
        </w:rPr>
      </w:pPr>
      <w:r>
        <w:rPr>
          <w:rFonts w:ascii="Arial" w:cs="Arial" w:eastAsia="Arial" w:hAnsi="Arial"/>
          <w:sz w:val="18"/>
          <w:szCs w:val="18"/>
          <w:color w:val="auto"/>
        </w:rPr>
        <w:t>During fiscal 2011, $984,004, or 5.0%, of NTIC’s consolidated net sales were derived from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compared to 4.0% during fiscal 2010. Net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increased 71.8% during fiscal 2011 compared to fiscal 2010. This increase was due to the addition of new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distributors on the West Coast of the United States. NTIC is continuing to strengthen and expand its West Coast distribution network in California, while expanding its industrial distribution reach to geographical “green” hotspots such as Oregon, Washington, Minnesota and New England. Additionally, NTIC is targeting key national and regional retailers utilizing independent sales agents. Demand for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depends primarily on market acceptance and the extent of NTIC’s distribution network.</w:t>
      </w:r>
    </w:p>
    <w:p>
      <w:pPr>
        <w:spacing w:after="0" w:line="232"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Cost of goods sold as a percentage of net sales increased to 65.4% during fiscal 2011 compared to 65.2% during fiscal 2010 primarily as a result of a slight increase in shipping cost, production overhead, raw material prices and a higher percentage of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which generally carry smaller margins than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w:t>
      </w:r>
    </w:p>
    <w:p>
      <w:pPr>
        <w:spacing w:after="0" w:line="14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NTIC’s equity in income of joint ventures increased 41.3% to $5,536,243 during fiscal 2011 compared to $3,919,084 during fiscal 2010. NTIC recognized a 30.7% increase in fees for services provided to joint ventures during fiscal 2011 compared to fiscal 2010. Both of these increases were primarily a result of a</w:t>
      </w:r>
    </w:p>
    <w:p>
      <w:pPr>
        <w:ind w:right="180"/>
        <w:spacing w:after="0" w:line="323" w:lineRule="auto"/>
        <w:rPr>
          <w:sz w:val="20"/>
          <w:szCs w:val="20"/>
          <w:color w:val="auto"/>
        </w:rPr>
      </w:pPr>
      <w:r>
        <w:rPr>
          <w:rFonts w:ascii="Arial" w:cs="Arial" w:eastAsia="Arial" w:hAnsi="Arial"/>
          <w:sz w:val="16"/>
          <w:szCs w:val="16"/>
          <w:color w:val="auto"/>
        </w:rPr>
        <w:t>40.4% increase in total net sales of NTIC’s joint ventures during fiscal 2011 to $119,276,553 compared to fiscal 2010. This increase in total net sales of NTIC’s joint ventures was primarily a result of the economic recovery of the international manufacturing sector that the NTIC joint venture network serves.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total operating expenses increased 23.3% or $2,606,810 to $13,798,672 during fiscal 2011 compared to fiscal 2010 primarily as a result of an increase in research and development expense, personnel expenses and annual bonus accrual.</w:t>
      </w:r>
    </w:p>
    <w:p>
      <w:pPr>
        <w:spacing w:after="0" w:line="19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NTIC expenses all costs related to product research and development as incurred. NTIC incurred $4,364,109 and $3,333,683 of expense during fiscal 2011 and 2010, respectively, in connection with its research and development activities. These represent net amounts after being reduced by reimbursements related to certain research and development contracts. Such reimbursements totaled $219,175 and $600,023 for fiscal 2011 and fiscal 2010, respectively. NTIC anticipates that it will spend between $4,300,000 and $4,500,000 in total during fiscal 2012 on research and development activities related to its new technologies. This estimate is a net range after being reduced by anticipated reimbursements related to certain research and development contracts.</w:t>
      </w:r>
    </w:p>
    <w:p>
      <w:pPr>
        <w:spacing w:after="0" w:line="22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Net income attributable to NTIC increased 50.9% to $3,900,120, or $0.89 per diluted common share, for fiscal 2011 compared to $2,583,756, or $0.61 per diluted common share, for fiscal 2010. This increase was primarily the result of increased income from NTIC’s joint ventures and gross profit, partially offset by an increase in operating expenses. NTIC anticipates that its quarterly net income will remain subject to significant volatility primarily due to the financial performance of its joint ventures and sales of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into the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products, which sales fluctuate more on a quarterly basis than the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NTIC’s working capital was $9,085,748 at August 31, 2011, including $3,266,362 in cash and cash equivalents compared to $5,918,923 at August 31, 2010, including $1,776,162 in cash and cash equivalents. NTIC expects to meet its future liquidity requirements during at least the next 12 months by using its existing cash and cash equivalents, forecasted cash flows from future operations, distributions of earnings and service fees to NTIC from its joint ventures and funds available through existing or anticipated financing arrangements. NTIC also may decide to raise additional financing to help fund its new businesses through the issuance of debt or equity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either directly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either directly or to distributors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21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Net Sales, To Joint Ventures</w:t>
      </w:r>
      <w:r>
        <w:rPr>
          <w:rFonts w:ascii="Arial" w:cs="Arial" w:eastAsia="Arial" w:hAnsi="Arial"/>
          <w:sz w:val="17"/>
          <w:szCs w:val="17"/>
          <w:color w:val="auto"/>
        </w:rPr>
        <w:t>. Net sales, to joint ventures represents net sales by NTIC to NTIC’s joint ventures, but not sales by NTIC either directly to 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color w:val="auto"/>
        </w:rPr>
        <w:t>. Most of NTIC’s products are manufactured by third parties and its cost of goods sold for those products consists primarily of the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invoiced by its third-party vendors. For the small portion of products that NTIC manufactures, NTIC’s cost of goods sold for those products consists primarily of direct labor, allocated manufacturing overhead, raw materials and components. NTIC’s margins on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w:t>
      </w:r>
    </w:p>
    <w:p>
      <w:pPr>
        <w:spacing w:after="0" w:line="14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i w:val="1"/>
          <w:iCs w:val="1"/>
          <w:color w:val="auto"/>
        </w:rPr>
        <w:t>Equity in Income of Joint Ventures</w:t>
      </w:r>
      <w:r>
        <w:rPr>
          <w:rFonts w:ascii="Arial" w:cs="Arial" w:eastAsia="Arial" w:hAnsi="Arial"/>
          <w:sz w:val="18"/>
          <w:szCs w:val="18"/>
          <w:color w:val="auto"/>
        </w:rPr>
        <w:t>. NTIC’s equity in income of joint ventures consists of NTIC’s share of equity in income of its joint ventures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overall profitability of the joint ventures. Such</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21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Fees for Services Provided To Joint Ventures</w:t>
      </w:r>
      <w:r>
        <w:rPr>
          <w:rFonts w:ascii="Arial" w:cs="Arial" w:eastAsia="Arial" w:hAnsi="Arial"/>
          <w:sz w:val="17"/>
          <w:szCs w:val="17"/>
          <w:color w:val="auto"/>
        </w:rPr>
        <w:t>. NTIC provides certain services to its joint ventures including technical consulting, travel, insurance, technical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marketing services.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With respect to NTI ASEAN, NTIC does not receive a fee for such services, but rather receives a bi-annual dividend based on available cash. NTIC records revenue related to fees for services provided to joint ventures when earned, amounts are determinable and collectability is reasonably assured. Under NTIC’s agreements with its joint ventures in which the fees for services is described, fees are earned when the joint venture recognizes the revenue.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43" w:name="page44"/>
    <w:bookmarkEnd w:id="43"/>
    <w:p>
      <w:pPr>
        <w:ind w:right="40"/>
        <w:spacing w:after="0" w:line="297" w:lineRule="auto"/>
        <w:rPr>
          <w:sz w:val="20"/>
          <w:szCs w:val="20"/>
          <w:color w:val="auto"/>
        </w:rPr>
      </w:pPr>
      <w:r>
        <w:rPr>
          <w:rFonts w:ascii="Arial" w:cs="Arial" w:eastAsia="Arial" w:hAnsi="Arial"/>
          <w:sz w:val="16"/>
          <w:szCs w:val="16"/>
          <w:color w:val="auto"/>
        </w:rPr>
        <w:t>NTIC sponsors a worldwide joint venture conference approximately every three to four years in which all of NTIC’s joint ventures are invited to participate. The next joint venture conference is scheduled to be held in the summer of 2012. NTIC defers a portion of its fees for services provided to joint ventures in each accounting period leading up to the next conference, reflecting that NTIC has not fully earned the payments received during that period. The amount deferred is based on the historical experience of NTIC, current conditions and the intentions of NTIC’s management. The costs associated with these joint venture conferences are offset against the deferral as incurred, generally in the period in which the conference is held and immediately before.</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prior years, fees for services provided to joint ventures also included license fees received by Polymer Energy LLC and distributed by Polymer Energy LLC to NTIC.</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finance, legal, information technology and human resources functions.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Expenses Incurred in Support of Joint Ventures</w:t>
      </w:r>
      <w:r>
        <w:rPr>
          <w:rFonts w:ascii="Arial" w:cs="Arial" w:eastAsia="Arial" w:hAnsi="Arial"/>
          <w:sz w:val="18"/>
          <w:szCs w:val="18"/>
          <w:color w:val="auto"/>
        </w:rPr>
        <w:t>. NTIC incurs direct expenses related to its joint ventures and in connection with NTIC’s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and services to its joint ventures. Such expenses include items such as employee compensation and benefits, travel, consulting, legal and laboratory supplies and testing expenses.</w:t>
      </w:r>
    </w:p>
    <w:p>
      <w:pPr>
        <w:spacing w:after="0" w:line="208"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consists of interest earned on investments in investment-grade, interest-bearing securities and money market accounts.</w:t>
      </w:r>
    </w:p>
    <w:p>
      <w:pPr>
        <w:spacing w:after="0" w:line="2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NTIC’s term loan with PNC Bank and any borrowings under NTIC’s 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credit with PNC Bank.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ind w:right="20"/>
        <w:spacing w:after="0" w:line="290" w:lineRule="auto"/>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 Income tax expense (benefit) includes federal income taxes, income tax in foreign jurisdictions, state income tax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2011 Compared to Fiscal Year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2011 and fiscal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34"/>
        </w:trPr>
        <w:tc>
          <w:tcPr>
            <w:tcW w:w="462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2011</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2010</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$ 16,594,004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$ 12,190,171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$ 4,403,833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2,932,523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2,196,593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735,930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12,768,640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9,384,866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3,383,774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5,536,243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3,919,084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1,617,159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6,129,979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4,690,450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1,439,529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Selling expenses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4,090,704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3,059,207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1,031,497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4,343,283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3,923,103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420,180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1,000,576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875,869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124,707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4,364,109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3,333,683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1,030,426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r>
    </w:tbl>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35.7% to $19,526,527 during fiscal 2011 compared to fiscal 2010. NTIC’s consolidated net sales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excluding NTIC’s joint ventures increased 36.1% to $16,594,004 during fiscal 2011 compared to fiscal 2010. Net sales to joint ventures increased 33.5% to $2,932,523 in fiscal 2011 compared to fiscal 2010. These increases were due primarily to an increase in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primarily as a result of increased demand due to the recovery to some extent of the manufacturing sector and the addition of new customers, partially offset by slightly decreased pricing due to increased competition.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additional detail regarding NTIC’s net sales by product category and segment for fiscal 2011 and fiscal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2011</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4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$ 18,542,523</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$ 13,814,101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4,728,422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line="229"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4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984,004</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572,663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411,341</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71.8%</w:t>
            </w: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4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$ 19,526,527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$ 14,386,764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5,139,763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36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0" w:type="dxa"/>
            <w:vAlign w:val="bottom"/>
          </w:tcPr>
          <w:p>
            <w:pPr>
              <w:jc w:val="right"/>
              <w:ind w:right="1070"/>
              <w:spacing w:after="0"/>
              <w:rPr>
                <w:sz w:val="20"/>
                <w:szCs w:val="20"/>
                <w:color w:val="auto"/>
              </w:rPr>
            </w:pPr>
            <w:r>
              <w:rPr>
                <w:rFonts w:ascii="Arial" w:cs="Arial" w:eastAsia="Arial" w:hAnsi="Arial"/>
                <w:sz w:val="18"/>
                <w:szCs w:val="18"/>
                <w:color w:val="auto"/>
              </w:rPr>
              <w:t>41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During fiscal 2011, 95.0% of NTIC’s consolidated net sales were derived from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which increased 34.2% to</w:t>
      </w:r>
    </w:p>
    <w:p>
      <w:pPr>
        <w:spacing w:after="0" w:line="233" w:lineRule="auto"/>
        <w:rPr>
          <w:sz w:val="20"/>
          <w:szCs w:val="20"/>
          <w:color w:val="auto"/>
        </w:rPr>
      </w:pPr>
      <w:r>
        <w:rPr>
          <w:rFonts w:ascii="Arial" w:cs="Arial" w:eastAsia="Arial" w:hAnsi="Arial"/>
          <w:sz w:val="17"/>
          <w:szCs w:val="17"/>
          <w:color w:val="auto"/>
        </w:rPr>
        <w:t>$18,542,523 during fiscal 2011 compared to $13,814,101 during fiscal 2010. This increase was primarily due to increased demand as a result of the economic recovery of the domestic manufacturing sector and the addition of new customers, partially offset by decreased pricing due to increased competition. Overall demand for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depends heavily on the overall health of the industrial markets in which NTIC sells its products, including in the automotive market. NTIC has focused its sales efforts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by strategically targeting customers with specific corrosion issues in new market areas, including the oil and gas industry and other industrial sectors that offer sizable growth opportunities.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NTIC’s consolidated net sales during fiscal 2011 included $3,359,463 of sales made by Zerust Brazil, and of those sales, $997,426 in sales were made to Petrobras compared to $1,925,819 of sales made by Zerust Brazil during fiscal 2010, including of those sales, $774,928 to Petrobras. As previously disclosed, during the second quarter of fiscal 2011, Zerust Brazil received a contract for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from Petrobras representing an aggregate of $2.6 million. NTIC anticipates sales to Petrobras under this contract mostly during fiscal 2012. NTIC also anticipates that its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into the oil and gas industry will remain subject to significant volatility from quarter to quarter as sales are converted and purchase orders are filled</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Net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increased 71.8% to $984,004 during fiscal 2011 compared to $572,663 in fiscal 2010. This increase was primarily due to the addition of new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distributors on the West Coast of the United States. NTIC anticipates additional revenue in future periods from anticipated sales of film-grade resin compounds to customers in both the North American and European markets, primarily to meet anticipated demand for biodegradable plastic bags that comply with various recently enacted governmental regulations. Additionally, NTIC is continuing to strengthen and expand its West Coast distribution network in California, while expanding its industrial distribution reach to geographical “green” hotspots such as Oregon, Washington, Minnesota and New England. NTIC is also targeting key national and regional retailers utilizing independent sales agents. Demand for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depends primarily on market acceptance of the products and the extent of NTIC’s distribution network, which as of August 31, 2011 consisted of 22 national and regional distributors and independent manufacturer’s sales representatives.</w:t>
      </w:r>
    </w:p>
    <w:p>
      <w:pPr>
        <w:spacing w:after="0" w:line="229"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36.1% in fiscal 2011 compared to fiscal 2010 primarily as a result of the increase in net sales.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goods sold as a percentage of net sales increased to 65.4% during fiscal 2011 compared to 65.2% during fiscal 2010 primarily as a result a slight increase in shipping cost, production overhead, raw material prices and a higher percentage of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which generally carry smaller margins than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Cost of goods sold in fiscal 2010 was effected by a $360,577 write-down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inventory to its market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value. There were no significant write-downs in fiscal 2011.</w:t>
      </w:r>
    </w:p>
    <w:p>
      <w:pPr>
        <w:spacing w:after="0" w:line="236" w:lineRule="exact"/>
        <w:rPr>
          <w:sz w:val="20"/>
          <w:szCs w:val="20"/>
          <w:color w:val="auto"/>
        </w:rPr>
      </w:pPr>
    </w:p>
    <w:p>
      <w:pPr>
        <w:spacing w:after="0" w:line="209" w:lineRule="auto"/>
        <w:rPr>
          <w:sz w:val="20"/>
          <w:szCs w:val="20"/>
          <w:color w:val="auto"/>
        </w:rPr>
      </w:pPr>
      <w:r>
        <w:rPr>
          <w:rFonts w:ascii="Arial" w:cs="Arial" w:eastAsia="Arial" w:hAnsi="Arial"/>
          <w:sz w:val="17"/>
          <w:szCs w:val="17"/>
          <w:color w:val="auto"/>
        </w:rPr>
        <w:t>NTIC anticipated greater demand for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than it experienced during fiscal 2010. Accordingly, NTIC had been unable to sell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inventory at the times and prices and in the volumes that NTIC initially anticipated. As a result, NTIC reduced the value of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inventory during fiscal 2010 to reflect its net realizable value by $360,577.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raw material and finished goods inventory was purchased and manufactured previously when the base resins were significantly more expensive. As of August 31, 2011, $902,507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inventory remained on NTIC’s consolidated balance sheet. If NTIC is unable to sell its remaining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inventory at the times and prices and in the volumes at which it currently anticipates, future additional write-downs may be necessary, which could adversely affect NTIC’s cost of goods sold.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6" w:name="page47"/>
    <w:bookmarkEnd w:id="46"/>
    <w:p>
      <w:pPr>
        <w:ind w:right="20"/>
        <w:spacing w:after="0" w:line="255" w:lineRule="auto"/>
        <w:rPr>
          <w:sz w:val="20"/>
          <w:szCs w:val="20"/>
          <w:color w:val="auto"/>
        </w:rPr>
      </w:pPr>
      <w:r>
        <w:rPr>
          <w:rFonts w:ascii="Arial" w:cs="Arial" w:eastAsia="Arial" w:hAnsi="Arial"/>
          <w:sz w:val="18"/>
          <w:szCs w:val="18"/>
          <w:i w:val="1"/>
          <w:iCs w:val="1"/>
          <w:color w:val="auto"/>
        </w:rPr>
        <w:t>Equity in Income of Joint Ventures</w:t>
      </w:r>
      <w:r>
        <w:rPr>
          <w:rFonts w:ascii="Arial" w:cs="Arial" w:eastAsia="Arial" w:hAnsi="Arial"/>
          <w:sz w:val="18"/>
          <w:szCs w:val="18"/>
          <w:color w:val="auto"/>
        </w:rPr>
        <w:t>. NTIC had equity in income of joint ventures of $5,536,243 during fiscal 2011 compared to equity in income of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of $3,919,084 during fiscal 2010. This increase in equity in income was due to increased sales and profitability of NTIC’s joint ventures. Of the total equity in income of joint ventures, NTIC had equity in income of joint ventures of $3,274,333 attributable to EXCOR during fiscal 2011 and $2,113,872 attributable to EXCOR during fiscal 2010. Of the total equity in income of joint ventures, NTIC had equity in income of joint ventures of $1,212,250 attributable to NTI ASEAN during fiscal 2011 and $902,935 attributable to NTI ASEAN during fiscal 2010. NTIC had equity in income of all other joint ventures of $1,049,660 during fiscal 2011 and $902,278 during fiscal 2010.</w:t>
      </w:r>
    </w:p>
    <w:p>
      <w:pPr>
        <w:spacing w:after="0" w:line="2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$6,129,979 during fiscal 2011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$4,690,450 during fiscal 2010, representing an increase of 30.7%. This increase in fees for services provided to joint ventures was due primarily to the</w:t>
      </w:r>
    </w:p>
    <w:p>
      <w:pPr>
        <w:jc w:val="both"/>
        <w:ind w:right="140"/>
        <w:spacing w:after="0" w:line="323" w:lineRule="auto"/>
        <w:rPr>
          <w:sz w:val="20"/>
          <w:szCs w:val="20"/>
          <w:color w:val="auto"/>
        </w:rPr>
      </w:pPr>
      <w:r>
        <w:rPr>
          <w:rFonts w:ascii="Arial" w:cs="Arial" w:eastAsia="Arial" w:hAnsi="Arial"/>
          <w:sz w:val="16"/>
          <w:szCs w:val="16"/>
          <w:color w:val="auto"/>
        </w:rPr>
        <w:t>40.4% increase in net sales of NTIC’s joint ventures to $119,276,553 in fiscal 2011 compared to $84,973,646 in fiscal 2010. Sales of NTIC’s joint ventures are not included in NTIC’s sales and are not combined with NTIC’s sales in NTIC’s consolidated financial statements or in any description of NTIC’s sales.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Of the total fee income for services provided to its joint ventures, fees of $1,066,659 were attributable to EXCOR during fiscal 2011 compared to $1,000,037 attributable to EXCOR during fiscal 2010. This increase was primarily the result of foreign currency exchange rate fluctuations. NTIC does not receive fees attributable to NTI ASEAN. NTIC receives dividend payments based on fees paid from the joint ventures that comprise the ASEAN investments. NTIC received fee income for services provided to all of its other joint ventures of $5,063,320 during fiscal 2011 compared to $3,690,413 during fiscal 2010.</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NTIC sponsors a worldwide joint venture conference periodically in which all of NTIC’s joint ventures and subsidiaries are invited to participate. NTIC defers a portion of its fees for services provided to joint ventures in each accounting period leading up to the next conference, reflecting that NTIC has not fully earned the payments received during that period. The next joint venture conference is scheduled to be held in summer of 2012 or 2013. No additional income during fiscal 2011 or fiscal 2010 was deferred related to this future conference since $288,000 had been accrued prior to such time during fiscal 2007 to fiscal 2009, which represents the amount that NTIC expects to spend to hold the next conference. This amount is based on the historical experience of NTIC, current conditions and the intentions of NTIC’s management.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33.7% in fiscal 2011 compared to fiscal 2010 primarily due to increases in compensation and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lab testing related expenses, commissions expenses, travel and related expenses, consulting expenses and selling expenses incurred at Zerust Brazil. Selling expenses as a percentage of net sales decreased to 21.0% in fiscal 2011 compared to 21.3% in fiscal 2010 due to smaller proportional increases in selling expenses compared to the increase in net sales.</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10.7% in fiscal 2011 compared to fiscal 2010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an increase in compensation and benefits expenses, partially offset by a decrease in consulting expenses and a loan write-off. As a percentage of net sales, general and administrative expenses decreased to 22.2% in fiscal 2010 compared to 27.3% in fiscal 2010 due to fixed general and administrative expenses spread over increased net sales.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47" w:name="page48"/>
    <w:bookmarkEnd w:id="47"/>
    <w:p>
      <w:pPr>
        <w:ind w:right="440"/>
        <w:spacing w:after="0" w:line="342" w:lineRule="auto"/>
        <w:rPr>
          <w:sz w:val="20"/>
          <w:szCs w:val="20"/>
          <w:color w:val="auto"/>
        </w:rPr>
      </w:pPr>
      <w:r>
        <w:rPr>
          <w:rFonts w:ascii="Arial" w:cs="Arial" w:eastAsia="Arial" w:hAnsi="Arial"/>
          <w:sz w:val="16"/>
          <w:szCs w:val="16"/>
          <w:i w:val="1"/>
          <w:iCs w:val="1"/>
          <w:color w:val="auto"/>
        </w:rPr>
        <w:t>Expenses Incurred in Support of Joint Ventures</w:t>
      </w:r>
      <w:r>
        <w:rPr>
          <w:rFonts w:ascii="Arial" w:cs="Arial" w:eastAsia="Arial" w:hAnsi="Arial"/>
          <w:sz w:val="16"/>
          <w:szCs w:val="16"/>
          <w:color w:val="auto"/>
        </w:rPr>
        <w:t>. Expenses incurred in support of NTIC’s joint ventures were $1,000,576 during fiscal 2011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$875,869 during fiscal 2010, representing an increase of 14.2%. This increase was due to an increase in consulting expense and legal and lab testing.</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30.9% in fiscal 2011 compared to fiscal 2010 due to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and benefits expense and lab testing, partially offset by a decrease in consulting expenses.</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$108,692 in fiscal 2011 compared to $30,939 in fiscal 2010 primarily due to increased cash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earning interest during fiscal 2011 compared to fiscal 2010.</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$59,541 in fiscal 2011 compared to $97,676 in fiscal 2010 primarily due to the refinancing of NTIC’s</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in fiscal 2011 and its decreased term loan balance during fiscal 2011 compared to fiscal 2010.</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Income Before Income Tax Expense (Benefit)</w:t>
      </w:r>
      <w:r>
        <w:rPr>
          <w:rFonts w:ascii="Arial" w:cs="Arial" w:eastAsia="Arial" w:hAnsi="Arial"/>
          <w:sz w:val="18"/>
          <w:szCs w:val="18"/>
          <w:color w:val="auto"/>
        </w:rPr>
        <w:t>. Income before income tax expense (benefit) increased to $4,768,155 for fiscal 2011 compared to $2,303,756</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2010.</w:t>
      </w:r>
    </w:p>
    <w:p>
      <w:pPr>
        <w:spacing w:after="0" w:line="19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Income tax expense for fiscal 2011 was $706,000 compared to a benefit of $(230,000) for fiscal 2010. Income tax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was calculated based on management’s estimate of NTIC’s annual effective income tax rate. NTIC’s annual effective income tax rate during fiscal 2011 and fiscal 2010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and that NTIC’s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2011, NTIC’s working capital was $9,085,748, including $3,266,362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$5,918,923, including $1,776,162 in cash and cash equivalents, as of August 31, 2010.</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purchase of its corporate headquarters, in September 2006, Northern Technologies Holding Company, LLC (NTI LLC) obtained a term loan from PNC Bank, National Association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NTIC and is guaranteed by NTIC.</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8" w:name="page49"/>
    <w:bookmarkEnd w:id="48"/>
    <w:p>
      <w:pPr>
        <w:spacing w:after="0" w:line="289" w:lineRule="auto"/>
        <w:rPr>
          <w:sz w:val="20"/>
          <w:szCs w:val="20"/>
          <w:color w:val="auto"/>
        </w:rPr>
      </w:pPr>
      <w:r>
        <w:rPr>
          <w:rFonts w:ascii="Arial" w:cs="Arial" w:eastAsia="Arial" w:hAnsi="Arial"/>
          <w:sz w:val="16"/>
          <w:szCs w:val="16"/>
          <w:color w:val="auto"/>
        </w:rPr>
        <w:t>As of August 31, 2011, NTIC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Advances made under the line of credit are due and payable on January 10, 2012. NTIC anticipates renewing the line of credit prior to the January 10, 2012 maturity date.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w:t>
      </w:r>
    </w:p>
    <w:p>
      <w:pPr>
        <w:spacing w:after="0" w:line="19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 Under the fixed charge coverage ratio financial covenant, NTIC shall not, as of the last calendar day of any fiscal quarter, on a rolling four quarters basis, suffer or permit the ratio of its adjusted EBITDA (defined as the aggregate of (a) its net income for that period, plus (b) its interest expense for that period, plus (c) its federal, state, and local income taxes, if any, for that period, plus (d) its depreciation and amortization charges for that period, plus (e) other non-recurring non-cash expenses reducing net income, minus (f) non-recurring non-cash items increasing net income, plus (g) increases to paid-in capital on stockholders’ equity, minus (h) decreases to paid-in capital on stockholder’s equity) to the aggregate (without duplication) of (i) its interest expense for that period, plus (ii) capital expenditures paid for from NTIC’s funds other than funds borrowed as term debt to finance such capital expenditures during that period, plus (iii) all dividends and distributions paid during that period, plus (iv) taxes paid in cash plus, plus (v) payments made under all capital leases, plus (vi) an amount equal to the aggregate of all scheduled payments of principal on all indebtedness for borrowed money having an original term of more than one year, as shown on NTIC’s consolidated financial statements as current liabilities as of one year prior to the date of determination to be less than 1.10:1.00. The fixed charge coverage ratio is to be computed and determined on a consolidated basis for NTIC and its subsidiaries in accordance with generally accepted accounting principles applied on a consistent basis (subject to normal year-end adjustments). The loan agreements also contain customary events of default, including, without limitation, payment defaults, material inaccuracy of representations and warranties, covenant defaults, bankruptcy and involuntary proceedings, and monetary judgment defaults.</w:t>
      </w:r>
    </w:p>
    <w:p>
      <w:pPr>
        <w:spacing w:after="0" w:line="22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fiscal 2012, NTIC expects to continue to invest in research and development and in marketing efforts and resources into its new businesses, product lines and markets, 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9" w:name="page50"/>
    <w:bookmarkEnd w:id="49"/>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2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fiscal 2011 was $1,136,223 which resulted principally from NTIC’s equity in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joint ventures and increases in receivables, inventories and prepaid expenses, partially offset by NTIC’s net income, depreciation, amortization, and increases in accounts payable, accrued liabilities, income taxes payable and accrued liabilities. Net cash used in operating activities during fiscal 2010 was $1,175,892 which resulted principally from NTIC’s equity in income from joint ventures and increases in inventories, trade receivables and deferred income taxes, partially offset by NTIC’s net income, depreciation and amortization expense, and decreases in services receivables from joint ventures, accrued liabilities and accounts payable.</w:t>
      </w:r>
    </w:p>
    <w:p>
      <w:pPr>
        <w:spacing w:after="0" w:line="22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NTIC experienced an increase in receivables and inventory as of August 31, 2011 compared to August 31, 2010 due to the increase in net sales and requests from customers to stock more products to shorten lead times and meet customer demand. Trade receivables excluding joint ventures as of August 31, 2011 increased $287,547 compared to August 31, 2010, primarily related to the increase in NTIC’s net sales.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trade receivables excluding joint ventures balances as of August 31, 2011 increased nine days to an average of 49 days from balances outstanding from these customers as of August 31, 2010.</w:t>
      </w:r>
    </w:p>
    <w:p>
      <w:pPr>
        <w:spacing w:after="0" w:line="19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Outstanding trade receivables from joint ventures as of August 31, 2011 decreased $66,415 compared to August 31, 2010, primarily due to the timing of payments, which resulted in a decrease of outstanding balances from trade receivables from joint ventures as of August 31, 2011 of 116 days from an average of 123 days from balances outstanding from these customers compared to August 31, 2010. The significant average days outstanding of trade receivables from joint ventures as of August 31, 2011 were primarily due to the current receivable balance at NTIC’s joint venture in India. NTIC has made separate arrangements for payments on product that NTIC’s joint venture in India has purchased from NTIC until the product is sold.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0" w:name="page51"/>
    <w:bookmarkEnd w:id="50"/>
    <w:p>
      <w:pPr>
        <w:ind w:right="40"/>
        <w:spacing w:after="0" w:line="264" w:lineRule="auto"/>
        <w:rPr>
          <w:sz w:val="20"/>
          <w:szCs w:val="20"/>
          <w:color w:val="auto"/>
        </w:rPr>
      </w:pPr>
      <w:r>
        <w:rPr>
          <w:rFonts w:ascii="Arial" w:cs="Arial" w:eastAsia="Arial" w:hAnsi="Arial"/>
          <w:sz w:val="18"/>
          <w:szCs w:val="18"/>
          <w:color w:val="auto"/>
        </w:rPr>
        <w:t>Outstanding services fees receivable from joint ventures as of August 31, 2011 increased $829,097 as compared to August 31, 2010, primarily resulting from an extension of terms mostly associated with NTIC’s joint venture in India which resulted in a increase of 21 days of fees receivable outstanding as of the August 31, 2011 to an average of 117 days as compared to August 31, 2010.</w:t>
      </w:r>
    </w:p>
    <w:p>
      <w:pPr>
        <w:spacing w:after="0" w:line="2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cash provided by investing activities during fiscal 2011 was $2,184,915 which was comprised of dividends received from joint ventures and proceeds from sale of property and equipment partially offset by additions to property and equipment, additions to patents and investments in joint ventures. Net cash provided by investing activities during fiscal 2010 was $594,418, which was comprised of dividends received from joint ventures and cash received on loans made, partially offset by investment in joint ventures and additions to property and equipment and patents.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financing activities during fiscal 2011 was $408,719, which resulted from proceeds from option exercises and NTIC’s employee stock purchase plan, partially offset by principal payments on the bank loan for NTIC’s corporate headquarters buildings. Net cash provided by financing activities during fiscal 2010 was $2,218,751, which resulted primarily from proceeds from NTIC’s September 2009 registered directed offering and from NTIC’s employee stock purchase plan and option exercises, partially offset by bank overdrafts and principal payments on the bank loan for NTIC’s corporate headquarters building.</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had no material lease or other material capital commitments as of August 31, 2011, except a lease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by NTI 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21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NTIC spent approximately $567,257 on capital expenditures during fiscal 2011 and expects to spend approximately $1,200,000 on capital expenditures during fiscal 2012. Such anticipated capital expenditures for fiscal 2012 relate primarily to the expansion of its laboratory facilities in Circle Pines, Minnesota and the purchase of new equipment.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2011,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NTIC’s joint ventures are considered related parties, NTIC records sales to its joint ventures as a separate line item on the face of NTIC’s consolidated statements of operations and records fees for services provided to its joint ventures and expenses incurred in support of its joint ventures as separate line items on the face of NTIC’s consolidated statements of operations. NTIC also records as separate line items trade receivables from joint ventures, receivables for fees for services provided to joint ventures and NTIC’s investments in joint ventures on its consolidated balance sheets.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NTIC established its joint venture network approximately 25 years ago as a method to increase its worldwide distribution network for its rust and corrosion inhibiting products and services. NTIC participates, either directly or indirectly, in 24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22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fees for services received by NTIC from its joint ventures are generally determined based on either a flat fee or a percentage of net sales by NTIC’s joint ventures depending on local laws and tax regulations. With respect to NTIC’s German joint venture, NTIC receives an agreed upon quarterly fee for such services. With respect to NTIC’s ASEAN joint venture holding company, NTIC does not receive a fee for such services, but rather receives a bi-annual dividend based on available cash.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See Note 12 to NTIC’s consolidated financial statements for other related party transaction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evaluates its voting and variable interests in entities on a qualitative and quantitative basis. The Company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subsidiaries, NTI Facilities, Inc., Northern Technologies Holding Company, LLC and NTIC’s majority owned subsidiary in Brazil, Zerust Prevenção de Corrosão S.A. NTIC’s consolidated financial statements do not include the accounts of any of its joint ventures. NTIC’s consolidated financial statements do not include Polymer Energy LLC, in which NTIC holds a 62.5% ownership interest. Polymer Energy LLC had immaterial activity in fiscal 2011 and fiscal 2010.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 NTIC’s investments in joint ventures were $20,559,509 as of August 31, 2011 and $16,055,943 as of August 31, 2010. NTIC’s investments in EXCOR and NTI ASEAN were $10,931,819 and $2,803,194, respectively, as of August 31, 2011 and $7,938,751 and $2,467,412, respectively, as of August 31, 2010.</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20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5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$20,000 as of August 31, 2011 and August 31, 2010.</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functional currency of each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9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conducts all foreign transactions based on the U.S. dollar, except for its investments in various foreign joint ventures. Since NTIC’s investments in its joint ventures are accounted for using the equity method, any changes in foreign currency exchange rates would be reflected as a foreign currency translation adjustment and would not change the equity in income of joint ventures reflected in NTIC’s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52"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 NTIC anticipated greater demand for certain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than it experienced during fiscal 2010. Accordingly, NTIC had been unable to sell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inventory at the times and prices and in the volumes that NTIC initially anticipated. As a result, NTIC recorded a $360,577 write-down of certain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inventory during fiscal 2010 to its market value, which adversely affected NTIC’s cost of goods sold for fiscal 2010.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raw material and finished goods inventory was purchased and manufactured previously when the base resins were significantly more expensive. As of August 31, 2011, $902,507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inventory remained on NTIC’s consolidated balance sheet. If NTIC is unable to sell its remaining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inventory at the times and prices and in the volumes at which it currently anticipates, future additional write-downs may be necessary, which would again adversely affect NTIC’s cost of goods sold.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This Item 7A is inapplicable to NTIC as a smaller reporting company and has been omitted pursuant to Item 305(e) of SEC Regulation S-K.</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74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59"/>
        </w:trPr>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960" w:type="dxa"/>
            <w:vAlign w:val="bottom"/>
          </w:tcPr>
          <w:p>
            <w:pPr>
              <w:jc w:val="center"/>
              <w:ind w:left="270"/>
              <w:spacing w:after="0"/>
              <w:rPr>
                <w:sz w:val="20"/>
                <w:szCs w:val="20"/>
                <w:color w:val="auto"/>
              </w:rPr>
            </w:pPr>
            <w:r>
              <w:rPr>
                <w:rFonts w:ascii="Arial" w:cs="Arial" w:eastAsia="Arial" w:hAnsi="Arial"/>
                <w:sz w:val="18"/>
                <w:szCs w:val="18"/>
                <w:b w:val="1"/>
                <w:bCs w:val="1"/>
                <w:color w:val="auto"/>
              </w:rPr>
              <w:t>INDEX TO CONSOLIDATED FINANCIAL STATEMENTS</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9520" w:type="dxa"/>
            <w:vAlign w:val="bottom"/>
            <w:gridSpan w:val="3"/>
          </w:tcPr>
          <w:p>
            <w:pPr>
              <w:spacing w:after="0"/>
              <w:rPr>
                <w:sz w:val="20"/>
                <w:szCs w:val="20"/>
                <w:color w:val="auto"/>
              </w:rPr>
            </w:pPr>
            <w:r>
              <w:rPr>
                <w:rFonts w:ascii="Arial" w:cs="Arial" w:eastAsia="Arial" w:hAnsi="Arial"/>
                <w:sz w:val="18"/>
                <w:szCs w:val="18"/>
                <w:color w:val="auto"/>
              </w:rPr>
              <w:t>The following items are included herein:</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9"/>
        </w:trPr>
        <w:tc>
          <w:tcPr>
            <w:tcW w:w="9520" w:type="dxa"/>
            <w:vAlign w:val="bottom"/>
            <w:gridSpan w:val="3"/>
          </w:tcPr>
          <w:p>
            <w:pPr>
              <w:spacing w:after="0"/>
              <w:rPr>
                <w:sz w:val="20"/>
                <w:szCs w:val="20"/>
                <w:color w:val="auto"/>
              </w:rPr>
            </w:pPr>
            <w:r>
              <w:rPr>
                <w:rFonts w:ascii="Arial" w:cs="Arial" w:eastAsia="Arial" w:hAnsi="Arial"/>
                <w:sz w:val="18"/>
                <w:szCs w:val="18"/>
                <w:color w:val="auto"/>
              </w:rPr>
              <w:t>Financial Statements: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0"/>
        </w:trPr>
        <w:tc>
          <w:tcPr>
            <w:tcW w:w="1560" w:type="dxa"/>
            <w:vAlign w:val="bottom"/>
            <w:gridSpan w:val="2"/>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38"/>
        </w:trPr>
        <w:tc>
          <w:tcPr>
            <w:tcW w:w="9520" w:type="dxa"/>
            <w:vAlign w:val="bottom"/>
            <w:gridSpan w:val="3"/>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520" w:type="dxa"/>
            <w:vAlign w:val="bottom"/>
            <w:gridSpan w:val="3"/>
          </w:tcPr>
          <w:p>
            <w:pPr>
              <w:spacing w:after="0"/>
              <w:rPr>
                <w:sz w:val="20"/>
                <w:szCs w:val="20"/>
                <w:color w:val="auto"/>
              </w:rPr>
            </w:pPr>
            <w:r>
              <w:rPr>
                <w:rFonts w:ascii="Arial" w:cs="Arial" w:eastAsia="Arial" w:hAnsi="Arial"/>
                <w:sz w:val="18"/>
                <w:szCs w:val="18"/>
                <w:color w:val="auto"/>
              </w:rPr>
              <w:t>Consolidated Balance Sheets as of August 31, 2011 and 2010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520" w:type="dxa"/>
            <w:vAlign w:val="bottom"/>
            <w:gridSpan w:val="3"/>
          </w:tcPr>
          <w:p>
            <w:pPr>
              <w:spacing w:after="0"/>
              <w:rPr>
                <w:sz w:val="20"/>
                <w:szCs w:val="20"/>
                <w:color w:val="auto"/>
              </w:rPr>
            </w:pPr>
            <w:r>
              <w:rPr>
                <w:rFonts w:ascii="Arial" w:cs="Arial" w:eastAsia="Arial" w:hAnsi="Arial"/>
                <w:sz w:val="18"/>
                <w:szCs w:val="18"/>
                <w:color w:val="auto"/>
              </w:rPr>
              <w:t>Consolidated Statements of Operations for the years ended August 31, 2011 and 2010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520" w:type="dxa"/>
            <w:vAlign w:val="bottom"/>
            <w:gridSpan w:val="3"/>
          </w:tcPr>
          <w:p>
            <w:pPr>
              <w:spacing w:after="0"/>
              <w:rPr>
                <w:sz w:val="20"/>
                <w:szCs w:val="20"/>
                <w:color w:val="auto"/>
              </w:rPr>
            </w:pPr>
            <w:r>
              <w:rPr>
                <w:rFonts w:ascii="Arial" w:cs="Arial" w:eastAsia="Arial" w:hAnsi="Arial"/>
                <w:sz w:val="18"/>
                <w:szCs w:val="18"/>
                <w:color w:val="auto"/>
              </w:rPr>
              <w:t>Consolidated Statements of Equity for the years ended August 31, 2011 and 2010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52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 for the years ended August 31, 2011 and 2010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520" w:type="dxa"/>
            <w:vAlign w:val="bottom"/>
            <w:gridSpan w:val="3"/>
          </w:tcPr>
          <w:p>
            <w:pPr>
              <w:spacing w:after="0"/>
              <w:rPr>
                <w:sz w:val="20"/>
                <w:szCs w:val="20"/>
                <w:color w:val="auto"/>
              </w:rPr>
            </w:pPr>
            <w:r>
              <w:rPr>
                <w:rFonts w:ascii="Arial" w:cs="Arial" w:eastAsia="Arial" w:hAnsi="Arial"/>
                <w:sz w:val="18"/>
                <w:szCs w:val="18"/>
                <w:color w:val="auto"/>
              </w:rPr>
              <w:t>Notes to Consolidated Financial Statements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62-78</w:t>
            </w:r>
          </w:p>
        </w:tc>
      </w:tr>
      <w:tr>
        <w:trPr>
          <w:trHeight w:val="851"/>
        </w:trPr>
        <w:tc>
          <w:tcPr>
            <w:tcW w:w="780" w:type="dxa"/>
            <w:vAlign w:val="bottom"/>
          </w:tcPr>
          <w:p>
            <w:pPr>
              <w:spacing w:after="0"/>
              <w:rPr>
                <w:sz w:val="24"/>
                <w:szCs w:val="24"/>
                <w:color w:val="auto"/>
              </w:rPr>
            </w:pPr>
          </w:p>
        </w:tc>
        <w:tc>
          <w:tcPr>
            <w:tcW w:w="8740" w:type="dxa"/>
            <w:vAlign w:val="bottom"/>
            <w:gridSpan w:val="2"/>
          </w:tcPr>
          <w:p>
            <w:pPr>
              <w:jc w:val="right"/>
              <w:ind w:right="3630"/>
              <w:spacing w:after="0"/>
              <w:rPr>
                <w:sz w:val="20"/>
                <w:szCs w:val="20"/>
                <w:color w:val="auto"/>
              </w:rPr>
            </w:pPr>
            <w:r>
              <w:rPr>
                <w:rFonts w:ascii="Arial" w:cs="Arial" w:eastAsia="Arial" w:hAnsi="Arial"/>
                <w:sz w:val="18"/>
                <w:szCs w:val="18"/>
                <w:color w:val="auto"/>
              </w:rPr>
              <w:t>53</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7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79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3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audited the accompanying consolidated balance sheets of Northern Technologies International Corporation and Subsidiaries as of August 31, 2011 and 2010, and the related consolidated statements of operations,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the Company’s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20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2011 and 2010 and the results of their operations and their cash flows for the years then ended, in conformity with accounting principles generally accepted in the United States of America.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Virchow Krause,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2011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58" w:name="page59"/>
    <w:bookmarkEnd w:id="58"/>
    <w:p>
      <w:pPr>
        <w:ind w:right="478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AUGUST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2010</w:t>
            </w:r>
          </w:p>
        </w:tc>
        <w:tc>
          <w:tcPr>
            <w:tcW w:w="0" w:type="dxa"/>
            <w:vAlign w:val="bottom"/>
          </w:tcPr>
          <w:p>
            <w:pPr>
              <w:spacing w:after="0"/>
              <w:rPr>
                <w:sz w:val="1"/>
                <w:szCs w:val="1"/>
                <w:color w:val="auto"/>
              </w:rPr>
            </w:pPr>
          </w:p>
        </w:tc>
      </w:tr>
      <w:tr>
        <w:trPr>
          <w:trHeight w:val="195"/>
        </w:trPr>
        <w:tc>
          <w:tcPr>
            <w:tcW w:w="868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3,266,362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rPr>
              <w:t>Trade excluding joint ventures, less allowance for doubtful accounts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of $20,000 at August 31, 2011 and 2010</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2,515,316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960"/>
              <w:spacing w:after="0"/>
              <w:rPr>
                <w:sz w:val="20"/>
                <w:szCs w:val="20"/>
                <w:color w:val="auto"/>
              </w:rPr>
            </w:pPr>
            <w:r>
              <w:rPr>
                <w:rFonts w:ascii="Arial" w:cs="Arial" w:eastAsia="Arial" w:hAnsi="Arial"/>
                <w:sz w:val="18"/>
                <w:szCs w:val="18"/>
                <w:color w:val="auto"/>
              </w:rPr>
              <w:t>Trade joint ventures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1,149,666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Fees for services provided to joint ventures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2,129,911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3,842,854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3,639,169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364,805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221,600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13,490,514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10,752,575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3,636,335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3,452,530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Investments in joint ventures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20,559,509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16,055,943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1,410,700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Patents and trademarks, net</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903,038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912,718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39,646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22,912,893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18,492,195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40,039,742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32,697,300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Current portion of note payable (Note 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76,119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2,032,614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195,762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Payroll and related benefits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1,629,355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960"/>
              <w:spacing w:after="0"/>
              <w:rPr>
                <w:sz w:val="20"/>
                <w:szCs w:val="20"/>
                <w:color w:val="auto"/>
              </w:rPr>
            </w:pPr>
            <w:r>
              <w:rPr>
                <w:rFonts w:ascii="Arial" w:cs="Arial" w:eastAsia="Arial" w:hAnsi="Arial"/>
                <w:sz w:val="18"/>
                <w:szCs w:val="18"/>
                <w:color w:val="auto"/>
              </w:rPr>
              <w:t>Deferred joint venture royalties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182,916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4,404,766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4,833,652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NOTE PAYABLE, NET OF CURRENT PORTION (Note 7)</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1,009,533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COMMITMENTS AND CONTINGENCIES (Note 14)</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Preferred stock, no par value; authorized 10,000 shares; none issued and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640"/>
              <w:spacing w:after="0" w:line="201" w:lineRule="exact"/>
              <w:rPr>
                <w:sz w:val="20"/>
                <w:szCs w:val="20"/>
                <w:color w:val="auto"/>
              </w:rPr>
            </w:pPr>
            <w:r>
              <w:rPr>
                <w:rFonts w:ascii="Arial" w:cs="Arial" w:eastAsia="Arial" w:hAnsi="Arial"/>
                <w:sz w:val="18"/>
                <w:szCs w:val="18"/>
                <w:color w:val="auto"/>
              </w:rPr>
              <w:t>Common stock, $0.02 par value per share; authorized 10,000,000</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shares; issued and outstanding 4,353,058 and 4,259,321, respectively</w:t>
            </w: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87,061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10,137,809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21,811,838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17,911,718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2,496,940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ind w:left="96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34,533,648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27,842,313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91,795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9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34,625,443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27,863,648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40,039,742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32,697,300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financial statements.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680" w:type="dxa"/>
            <w:vAlign w:val="bottom"/>
            <w:gridSpan w:val="2"/>
          </w:tcPr>
          <w:p>
            <w:pPr>
              <w:jc w:val="right"/>
              <w:ind w:right="279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6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59" w:name="page60"/>
    <w:bookmarkEnd w:id="59"/>
    <w:p>
      <w:pPr>
        <w:ind w:right="478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sales, excluding joint ventures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16,594,004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12,190,171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Net sales, to joint ventures</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2,932,523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2,196,593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19,526,527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14,386,764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1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12,768,640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9,384,866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6,757,887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5,001,898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of joint ventures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5,536,243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3,919,084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Fees for services provided to joint ventures</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6,129,979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4,690,450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11,666,222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8,609,534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Selling expenses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4,090,704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3,059,207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4,343,283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Expenses incurred in support of joint ventures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1,000,576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expenses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4,364,109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13,798,672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11,191,862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INCOME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4,625,437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2,419,570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INCOME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 EXPENSE (BENEFIT)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4,701,888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2,377,927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3,995,888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2,607,927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ATTRIBUTABLE TO NON CONTROLLING INTEREST</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95,768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3,900,120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2,583,756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Basic</w:t>
            </w:r>
          </w:p>
        </w:tc>
        <w:tc>
          <w:tcPr>
            <w:tcW w:w="1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96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6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220"/>
              <w:spacing w:after="0"/>
              <w:rPr>
                <w:sz w:val="20"/>
                <w:szCs w:val="20"/>
                <w:color w:val="auto"/>
              </w:rPr>
            </w:pPr>
            <w:r>
              <w:rPr>
                <w:rFonts w:ascii="Arial" w:cs="Arial" w:eastAsia="Arial" w:hAnsi="Arial"/>
                <w:sz w:val="18"/>
                <w:szCs w:val="18"/>
                <w:color w:val="auto"/>
              </w:rPr>
              <w:t>ASSUMED OUTSTANDING:</w:t>
            </w: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Basic</w:t>
            </w:r>
          </w:p>
        </w:tc>
        <w:tc>
          <w:tcPr>
            <w:tcW w:w="1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4,325,863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4,223,605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960"/>
              <w:spacing w:after="0"/>
              <w:rPr>
                <w:sz w:val="20"/>
                <w:szCs w:val="20"/>
                <w:color w:val="auto"/>
              </w:rPr>
            </w:pPr>
            <w:r>
              <w:rPr>
                <w:rFonts w:ascii="Arial" w:cs="Arial" w:eastAsia="Arial" w:hAnsi="Arial"/>
                <w:sz w:val="18"/>
                <w:szCs w:val="18"/>
                <w:color w:val="auto"/>
              </w:rPr>
              <w:t>Diluted</w:t>
            </w:r>
          </w:p>
        </w:tc>
        <w:tc>
          <w:tcPr>
            <w:tcW w:w="1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4,404,100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4,269,350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60" w:name="page61"/>
    <w:bookmarkEnd w:id="60"/>
    <w:p>
      <w:pPr>
        <w:ind w:right="478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29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Retained</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Controlling</w:t>
            </w:r>
          </w:p>
        </w:tc>
        <w:tc>
          <w:tcPr>
            <w:tcW w:w="1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2009</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3,756,596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75,132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5,631,767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$ 15,327,962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1,706,942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22,741,803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 issued, net of expenses of $356,387</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3,186,013</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3,195,613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97,915</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 issued for employee stock purchase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36,820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188,421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2010:</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w w:val="96"/>
              </w:rPr>
              <w:t>Foreign currency translation adj. (net of</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tax)</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(1,002,417)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(1,005,305)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2,583,756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2,607,927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COMPREHENSIVE INCOME, 2010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1,612,622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BALANCE AT AUGUST 31, 2010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4,259,321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85,186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9,140,936</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17,911,718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704,473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27,863,648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Stock issued in lieu of accrued payroll</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319,195</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463,103</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w w:val="99"/>
              </w:rPr>
              <w:t>Stock issued for employee stock purchase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plan</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36,638</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177,937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Dividend paid to non-controlling interest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2011:</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w w:val="96"/>
              </w:rPr>
              <w:t>Foreign currency translation adj. (net of</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tax)</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1,792,467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7,865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1,800,332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3,900,120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95,768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3,995,888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COMPREHENSIVE INCOME, 2011</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5,796,220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BALANCE AT AUGUST 31, 2011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4,353,058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87,061</w:t>
            </w:r>
          </w:p>
        </w:tc>
        <w:tc>
          <w:tcPr>
            <w:tcW w:w="20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10,137,809</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$ 21,811,838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2,496,940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91,795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34,625,443</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w w:val="89"/>
              </w:rPr>
              <w:t>See notes to consolidated financial statements.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61" w:name="page62"/>
    <w:bookmarkEnd w:id="61"/>
    <w:p>
      <w:pPr>
        <w:ind w:right="478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754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3,995,888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2,607,927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Expensing of fair value of stock options vested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177,937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Change in allowance for doubtful accounts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Depreciation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Amortization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157,728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155,669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on disposal of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Equity in income from joint ventures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(5,536,243)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(3,919,084)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960"/>
              <w:spacing w:after="0"/>
              <w:rPr>
                <w:sz w:val="20"/>
                <w:szCs w:val="20"/>
                <w:color w:val="auto"/>
              </w:rPr>
            </w:pPr>
            <w:r>
              <w:rPr>
                <w:rFonts w:ascii="Arial" w:cs="Arial" w:eastAsia="Arial" w:hAnsi="Arial"/>
                <w:sz w:val="18"/>
                <w:szCs w:val="18"/>
                <w:color w:val="auto"/>
              </w:rPr>
              <w:t>Receivables: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excluding joint ventures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280"/>
              <w:spacing w:after="0"/>
              <w:rPr>
                <w:sz w:val="20"/>
                <w:szCs w:val="20"/>
                <w:color w:val="auto"/>
              </w:rPr>
            </w:pPr>
            <w:r>
              <w:rPr>
                <w:rFonts w:ascii="Arial" w:cs="Arial" w:eastAsia="Arial" w:hAnsi="Arial"/>
                <w:sz w:val="18"/>
                <w:szCs w:val="18"/>
                <w:color w:val="auto"/>
              </w:rPr>
              <w:t>Trade, joint ventures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Fees for services receivables, joint ventures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(1,514,855)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Prepaid expenses and other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Income tax payable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121,834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Accrued liabilities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626,929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(1,136,223)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(1,175,892)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joint ventures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Dividends received from joint ventures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2,838,437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received on loans made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Effect of Zerust Brazil consolidation on cash (Note 1)</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and equipment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Proceeds from sale of property and equipment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Additions to patents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2,184,915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594,418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note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Net borrowings/(repayments) made on line of credit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(1,077,000)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 paid to noncontrolling interest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Proceeds from the issuance of common stock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3,195,613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464,436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2,218,751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1,490,200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1,637,277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1,776,162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138,885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3,266,362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1,776,162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540" w:type="dxa"/>
            <w:vAlign w:val="bottom"/>
            <w:gridSpan w:val="2"/>
          </w:tcPr>
          <w:p>
            <w:pPr>
              <w:jc w:val="right"/>
              <w:ind w:right="1650"/>
              <w:spacing w:after="0"/>
              <w:rPr>
                <w:sz w:val="20"/>
                <w:szCs w:val="20"/>
                <w:color w:val="auto"/>
              </w:rPr>
            </w:pPr>
            <w:r>
              <w:rPr>
                <w:rFonts w:ascii="Arial" w:cs="Arial" w:eastAsia="Arial" w:hAnsi="Arial"/>
                <w:sz w:val="18"/>
                <w:szCs w:val="18"/>
                <w:color w:val="auto"/>
              </w:rPr>
              <w:t>58</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5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62" w:name="page63"/>
    <w:bookmarkEnd w:id="62"/>
    <w:p>
      <w:pPr>
        <w:ind w:right="478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56"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Subsidiaries (the “Company”) develops and markets proprietary environmentally</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products and services in over 55 countries either directly or via a network of joint ventures, independent distributors and agents. The Company’s primary business is corrosion prevention marketed mainly under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 Company has been selling its proprietary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35 years, and more recently, has targeted and expanded into the oil and gas industry. The Company’s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include plastic and paper packaging, liquids and coatings, rust removers and cleaners, and diffusers. The Company also offers worldwide on-site technical consulting for rust and corrosion prevention issues. The Company also sells a portfolio of bio-based and/or biodegradable (compostable) polymer resin compounds and finished products marketed under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are available in several grades tailored for a variety of applications, such as blown-film extrusion, extrusion coating, injection molding and rigid, engineered plastics, and the finished products, which are marketed under the Natur-Bag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Natur-Ware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include shopping and grocery bags, lawn and leaf bags, can liners, pet waste collection bags, cutlery, packaging foam and coated paper products. These products are intended to reduce customers’ carbon footprint and provide environmentally sound disposal options.</w:t>
      </w:r>
    </w:p>
    <w:p>
      <w:pPr>
        <w:spacing w:after="0" w:line="22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 participates, either directly or indirectly, in 24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sell the Company’s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The Company’s Polymer Energy LLC joint venture manufactures and sells Polymer Energy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equipment that converts waste plastic into diesel, gasoline and heavy fractions. The profits of the Company’s joint ventures are shared by the respective joint venture owners in accordance with their respective ownership percentages. The Company typically owns 50% or less of its joint venture entities and thus does not control the decisions of these entities regarding whether to pay dividends or how much to pay in dividends in any given year.</w:t>
      </w:r>
    </w:p>
    <w:p>
      <w:pPr>
        <w:spacing w:after="0" w:line="22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evaluated subsequent events occurring after the date of the consolidated financial statements for events requiring recording or disclosure in the financial statements.</w:t>
      </w:r>
    </w:p>
    <w:p>
      <w:pPr>
        <w:spacing w:after="0" w:line="19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Company evaluates its voting and variable interests in entities on a qualitative and quantitative basis.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and its wholly owned subsidiaries, NTI Facilities, Inc. and Northern Technologies Holding Company, LLC, and its majority owned Brazilian subsidiary, Zerust Prevenção de Corrosão S.A. (Zerust</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Brazil). All significant intercompany transactions and balances have been eliminated in consolidation. The consolidated financial statements do not include the accounts of any of the Company’s joint ventures.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63" w:name="page64"/>
    <w:bookmarkEnd w:id="63"/>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color w:val="auto"/>
        </w:rPr>
        <w:t>– The Company owns 85% of Zerust Brazil. The remaining 15% is accounted for as a noncontrolling interest and reported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 the consolidated financial statements. The Company allocates gains and losses to the noncontrolling interest even when such allocation might result in a deficit balance, reducing the losses attributed to the controlling interest, changes in ownership interests would be treated as equity transactions if control is maintained.</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Company includes as separate line items on its consolidated statements of operations net sales to its joint ventures and net sales to unaffiliated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There are no sales originating from the Company’s joint ventures included in the amount, as the Company’s investments in its joint ventures are accounted for using the equity method.</w:t>
      </w:r>
    </w:p>
    <w:p>
      <w:pPr>
        <w:spacing w:after="0" w:line="20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from the sale of its products when persuasive evidence of an arrangement exists, the product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delivered, the price is fixed and determinable and collection of the resulting receivable is reasonably assured. These criteria are met when risk of loss and title pass to the customer, distributor or joint venture entity.</w:t>
      </w:r>
    </w:p>
    <w:p>
      <w:pPr>
        <w:spacing w:after="0" w:line="2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Fees for Services Provided to Joint Ventures – </w:t>
      </w:r>
      <w:r>
        <w:rPr>
          <w:rFonts w:ascii="Arial" w:cs="Arial" w:eastAsia="Arial" w:hAnsi="Arial"/>
          <w:sz w:val="16"/>
          <w:szCs w:val="16"/>
          <w:color w:val="auto"/>
        </w:rPr>
        <w:t>The Company provides certain services to its joint ventures including consulting, legal, travel,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and marketing services.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elects to account for these fees on a cash basis for certain joint ventures if uncertainty exists surrounding the collection of such fees.</w:t>
      </w:r>
    </w:p>
    <w:p>
      <w:pPr>
        <w:spacing w:after="0" w:line="1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Deferred Joint Venture Revenue </w:t>
      </w:r>
      <w:r>
        <w:rPr>
          <w:rFonts w:ascii="Arial" w:cs="Arial" w:eastAsia="Arial" w:hAnsi="Arial"/>
          <w:sz w:val="18"/>
          <w:szCs w:val="18"/>
          <w:color w:val="auto"/>
        </w:rPr>
        <w:t>– The Company sponsors a worldwide joint venture conference approximately every three to four years, in which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ventures are invited to participate. It defers a portion of its service fees received from its joint ventures in each accounting period leading up to the next conference, reflecting that the Company has not earned portions of the payments received. The next joint venture conference is scheduled to be held in the summer of 2012. At both August 31, 2011 and 2010, the Company had deferred $288,000 of joint venture fees for services related to this future conference, which represents the amount that the Company expects to spend to hold the conference. This amount is based on the historical experience of the Company, current conditions, and the intentions of the Company’s management. The Company does not anticipate deferring any additional service fees until after the next conference.</w:t>
      </w:r>
    </w:p>
    <w:p>
      <w:pPr>
        <w:spacing w:after="0" w:line="21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Payment terms for the Company’s unaffiliated customers are determined based on credit risk and vary by customer.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offers standard payments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known. Deterioration in the financial condition of any key customer or a significant slowdown in the economy could have a material negative impact on the Company’s ability to collect a portion or all of the accounts and notes receivable. The Company believes that an analysis of historical trends and its current knowledge of potential collection problems provide the Company with sufficient information to establish a reasonable estimate for an allowance for doubtful accounts. However, since the Company cannot predict with certainty future changes in the financial stability of its customers or joint ventures, the Company’s actual future losses from uncollectible accounts may differ from its estimates. In the event the Company determined that a smaller or larger uncollectible accounts reserve is appropriate, the Company would record a credit or charge to selling expense in the period that it made such a determination. Accounts receivable have been reduced by an allowance for uncollectible accounts of $20,000 at August 31, 2011 and 2010.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4" w:name="page65"/>
    <w:bookmarkEnd w:id="64"/>
    <w:p>
      <w:pPr>
        <w:spacing w:after="0" w:line="259" w:lineRule="auto"/>
        <w:rPr>
          <w:sz w:val="20"/>
          <w:szCs w:val="20"/>
          <w:color w:val="auto"/>
        </w:rPr>
      </w:pPr>
      <w:r>
        <w:rPr>
          <w:rFonts w:ascii="Arial" w:cs="Arial" w:eastAsia="Arial" w:hAnsi="Arial"/>
          <w:sz w:val="17"/>
          <w:szCs w:val="17"/>
          <w:i w:val="1"/>
          <w:iCs w:val="1"/>
          <w:color w:val="auto"/>
        </w:rPr>
        <w:t xml:space="preserve">Receivables from Joint Ventures </w:t>
      </w:r>
      <w:r>
        <w:rPr>
          <w:rFonts w:ascii="Arial" w:cs="Arial" w:eastAsia="Arial" w:hAnsi="Arial"/>
          <w:sz w:val="17"/>
          <w:szCs w:val="17"/>
          <w:color w:val="auto"/>
        </w:rPr>
        <w:t>– Trade receivables from joint ventures arise from sales the Company makes to its joint ventures of products and the essential</w:t>
      </w:r>
      <w:r>
        <w:rPr>
          <w:rFonts w:ascii="Arial" w:cs="Arial" w:eastAsia="Arial" w:hAnsi="Arial"/>
          <w:sz w:val="17"/>
          <w:szCs w:val="17"/>
          <w:i w:val="1"/>
          <w:iCs w:val="1"/>
          <w:color w:val="auto"/>
        </w:rPr>
        <w:t xml:space="preserve"> </w:t>
      </w:r>
      <w:r>
        <w:rPr>
          <w:rFonts w:ascii="Arial" w:cs="Arial" w:eastAsia="Arial" w:hAnsi="Arial"/>
          <w:sz w:val="17"/>
          <w:szCs w:val="17"/>
          <w:color w:val="auto"/>
        </w:rPr>
        <w:t>additives required to make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industrial corrosion inhibiting products functional. Receivables for services to the Company’s joint ventures are based primarily on a contractual percentage of the sales of the joint ventures and are intended to compensate the Company for services the Company provides to its joint ventures, including consulting, legal, travel, insurance, technical and marketing services. Payment terms 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accounts receivable. The Company periodically reviews amounts due from its joint ventures for collectability, and based on past experience and continuous review of the balances due, has determined an allowance for doubtful accounts related to its joint venture receivables is not necessary.</w:t>
      </w:r>
    </w:p>
    <w:p>
      <w:pPr>
        <w:spacing w:after="0" w:line="2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ectPr>
          <w:pgSz w:w="11900" w:h="16838" w:orient="portrait"/>
          <w:cols w:equalWidth="0" w:num="1">
            <w:col w:w="11400"/>
          </w:cols>
          <w:pgMar w:left="240" w:top="274" w:right="259" w:bottom="1440" w:gutter="0" w:footer="0" w:header="0"/>
        </w:sectPr>
      </w:pPr>
    </w:p>
    <w:p>
      <w:pPr>
        <w:spacing w:after="0" w:line="197"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Buildings and improvements</w:t>
      </w:r>
    </w:p>
    <w:p>
      <w:pPr>
        <w:spacing w:after="0" w:line="4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5-30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3-10 years</w:t>
      </w:r>
    </w:p>
    <w:p>
      <w:pPr>
        <w:spacing w:after="0" w:line="222" w:lineRule="exact"/>
        <w:rPr>
          <w:sz w:val="20"/>
          <w:szCs w:val="20"/>
          <w:color w:val="auto"/>
        </w:rPr>
      </w:pPr>
    </w:p>
    <w:p>
      <w:pPr>
        <w:sectPr>
          <w:pgSz w:w="11900" w:h="16838" w:orient="portrait"/>
          <w:cols w:equalWidth="0" w:num="2">
            <w:col w:w="5000" w:space="720"/>
            <w:col w:w="5680"/>
          </w:cols>
          <w:pgMar w:left="240" w:top="274" w:right="259" w:bottom="1440" w:gutter="0" w:footer="0" w:header="0"/>
          <w:type w:val="continuous"/>
        </w:sectPr>
      </w:pPr>
    </w:p>
    <w:p>
      <w:pPr>
        <w:spacing w:after="0" w:line="3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Investments in Joint Ventures </w:t>
      </w:r>
      <w:r>
        <w:rPr>
          <w:rFonts w:ascii="Arial" w:cs="Arial" w:eastAsia="Arial" w:hAnsi="Arial"/>
          <w:sz w:val="17"/>
          <w:szCs w:val="17"/>
          <w:color w:val="auto"/>
        </w:rPr>
        <w:t>- Investments in the Company’s joint ventures are accounted for using the equity method. Under the equity method,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initially recorded at cost and are adjusted for dividends, distributed and undistributed earnings and losses, changes in foreign currency exchange rates and additional investments. In the event the Company’s share of joint venture’s cumulative losses exceed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If an investment were determined to be impaired, then a reserve is created to reflect the impairment on the financial results of the Company. The Company’s evaluation of its investments in joint ventures requires the Company to make assumptions about future cash flows of its joint ventures. These assumptions require significant judgment and actual results may differ from assumed or estimated amounts. The Company’s investments in joint ventures were $20,559,509 as of August 31, 2011 and $16,055,943 as of August 31, 2010. The Company’s investments in its primary joint venture in Germany, Excor Korrosionsschutz – Technologien und Produkte GmbH (EXCOR) and the Company’s joint venture holding company in the Association of Southeast Asian Nations, or ASEAN, region, NTI ASEAN, LLC (NTI ASEAN) were $10,931,819 and $2,803,194, respectively, as of August 31, 2011 and $7,938,751 and $2,467,412, respectively, as of August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65" w:name="page66"/>
    <w:bookmarkEnd w:id="65"/>
    <w:p>
      <w:pPr>
        <w:ind w:right="40"/>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liability method of accounting for income taxes which requires an asset and liability approach to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The Company records a tax valuation allowance when it is more likely than not that some portion or all of its deferred tax assets will not be realized. Income tax expense is the tax payable or refundable for the period plus or minus the change during the period in deferred tax assets and liabilities.</w:t>
      </w:r>
    </w:p>
    <w:p>
      <w:pPr>
        <w:spacing w:after="0" w:line="2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Zerust Brazil and each unconsolidated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(excluding Zerust Brazil and its joint ventures) conducts all foreign transactions based on the U.S. dollar. Since investments in joint ventures are accounted for using the equity method, any changes in foreign currency exchange rates are reflected as a foreign currency translation adjustment and does not change the equity in income of joint ventures reflected in the Company’s consolidated statements of operations.</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 of cash, short-term accounts and notes receivable, notes payable, trade accounts payables,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expenses approximate fair value because of the short maturity of those instruments. The fair value of the Company’s long-term debt approximates the carrying values based upon current market rates of interest.</w:t>
      </w:r>
    </w:p>
    <w:p>
      <w:pPr>
        <w:spacing w:after="0" w:line="20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6" w:name="page67"/>
    <w:bookmarkEnd w:id="66"/>
    <w:p>
      <w:pPr>
        <w:spacing w:after="0" w:line="27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 The Company expenses all costs related to product research and development as incurred. The costs related to product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and development are the net amount after being reduced by reimbursements related to certain research and development contracts of $219,175 and $600,023 for fiscal 2011 and fiscal 2010, respectively. The Company accrues proceeds received under such contracts and offsets research and development expenses incurred in equal installments over the timelines associated with completion of the contracts’ specific objectives and milestones. At August 31, 2011, the Company did not have any deferred amounts in other accrued liabilities, compared to $130,196 that was deferred at August 31, 2010 as the Company had not yet performed under the obligations of the contract at that time.</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w:t>
      </w:r>
    </w:p>
    <w:p>
      <w:pPr>
        <w:spacing w:after="0" w:line="2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0"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May 2011, the Financial Accounting Standards Board (FASB) issued Accounting Standards Update (ASU) No. 2011-04, “</w:t>
      </w:r>
      <w:r>
        <w:rPr>
          <w:rFonts w:ascii="Arial" w:cs="Arial" w:eastAsia="Arial" w:hAnsi="Arial"/>
          <w:sz w:val="17"/>
          <w:szCs w:val="17"/>
          <w:i w:val="1"/>
          <w:iCs w:val="1"/>
          <w:color w:val="auto"/>
        </w:rPr>
        <w:t>Amendments to Achieve</w:t>
      </w:r>
      <w:r>
        <w:rPr>
          <w:rFonts w:ascii="Arial" w:cs="Arial" w:eastAsia="Arial" w:hAnsi="Arial"/>
          <w:sz w:val="17"/>
          <w:szCs w:val="17"/>
          <w:color w:val="auto"/>
        </w:rPr>
        <w:t xml:space="preserve"> </w:t>
      </w:r>
      <w:r>
        <w:rPr>
          <w:rFonts w:ascii="Arial" w:cs="Arial" w:eastAsia="Arial" w:hAnsi="Arial"/>
          <w:sz w:val="17"/>
          <w:szCs w:val="17"/>
          <w:i w:val="1"/>
          <w:iCs w:val="1"/>
          <w:color w:val="auto"/>
        </w:rPr>
        <w:t>Common Fair Value Measurement and Disclosure Requirements in U.S. GAAP and International Financial Reporting Standards (IFRS)</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This pronouncement is effective for reporting periods beginning on or after December 15, 2011, with early adoption prohibited. The new guidance will require prospective application. The Company will adopt this guidance at the beginning of its fiscal 2013. Adoption of this guidance is not expected to have a material impact on the Company’s consolidated results of operations or financial position.</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2011, the FASB issued ASU No.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which was issued to enhance comparability between entities that report under U.S. GAAP and IFRS, and to provide a more consistent method of presenting non-owner transactions that affect an entity’s equity.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Early adoption of the new guidance is permitted and full retrospective application is required. The Company will adopt this guidance at the beginning of its third quarter of fiscal 2012. Adoption of this guidance is not expected to have any impact on the Company’s financial position, results of operations or cash flows.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8280" w:type="dxa"/>
            <w:vAlign w:val="bottom"/>
          </w:tcPr>
          <w:p>
            <w:pPr>
              <w:ind w:left="26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61"/>
        </w:trPr>
        <w:tc>
          <w:tcPr>
            <w:tcW w:w="86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2010</w:t>
            </w:r>
          </w:p>
        </w:tc>
      </w:tr>
      <w:tr>
        <w:trPr>
          <w:trHeight w:val="20"/>
        </w:trPr>
        <w:tc>
          <w:tcPr>
            <w:tcW w:w="4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1,320,082</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1,189,988</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2,522,772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2,449,181</w:t>
            </w:r>
          </w:p>
        </w:tc>
      </w:tr>
      <w:tr>
        <w:trPr>
          <w:trHeight w:val="243"/>
        </w:trPr>
        <w:tc>
          <w:tcPr>
            <w:tcW w:w="400" w:type="dxa"/>
            <w:vAlign w:val="bottom"/>
            <w:shd w:val="clear" w:color="auto" w:fill="CCEEFF"/>
          </w:tcPr>
          <w:p>
            <w:pPr>
              <w:spacing w:after="0"/>
              <w:rPr>
                <w:sz w:val="21"/>
                <w:szCs w:val="21"/>
                <w:color w:val="auto"/>
              </w:rPr>
            </w:pPr>
          </w:p>
        </w:tc>
        <w:tc>
          <w:tcPr>
            <w:tcW w:w="8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3,842,854</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3,639,169</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2010</w:t>
            </w:r>
          </w:p>
        </w:tc>
      </w:tr>
      <w:tr>
        <w:trPr>
          <w:trHeight w:val="20"/>
        </w:trPr>
        <w:tc>
          <w:tcPr>
            <w:tcW w:w="8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3,110,867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3,099,186</w:t>
            </w:r>
          </w:p>
        </w:tc>
      </w:tr>
      <w:tr>
        <w:trPr>
          <w:trHeight w:val="23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2,213,269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1,717,625</w:t>
            </w:r>
          </w:p>
        </w:tc>
      </w:tr>
      <w:tr>
        <w:trPr>
          <w:trHeight w:val="210"/>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5,634,501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5,127,176</w:t>
            </w:r>
          </w:p>
        </w:tc>
      </w:tr>
      <w:tr>
        <w:trPr>
          <w:trHeight w:val="23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(1,998,166)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(1,674,646)</w:t>
            </w:r>
          </w:p>
        </w:tc>
      </w:tr>
      <w:tr>
        <w:trPr>
          <w:trHeight w:val="223"/>
        </w:trPr>
        <w:tc>
          <w:tcPr>
            <w:tcW w:w="86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3,636,335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3,452,530</w:t>
            </w:r>
          </w:p>
        </w:tc>
      </w:tr>
      <w:tr>
        <w:trPr>
          <w:trHeight w:val="20"/>
        </w:trPr>
        <w:tc>
          <w:tcPr>
            <w:tcW w:w="8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5.</w:t>
            </w:r>
          </w:p>
        </w:tc>
        <w:tc>
          <w:tcPr>
            <w:tcW w:w="8260" w:type="dxa"/>
            <w:vAlign w:val="bottom"/>
          </w:tcPr>
          <w:p>
            <w:pPr>
              <w:ind w:left="260"/>
              <w:spacing w:after="0"/>
              <w:rPr>
                <w:sz w:val="20"/>
                <w:szCs w:val="20"/>
                <w:color w:val="auto"/>
              </w:rPr>
            </w:pPr>
            <w:r>
              <w:rPr>
                <w:rFonts w:ascii="Arial" w:cs="Arial" w:eastAsia="Arial" w:hAnsi="Arial"/>
                <w:sz w:val="18"/>
                <w:szCs w:val="18"/>
                <w:b w:val="1"/>
                <w:bCs w:val="1"/>
                <w:color w:val="auto"/>
              </w:rPr>
              <w:t>PATENTS AND TRADEMARKS, NET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3"/>
        </w:trPr>
        <w:tc>
          <w:tcPr>
            <w:tcW w:w="4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2010</w:t>
            </w:r>
          </w:p>
        </w:tc>
      </w:tr>
      <w:tr>
        <w:trPr>
          <w:trHeight w:val="20"/>
        </w:trPr>
        <w:tc>
          <w:tcPr>
            <w:tcW w:w="4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1,758,722</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1,610,674</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(855,684)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(697,956)</w:t>
            </w:r>
          </w:p>
        </w:tc>
      </w:tr>
      <w:tr>
        <w:trPr>
          <w:trHeight w:val="243"/>
        </w:trPr>
        <w:tc>
          <w:tcPr>
            <w:tcW w:w="420" w:type="dxa"/>
            <w:vAlign w:val="bottom"/>
            <w:shd w:val="clear" w:color="auto" w:fill="CCEEFF"/>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903,038</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912,718</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204"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conform with accounting principles generally accepted in the United States of America in all material respects. All material profits recorded on sales from the Company to its joint ventures have been eliminated for financial reporting purposes.</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Financial information from the audited and unaudited financial statements of EXCOR and NTI ASEAN, and all of the Company’s other joint ventures, are summarized as follows: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August 31, 2011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$ 66,956,061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$ 24,411,880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14,565,219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27,978,962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assets</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73,155,916</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27,093,874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14,759,582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31,302,460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24,712,555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5,145,239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6,123,684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13,443,632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4,605,837</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1,020,034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3,585,803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43,752,524</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21,948,635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7,615,864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14,273,025</w:t>
            </w: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share of joint ventures’ equity in income of joint ventures</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20,559,509</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10,931,819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2,803,194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6,824,496</w:t>
            </w: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1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ventures' undistributed earnings</w:t>
            </w:r>
          </w:p>
        </w:tc>
        <w:tc>
          <w:tcPr>
            <w:tcW w:w="2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$ 18,967,125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$ 10,900,914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2,432,235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5,633,976</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August 31, 2010</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$ 50,031,107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16,567,240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12,637,967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20,825,900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Total assets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55,918,090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18,967,090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12,901,522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24,049,478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16,478,695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3,089,590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4,721,652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8,667,454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4,454,280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868,902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3,585,378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34,985,115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15,877,500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7,310,968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11,796,646</w:t>
            </w: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760" w:type="dxa"/>
            <w:vAlign w:val="bottom"/>
          </w:tcPr>
          <w:p>
            <w:pPr>
              <w:ind w:left="220"/>
              <w:spacing w:after="0"/>
              <w:rPr>
                <w:sz w:val="20"/>
                <w:szCs w:val="20"/>
                <w:color w:val="auto"/>
              </w:rPr>
            </w:pPr>
            <w:r>
              <w:rPr>
                <w:rFonts w:ascii="Arial" w:cs="Arial" w:eastAsia="Arial" w:hAnsi="Arial"/>
                <w:sz w:val="18"/>
                <w:szCs w:val="18"/>
                <w:color w:val="auto"/>
              </w:rPr>
              <w:t>share of joint ventures’ equity in income of joint ventures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16,055,943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7,938,751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2,467,412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5,649,780</w:t>
            </w: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ventures' undistributed earnings</w:t>
            </w:r>
          </w:p>
        </w:tc>
        <w:tc>
          <w:tcPr>
            <w:tcW w:w="2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$ 14,447,831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7,907,847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2,096,454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4,443,530</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8"/>
                <w:szCs w:val="18"/>
                <w:b w:val="1"/>
                <w:bCs w:val="1"/>
                <w:color w:val="auto"/>
              </w:rPr>
              <w:t>Fiscal Year Ended August 31, 2011</w:t>
            </w:r>
          </w:p>
        </w:tc>
        <w:tc>
          <w:tcPr>
            <w:tcW w:w="940" w:type="dxa"/>
            <w:vAlign w:val="bottom"/>
            <w:tcBorders>
              <w:bottom w:val="single" w:sz="8" w:color="auto"/>
            </w:tcBorders>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119,276,553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39,038,653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18,938,928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61,298,972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54,135,274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19,080,420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8,812,415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26,242,439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10,517,984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6,804,175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1,444,304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2,269,505</w:t>
            </w: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share of equity in income of joint ventures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5,536,243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3,274,333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1,212,250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1,049,660</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8"/>
                <w:szCs w:val="18"/>
                <w:b w:val="1"/>
                <w:bCs w:val="1"/>
                <w:color w:val="auto"/>
              </w:rPr>
              <w:t>Fiscal Year Ended August 31, 2010</w:t>
            </w:r>
          </w:p>
        </w:tc>
        <w:tc>
          <w:tcPr>
            <w:tcW w:w="940" w:type="dxa"/>
            <w:vAlign w:val="bottom"/>
            <w:tcBorders>
              <w:bottom w:val="single" w:sz="8" w:color="auto"/>
            </w:tcBorders>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84,973,646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25,957,762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14,777,730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44,238,153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39,900,088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13,943,045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7,237,621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18,719,422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7,213,975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4,260,222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1,234,546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1,719,207</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share of equity in income of joint ventures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3,919,084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2,113,872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902,935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902,278</w:t>
            </w:r>
          </w:p>
        </w:tc>
      </w:tr>
    </w:tbl>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records expenses that are directly attributable to the joint ventures on its consolidated statements of operations on the line “Expenses incurred in support of joint ventures”. The expenses include items such as employee compensation and benefit expenses, travel expense, consulting expense and legal expense.</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fiscal 2011 and fiscal 2010, the Company invested $38,217 and $30,101, respectively, in a new joint venture in Russia to specifically engage in the oil and gas industry. The Company has a 50% ownership interest in the new Russian joint venture. The Company did not make any other joint venture investments during fiscal 2011 and fiscal 2010.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69" w:name="page70"/>
    <w:bookmarkEnd w:id="69"/>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purchase of its corporate headquarters, in September 2006, Northern Technologies Holding Company, LLC (NTI LLC) obtained a term loan from PNC Bank, National Association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the Company and is guaranteed by the Company.</w:t>
      </w:r>
    </w:p>
    <w:p>
      <w:pPr>
        <w:spacing w:after="0" w:line="17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has a revolving line of credit with PNC Bank of $3,000,000 with no amounts outstanding as of August 31, 2011. As of August 31, 2010, the Company had a demand line of credit of $2,300,000 with PNC Bank with no amounts outstanding as of such date. Any advances made under the revolving line of credit are due and payable on January 10, 2012.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August 31, 2011, the interest rate was 2.50% and the weighted average rate was 2.43% for fiscal 2011. As of August 31, 2010, the interest rate was 2.51% and the weighted average rate was 2.50% for fiscal 2010. The revolving line of credit is secured by cash, receivables and inventory.</w:t>
      </w:r>
    </w:p>
    <w:p>
      <w:pPr>
        <w:spacing w:after="0" w:line="20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 Under the fixed charge coverage ratio financial covenant, the Company shall not, as of the last calendar day of any fiscal quarter, on a rolling four quarters basis, suffer or permit the ratio of its adjusted EBITDA (defined as the aggregate of (a) its net income for that period, plus (b) its interest expense for that period, plus (c) its federal, state, and local income taxes, if any, for that period, plus (d) its depreciation and amortization charges for that period, plus (e) other non-recurring non-cash expenses reducing net income, minus (f) non-recurring non-cash items increasing net income, plus (g) increases to paid-in capital on stockholders’ equity, minus (h) decreases to paid-in capital on stockholder’s equity) to the aggregate (without duplication) of (i) its interest expense for that period, plus (ii) capital expenditures paid for from the Company’s funds other than funds borrowed as term debt to finance such capital expenditures during that period, plus (iii) all dividends and distributions paid during that period, plus (iv) taxes paid in cash plus, plus (v) payments made under all capital leases, plus (vi) an amount equal to the aggregate of all scheduled payments of principal on all indebtedness for borrowed money having an original term of more than one year, as shown on the Company’s financial statements as current liabilities as of one year prior to the date of determination to be less than 1.10:1.00. The fixed charge coverage ratio is to be computed and determined on a consolidated basis for the Company in accordance with generally accepted accounting principles applied on a consistent basis (subject to normal year-end adjustments). The Loan Agreements also contain customary events of default, including, without limitation, payment defaults, material inaccuracy of representations and warranties, covenant defaults, bankruptcy and involuntary proceedings, and monetary judgment defaults.</w:t>
      </w:r>
    </w:p>
    <w:p>
      <w:pPr>
        <w:spacing w:after="0" w:line="200" w:lineRule="exact"/>
        <w:rPr>
          <w:sz w:val="20"/>
          <w:szCs w:val="20"/>
          <w:color w:val="auto"/>
        </w:rPr>
      </w:pPr>
    </w:p>
    <w:p>
      <w:pPr>
        <w:spacing w:after="0" w:line="217"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has two stock-based compensation plans under which stock options and other stock-based awards have been granted, including the Northern Technologies International Corporation Amended and Restated 2007 Stock Incentive Plan (2007 Plan) and the Northern Technologies International Corporation Employee Stock Purchase Plan (ESPP). The Compensation Committee of the Board of Directors and the Board of Directors administer these plans.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0" w:name="page71"/>
    <w:bookmarkEnd w:id="70"/>
    <w:p>
      <w:pPr>
        <w:ind w:right="40"/>
        <w:spacing w:after="0" w:line="270" w:lineRule="auto"/>
        <w:rPr>
          <w:sz w:val="20"/>
          <w:szCs w:val="20"/>
          <w:color w:val="auto"/>
        </w:rPr>
      </w:pPr>
      <w:r>
        <w:rPr>
          <w:rFonts w:ascii="Arial" w:cs="Arial" w:eastAsia="Arial" w:hAnsi="Arial"/>
          <w:sz w:val="17"/>
          <w:szCs w:val="17"/>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To date, only stock options and stock bonuses have been granted under the 2007 Plan. Subject to adjustment as provided in the 2007 Plan, up to a total of 800,000 shares of the Company’s common stock have been reserved for issuance under the 2007 Plan, plus the number of shares subject to stock options outstanding under the Company’s prior stock-based compensation plan as of January 20, 2011 but only to the extent that such outstanding options are forfeited, expire or otherwise terminate without the issuance of such shares. As of August 31, 2011, 513,734 shares of the Company’s common stock remain available for issuance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fair value of option grants is determined at date of grant, using the Black-Scholes option pricing model with the assumptions listed below. The volatility factor used in the Black-Scholes option pricing model is based on historical stock price fluctuations and the risk free interest rate is based on U.S. treasury rates appropriate for the expected term. Dividend yield and expected volatility are estimated using historical amounts that are anticipated to be consistent with current values. Expected life of option is based on the life of the option agreements. Based on these valuations, the Company recognized compensation expense of $177,937 and $188,421 during fiscal 2011 and 2010, respectively, related to the options that vested during such time period. As of August 31, 2011, the total compensation cost for nonvested options not yet recognized in the Company’s consolidated statements of operations was $152,846, net of estimated forfeitures which were $16,982 as of August 31, 2011. That cost is expected to be recognized over an expected weighted-average period of 2 years. Stock-based compensation expense of $124,770 and $28,076 are expected to be recognized during fiscal 2012 and fiscal 2013, respectively, based on outstanding options as of August 31, 2011. Future option grants will impact the compensation expense recognized.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August 31, 2011</w:t>
            </w:r>
          </w:p>
        </w:tc>
        <w:tc>
          <w:tcPr>
            <w:tcW w:w="3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August 31, 2010</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180" w:type="dxa"/>
            <w:vAlign w:val="bottom"/>
            <w:gridSpan w:val="2"/>
            <w:shd w:val="clear" w:color="auto" w:fill="CCEEFF"/>
          </w:tcPr>
          <w:p>
            <w:pPr>
              <w:jc w:val="center"/>
              <w:ind w:left="1510"/>
              <w:spacing w:after="0"/>
              <w:rPr>
                <w:sz w:val="20"/>
                <w:szCs w:val="20"/>
                <w:color w:val="auto"/>
              </w:rPr>
            </w:pPr>
            <w:r>
              <w:rPr>
                <w:rFonts w:ascii="Arial" w:cs="Arial" w:eastAsia="Arial" w:hAnsi="Arial"/>
                <w:sz w:val="18"/>
                <w:szCs w:val="18"/>
                <w:color w:val="auto"/>
                <w:w w:val="90"/>
              </w:rPr>
              <w:t>0.00%</w:t>
            </w:r>
          </w:p>
        </w:tc>
        <w:tc>
          <w:tcPr>
            <w:tcW w:w="30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4180" w:type="dxa"/>
            <w:vAlign w:val="bottom"/>
            <w:gridSpan w:val="2"/>
          </w:tcPr>
          <w:p>
            <w:pPr>
              <w:jc w:val="center"/>
              <w:ind w:left="1510"/>
              <w:spacing w:after="0"/>
              <w:rPr>
                <w:sz w:val="20"/>
                <w:szCs w:val="20"/>
                <w:color w:val="auto"/>
              </w:rPr>
            </w:pPr>
            <w:r>
              <w:rPr>
                <w:rFonts w:ascii="Arial" w:cs="Arial" w:eastAsia="Arial" w:hAnsi="Arial"/>
                <w:sz w:val="18"/>
                <w:szCs w:val="18"/>
                <w:color w:val="auto"/>
                <w:w w:val="90"/>
              </w:rPr>
              <w:t>48.8%</w:t>
            </w:r>
          </w:p>
        </w:tc>
        <w:tc>
          <w:tcPr>
            <w:tcW w:w="300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48.3%</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5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4180" w:type="dxa"/>
            <w:vAlign w:val="bottom"/>
            <w:gridSpan w:val="2"/>
          </w:tcPr>
          <w:p>
            <w:pPr>
              <w:jc w:val="center"/>
              <w:ind w:left="1510"/>
              <w:spacing w:after="0"/>
              <w:rPr>
                <w:sz w:val="20"/>
                <w:szCs w:val="20"/>
                <w:color w:val="auto"/>
              </w:rPr>
            </w:pPr>
            <w:r>
              <w:rPr>
                <w:rFonts w:ascii="Arial" w:cs="Arial" w:eastAsia="Arial" w:hAnsi="Arial"/>
                <w:sz w:val="18"/>
                <w:szCs w:val="18"/>
                <w:color w:val="auto"/>
                <w:w w:val="89"/>
              </w:rPr>
              <w:t>0.71 %</w:t>
            </w:r>
          </w:p>
        </w:tc>
        <w:tc>
          <w:tcPr>
            <w:tcW w:w="300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2.34%</w:t>
            </w:r>
          </w:p>
        </w:tc>
      </w:tr>
      <w:tr>
        <w:trPr>
          <w:trHeight w:val="350"/>
        </w:trPr>
        <w:tc>
          <w:tcPr>
            <w:tcW w:w="4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c>
          <w:tcPr>
            <w:tcW w:w="2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05"/>
        </w:trPr>
        <w:tc>
          <w:tcPr>
            <w:tcW w:w="4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20" w:type="dxa"/>
            <w:vAlign w:val="bottom"/>
          </w:tcPr>
          <w:p>
            <w:pPr>
              <w:spacing w:after="0"/>
              <w:rPr>
                <w:sz w:val="9"/>
                <w:szCs w:val="9"/>
                <w:color w:val="auto"/>
              </w:rPr>
            </w:pPr>
          </w:p>
        </w:tc>
      </w:tr>
      <w:tr>
        <w:trPr>
          <w:trHeight w:val="61"/>
        </w:trPr>
        <w:tc>
          <w:tcPr>
            <w:tcW w:w="4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7"/>
              </w:rPr>
              <w:t>Weighted Average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Shares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Exercise Price</w:t>
            </w: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2009</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137,472</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Options granted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Options terminated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Outstanding at August 31, 2010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232,472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Options exercised</w:t>
            </w:r>
          </w:p>
        </w:tc>
        <w:tc>
          <w:tcPr>
            <w:tcW w:w="1000" w:type="dxa"/>
            <w:vAlign w:val="bottom"/>
          </w:tcPr>
          <w:p>
            <w:pPr>
              <w:jc w:val="right"/>
              <w:spacing w:after="0"/>
              <w:rPr>
                <w:sz w:val="20"/>
                <w:szCs w:val="20"/>
                <w:color w:val="auto"/>
              </w:rPr>
            </w:pPr>
            <w:r>
              <w:rPr>
                <w:rFonts w:ascii="Arial" w:cs="Arial" w:eastAsia="Arial" w:hAnsi="Arial"/>
                <w:sz w:val="18"/>
                <w:szCs w:val="18"/>
                <w:color w:val="auto"/>
              </w:rPr>
              <w:t>(66,633)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terminated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2011</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2011</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570,366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weighted average per share fair value of options granted during fiscal 2011 and fiscal 2010 were $3.60 and $2.98, respectively. The weighted average remaining contractual life of the options outstanding as of August 31, 2011 and 2010 was 2.80 years and 2.91 years,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earnings per share computation:</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Numerators:</w:t>
            </w: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3,900,120</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2,583,756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4,325,863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4,223,605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shares assumed upon exercise of</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4,404,100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4,269,350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Excluded from the computation of diluted earnings per share for the year ended August 31, 2010 were options out of the money with rights to purchase approximately 27,333 common shares, respectively, with an exercise price of $12.84, because the effect would have been anti-dilutive.</w:t>
      </w:r>
    </w:p>
    <w:p>
      <w:pPr>
        <w:spacing w:after="0" w:line="170"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fiscal 2011, the Company did not purchase or retire any shares of its common stock. The following stock options to purchase shares of common stock were exercised during fiscal 2011: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 Exercised</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Exercise Price</w:t>
            </w:r>
          </w:p>
        </w:tc>
        <w:tc>
          <w:tcPr>
            <w:tcW w:w="6620" w:type="dxa"/>
            <w:vAlign w:val="bottom"/>
          </w:tcPr>
          <w:p>
            <w:pPr>
              <w:spacing w:after="0"/>
              <w:rPr>
                <w:sz w:val="20"/>
                <w:szCs w:val="20"/>
                <w:color w:val="auto"/>
              </w:rPr>
            </w:pPr>
          </w:p>
        </w:tc>
      </w:tr>
      <w:tr>
        <w:trPr>
          <w:trHeight w:val="210"/>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40,000</w:t>
            </w:r>
          </w:p>
        </w:tc>
        <w:tc>
          <w:tcPr>
            <w:tcW w:w="25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$5.38</w:t>
            </w:r>
          </w:p>
        </w:tc>
        <w:tc>
          <w:tcPr>
            <w:tcW w:w="6620" w:type="dxa"/>
            <w:vAlign w:val="bottom"/>
            <w:shd w:val="clear" w:color="auto" w:fill="CCEEFF"/>
          </w:tcPr>
          <w:p>
            <w:pPr>
              <w:spacing w:after="0"/>
              <w:rPr>
                <w:sz w:val="18"/>
                <w:szCs w:val="18"/>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8"/>
              </w:rPr>
              <w:t>3,300</w:t>
            </w:r>
          </w:p>
        </w:tc>
        <w:tc>
          <w:tcPr>
            <w:tcW w:w="2500" w:type="dxa"/>
            <w:vAlign w:val="bottom"/>
            <w:gridSpan w:val="2"/>
          </w:tcPr>
          <w:p>
            <w:pPr>
              <w:jc w:val="right"/>
              <w:ind w:right="850"/>
              <w:spacing w:after="0"/>
              <w:rPr>
                <w:sz w:val="20"/>
                <w:szCs w:val="20"/>
                <w:color w:val="auto"/>
              </w:rPr>
            </w:pPr>
            <w:r>
              <w:rPr>
                <w:rFonts w:ascii="Arial" w:cs="Arial" w:eastAsia="Arial" w:hAnsi="Arial"/>
                <w:sz w:val="18"/>
                <w:szCs w:val="18"/>
                <w:color w:val="auto"/>
              </w:rPr>
              <w:t>7.65</w:t>
            </w:r>
          </w:p>
        </w:tc>
        <w:tc>
          <w:tcPr>
            <w:tcW w:w="6620" w:type="dxa"/>
            <w:vAlign w:val="bottom"/>
          </w:tcPr>
          <w:p>
            <w:pPr>
              <w:spacing w:after="0"/>
              <w:rPr>
                <w:sz w:val="18"/>
                <w:szCs w:val="18"/>
                <w:color w:val="auto"/>
              </w:rPr>
            </w:pPr>
          </w:p>
        </w:tc>
      </w:tr>
      <w:tr>
        <w:trPr>
          <w:trHeight w:val="216"/>
        </w:trPr>
        <w:tc>
          <w:tcPr>
            <w:tcW w:w="23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666</w:t>
            </w:r>
          </w:p>
        </w:tc>
        <w:tc>
          <w:tcPr>
            <w:tcW w:w="25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7.75</w:t>
            </w:r>
          </w:p>
        </w:tc>
        <w:tc>
          <w:tcPr>
            <w:tcW w:w="6620" w:type="dxa"/>
            <w:vAlign w:val="bottom"/>
            <w:shd w:val="clear" w:color="auto" w:fill="CCEEFF"/>
          </w:tcPr>
          <w:p>
            <w:pPr>
              <w:spacing w:after="0"/>
              <w:rPr>
                <w:sz w:val="18"/>
                <w:szCs w:val="18"/>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2500" w:type="dxa"/>
            <w:vAlign w:val="bottom"/>
            <w:gridSpan w:val="2"/>
          </w:tcPr>
          <w:p>
            <w:pPr>
              <w:jc w:val="right"/>
              <w:ind w:right="850"/>
              <w:spacing w:after="0"/>
              <w:rPr>
                <w:sz w:val="20"/>
                <w:szCs w:val="20"/>
                <w:color w:val="auto"/>
              </w:rPr>
            </w:pPr>
            <w:r>
              <w:rPr>
                <w:rFonts w:ascii="Arial" w:cs="Arial" w:eastAsia="Arial" w:hAnsi="Arial"/>
                <w:sz w:val="18"/>
                <w:szCs w:val="18"/>
                <w:color w:val="auto"/>
              </w:rPr>
              <w:t>8.01</w:t>
            </w:r>
          </w:p>
        </w:tc>
        <w:tc>
          <w:tcPr>
            <w:tcW w:w="6620" w:type="dxa"/>
            <w:vAlign w:val="bottom"/>
          </w:tcPr>
          <w:p>
            <w:pPr>
              <w:spacing w:after="0"/>
              <w:rPr>
                <w:sz w:val="18"/>
                <w:szCs w:val="18"/>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25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8.57</w:t>
            </w:r>
          </w:p>
        </w:tc>
        <w:tc>
          <w:tcPr>
            <w:tcW w:w="6620" w:type="dxa"/>
            <w:vAlign w:val="bottom"/>
            <w:shd w:val="clear" w:color="auto" w:fill="CCEEFF"/>
          </w:tcPr>
          <w:p>
            <w:pPr>
              <w:spacing w:after="0"/>
              <w:rPr>
                <w:sz w:val="18"/>
                <w:szCs w:val="18"/>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8"/>
              </w:rPr>
              <w:t>1,334</w:t>
            </w:r>
          </w:p>
        </w:tc>
        <w:tc>
          <w:tcPr>
            <w:tcW w:w="2500" w:type="dxa"/>
            <w:vAlign w:val="bottom"/>
            <w:gridSpan w:val="2"/>
          </w:tcPr>
          <w:p>
            <w:pPr>
              <w:jc w:val="right"/>
              <w:ind w:right="850"/>
              <w:spacing w:after="0"/>
              <w:rPr>
                <w:sz w:val="20"/>
                <w:szCs w:val="20"/>
                <w:color w:val="auto"/>
              </w:rPr>
            </w:pPr>
            <w:r>
              <w:rPr>
                <w:rFonts w:ascii="Arial" w:cs="Arial" w:eastAsia="Arial" w:hAnsi="Arial"/>
                <w:sz w:val="18"/>
                <w:szCs w:val="18"/>
                <w:color w:val="auto"/>
              </w:rPr>
              <w:t>9.75</w:t>
            </w:r>
          </w:p>
        </w:tc>
        <w:tc>
          <w:tcPr>
            <w:tcW w:w="6620" w:type="dxa"/>
            <w:vAlign w:val="bottom"/>
          </w:tcPr>
          <w:p>
            <w:pPr>
              <w:spacing w:after="0"/>
              <w:rPr>
                <w:sz w:val="18"/>
                <w:szCs w:val="18"/>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25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9.76</w:t>
            </w:r>
          </w:p>
        </w:tc>
        <w:tc>
          <w:tcPr>
            <w:tcW w:w="6620" w:type="dxa"/>
            <w:vAlign w:val="bottom"/>
            <w:shd w:val="clear" w:color="auto" w:fill="CCEEFF"/>
          </w:tcPr>
          <w:p>
            <w:pPr>
              <w:spacing w:after="0"/>
              <w:rPr>
                <w:sz w:val="18"/>
                <w:szCs w:val="18"/>
                <w:color w:val="auto"/>
              </w:rPr>
            </w:pPr>
          </w:p>
        </w:tc>
      </w:t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88"/>
              </w:rPr>
              <w:t>5,333</w:t>
            </w:r>
          </w:p>
        </w:tc>
        <w:tc>
          <w:tcPr>
            <w:tcW w:w="2500" w:type="dxa"/>
            <w:vAlign w:val="bottom"/>
            <w:gridSpan w:val="2"/>
          </w:tcPr>
          <w:p>
            <w:pPr>
              <w:jc w:val="right"/>
              <w:ind w:right="850"/>
              <w:spacing w:after="0"/>
              <w:rPr>
                <w:sz w:val="20"/>
                <w:szCs w:val="20"/>
                <w:color w:val="auto"/>
              </w:rPr>
            </w:pPr>
            <w:r>
              <w:rPr>
                <w:rFonts w:ascii="Arial" w:cs="Arial" w:eastAsia="Arial" w:hAnsi="Arial"/>
                <w:sz w:val="18"/>
                <w:szCs w:val="18"/>
                <w:color w:val="auto"/>
              </w:rPr>
              <w:t>12.84</w:t>
            </w:r>
          </w:p>
        </w:tc>
        <w:tc>
          <w:tcPr>
            <w:tcW w:w="6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-1106170</wp:posOffset>
            </wp:positionV>
            <wp:extent cx="420243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02430" cy="13716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-831850</wp:posOffset>
            </wp:positionV>
            <wp:extent cx="420243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02430" cy="13716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-557530</wp:posOffset>
            </wp:positionV>
            <wp:extent cx="420243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02430" cy="13716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-282575</wp:posOffset>
            </wp:positionV>
            <wp:extent cx="420243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02430" cy="137160"/>
                    </a:xfrm>
                    <a:prstGeom prst="rect">
                      <a:avLst/>
                    </a:prstGeom>
                    <a:noFill/>
                  </pic:spPr>
                </pic:pic>
              </a:graphicData>
            </a:graphic>
          </wp:anchor>
        </w:drawing>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2011, the Company granted stock for payment of fiscal 2010 bonuses under the 2007 Plan for an aggregate of 22,686 shares of its common stock to various employees. The fair value of the shares of the Company’s common stock as of the date of grant of the stock bonuses was $319,649, based on the closing sale price of a share of the Company’s common stock on the date of grant. The fair value of common stock granted during fiscal 2011 was based on fiscal 2010 performance and was included in accrued liabilities at August 31,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the year ended August 31, 2011 was $480,203.</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2010, the Company did not purchase or retire any shares of its common stock. The following stock options to purchase shares of common stock were exercised during fiscal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 Exercised</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6620" w:type="dxa"/>
            <w:vAlign w:val="bottom"/>
          </w:tcPr>
          <w:p>
            <w:pPr>
              <w:spacing w:after="0"/>
              <w:rPr>
                <w:sz w:val="20"/>
                <w:szCs w:val="20"/>
                <w:color w:val="auto"/>
              </w:rPr>
            </w:pPr>
          </w:p>
        </w:tc>
      </w:tr>
      <w:tr>
        <w:trPr>
          <w:trHeight w:val="210"/>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1,500</w:t>
            </w: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$6.15</w:t>
            </w:r>
          </w:p>
        </w:tc>
        <w:tc>
          <w:tcPr>
            <w:tcW w:w="6620" w:type="dxa"/>
            <w:vAlign w:val="bottom"/>
            <w:shd w:val="clear" w:color="auto" w:fill="CCEEFF"/>
          </w:tcPr>
          <w:p>
            <w:pPr>
              <w:spacing w:after="0"/>
              <w:rPr>
                <w:sz w:val="18"/>
                <w:szCs w:val="18"/>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$5.38</w:t>
            </w:r>
          </w:p>
        </w:tc>
        <w:tc>
          <w:tcPr>
            <w:tcW w:w="6620" w:type="dxa"/>
            <w:vAlign w:val="bottom"/>
          </w:tcPr>
          <w:p>
            <w:pPr>
              <w:spacing w:after="0"/>
              <w:rPr>
                <w:sz w:val="18"/>
                <w:szCs w:val="18"/>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$5.75</w:t>
            </w:r>
          </w:p>
        </w:tc>
        <w:tc>
          <w:tcPr>
            <w:tcW w:w="66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-410845</wp:posOffset>
            </wp:positionV>
            <wp:extent cx="420243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02430" cy="13716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-136525</wp:posOffset>
            </wp:positionV>
            <wp:extent cx="420243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0243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the year ended August 31, 2010 was $64,180.</w:t>
      </w:r>
    </w:p>
    <w:p>
      <w:pPr>
        <w:spacing w:after="0" w:line="25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fiscal 2010, the Company completed a $3,552,000 registered direct offering in which it sold an aggregate of 480,000 shares of its common stock to institutional investors at a purchase price of $7.40 per share, resulting in net proceeds of $3,195,613, after deducting placement agent fees and expenses and the Company’s offering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700" w:type="dxa"/>
            <w:vAlign w:val="bottom"/>
          </w:tcPr>
          <w:p>
            <w:pPr>
              <w:ind w:left="360"/>
              <w:spacing w:after="0"/>
              <w:rPr>
                <w:sz w:val="20"/>
                <w:szCs w:val="20"/>
                <w:color w:val="auto"/>
              </w:rPr>
            </w:pPr>
            <w:r>
              <w:rPr>
                <w:rFonts w:ascii="Arial" w:cs="Arial" w:eastAsia="Arial" w:hAnsi="Arial"/>
                <w:sz w:val="18"/>
                <w:szCs w:val="18"/>
                <w:b w:val="1"/>
                <w:bCs w:val="1"/>
                <w:color w:val="auto"/>
              </w:rPr>
              <w:t>GEOGRAPHIC AND SEGMENT INFORMATION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73"/>
        </w:trPr>
        <w:tc>
          <w:tcPr>
            <w:tcW w:w="2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8"/>
              </w:rPr>
              <w:t>Fiscal Year Ended August 31,</w:t>
            </w:r>
          </w:p>
        </w:tc>
      </w:tr>
      <w:tr>
        <w:trPr>
          <w:trHeight w:val="223"/>
        </w:trPr>
        <w:tc>
          <w:tcPr>
            <w:tcW w:w="28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10"/>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280" w:type="dxa"/>
            <w:vAlign w:val="bottom"/>
          </w:tcPr>
          <w:p>
            <w:pPr>
              <w:spacing w:after="0"/>
              <w:rPr>
                <w:sz w:val="19"/>
                <w:szCs w:val="19"/>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rPr>
              <w:t>Unaffiliated customers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63"/>
        </w:trPr>
        <w:tc>
          <w:tcPr>
            <w:tcW w:w="280" w:type="dxa"/>
            <w:vAlign w:val="bottom"/>
            <w:tcBorders>
              <w:bottom w:val="single" w:sz="8" w:color="CCEEFF"/>
            </w:tcBorders>
            <w:shd w:val="clear" w:color="auto" w:fill="CCEEFF"/>
          </w:tcPr>
          <w:p>
            <w:pPr>
              <w:spacing w:after="0"/>
              <w:rPr>
                <w:sz w:val="22"/>
                <w:szCs w:val="22"/>
                <w:color w:val="auto"/>
              </w:rPr>
            </w:pPr>
          </w:p>
        </w:tc>
        <w:tc>
          <w:tcPr>
            <w:tcW w:w="87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3" w:name="page74"/>
    <w:bookmarkEnd w:id="73"/>
    <w:p>
      <w:pPr>
        <w:ind w:right="1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2011 and fiscal 2010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 of Total Fees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 of Total Fees</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87"/>
              </w:rPr>
              <w:t>for Services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7"/>
              </w:rPr>
              <w:t>for Services</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w w:val="89"/>
              </w:rPr>
              <w:t>Provided to Joint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8"/>
              </w:rPr>
              <w:t>Provided to</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9"/>
              </w:rPr>
              <w:t>Ventures in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89"/>
              </w:rPr>
              <w:t>Joint Ventures</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1280" w:type="dxa"/>
            <w:vAlign w:val="bottom"/>
            <w:gridSpan w:val="6"/>
          </w:tcPr>
          <w:p>
            <w:pPr>
              <w:jc w:val="right"/>
              <w:ind w:right="330"/>
              <w:spacing w:after="0"/>
              <w:rPr>
                <w:sz w:val="20"/>
                <w:szCs w:val="20"/>
                <w:color w:val="auto"/>
              </w:rPr>
            </w:pPr>
            <w:r>
              <w:rPr>
                <w:rFonts w:ascii="Arial" w:cs="Arial" w:eastAsia="Arial" w:hAnsi="Arial"/>
                <w:sz w:val="18"/>
                <w:szCs w:val="18"/>
                <w:b w:val="1"/>
                <w:bCs w:val="1"/>
                <w:color w:val="auto"/>
                <w:w w:val="87"/>
              </w:rPr>
              <w:t>Fiscal 2011</w:t>
            </w:r>
          </w:p>
        </w:tc>
        <w:tc>
          <w:tcPr>
            <w:tcW w:w="60" w:type="dxa"/>
            <w:vAlign w:val="bottom"/>
          </w:tcPr>
          <w:p>
            <w:pPr>
              <w:spacing w:after="0"/>
              <w:rPr>
                <w:sz w:val="20"/>
                <w:szCs w:val="20"/>
                <w:color w:val="auto"/>
              </w:rPr>
            </w:pPr>
          </w:p>
        </w:tc>
        <w:tc>
          <w:tcPr>
            <w:tcW w:w="136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87"/>
              </w:rPr>
              <w:t>Fiscal 2011</w:t>
            </w:r>
          </w:p>
        </w:tc>
        <w:tc>
          <w:tcPr>
            <w:tcW w:w="1200" w:type="dxa"/>
            <w:vAlign w:val="bottom"/>
            <w:gridSpan w:val="8"/>
          </w:tcPr>
          <w:p>
            <w:pPr>
              <w:ind w:left="40"/>
              <w:spacing w:after="0"/>
              <w:rPr>
                <w:sz w:val="20"/>
                <w:szCs w:val="20"/>
                <w:color w:val="auto"/>
              </w:rPr>
            </w:pPr>
            <w:r>
              <w:rPr>
                <w:rFonts w:ascii="Arial" w:cs="Arial" w:eastAsia="Arial" w:hAnsi="Arial"/>
                <w:sz w:val="18"/>
                <w:szCs w:val="18"/>
                <w:b w:val="1"/>
                <w:bCs w:val="1"/>
                <w:color w:val="auto"/>
              </w:rPr>
              <w:t>Fiscal 2010</w:t>
            </w:r>
          </w:p>
        </w:tc>
        <w:tc>
          <w:tcPr>
            <w:tcW w:w="128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8"/>
              </w:rPr>
              <w:t>in Fiscal 2010</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2"/>
              </w:rPr>
              <w:t>1,184,205</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963,208</w:t>
            </w:r>
          </w:p>
        </w:tc>
        <w:tc>
          <w:tcPr>
            <w:tcW w:w="1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Germany</w:t>
            </w:r>
          </w:p>
        </w:tc>
        <w:tc>
          <w:tcPr>
            <w:tcW w:w="14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w w:val="92"/>
              </w:rPr>
              <w:t>1,066,659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1,000,037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844,147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548,779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rPr>
              <w:t>727,653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528,717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575,271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389,945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Finland</w:t>
            </w:r>
          </w:p>
        </w:tc>
        <w:tc>
          <w:tcPr>
            <w:tcW w:w="14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rPr>
              <w:t>535,913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401,607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306,586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276,812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889,545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581,345</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2"/>
              </w:rPr>
              <w:t>6,129,979</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9"/>
              </w:rPr>
              <w:t>4,690,450</w:t>
            </w: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53"/>
        </w:trPr>
        <w:tc>
          <w:tcPr>
            <w:tcW w:w="7520" w:type="dxa"/>
            <w:vAlign w:val="bottom"/>
            <w:gridSpan w:val="7"/>
          </w:tcPr>
          <w:p>
            <w:pPr>
              <w:spacing w:after="0"/>
              <w:rPr>
                <w:sz w:val="20"/>
                <w:szCs w:val="20"/>
                <w:color w:val="auto"/>
              </w:rPr>
            </w:pPr>
            <w:r>
              <w:rPr>
                <w:rFonts w:ascii="Arial" w:cs="Arial" w:eastAsia="Arial" w:hAnsi="Arial"/>
                <w:sz w:val="18"/>
                <w:szCs w:val="18"/>
                <w:color w:val="auto"/>
                <w:w w:val="96"/>
              </w:rPr>
              <w:t>The following table sets forth the Company’s net sales for fiscal 2011 and fiscal 2010 by segment: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Fiscal 2011</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w w:val="89"/>
              </w:rPr>
              <w:t>Fiscal 2010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140" w:type="dxa"/>
            <w:vAlign w:val="bottom"/>
            <w:shd w:val="clear" w:color="auto" w:fill="CCEEFF"/>
          </w:tcPr>
          <w:p>
            <w:pPr>
              <w:spacing w:after="0"/>
              <w:rPr>
                <w:sz w:val="19"/>
                <w:szCs w:val="19"/>
                <w:color w:val="auto"/>
              </w:rPr>
            </w:pPr>
          </w:p>
        </w:tc>
        <w:tc>
          <w:tcPr>
            <w:tcW w:w="15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$ 18,542,523</w:t>
            </w:r>
          </w:p>
        </w:tc>
        <w:tc>
          <w:tcPr>
            <w:tcW w:w="120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$ 13,814,101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4,728,422</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spacing w:after="0" w:line="229"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984,004</w:t>
            </w:r>
          </w:p>
        </w:tc>
        <w:tc>
          <w:tcPr>
            <w:tcW w:w="12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color w:val="auto"/>
              </w:rPr>
              <w:t>572,663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411,341</w:t>
            </w: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$ 19,526,527</w:t>
            </w:r>
          </w:p>
        </w:tc>
        <w:tc>
          <w:tcPr>
            <w:tcW w:w="120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$ 14,386,764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5,139,763</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459"/>
        </w:trPr>
        <w:tc>
          <w:tcPr>
            <w:tcW w:w="7920" w:type="dxa"/>
            <w:vAlign w:val="bottom"/>
            <w:gridSpan w:val="10"/>
          </w:tcPr>
          <w:p>
            <w:pPr>
              <w:spacing w:after="0"/>
              <w:rPr>
                <w:sz w:val="20"/>
                <w:szCs w:val="20"/>
                <w:color w:val="auto"/>
              </w:rPr>
            </w:pPr>
            <w:r>
              <w:rPr>
                <w:rFonts w:ascii="Arial" w:cs="Arial" w:eastAsia="Arial" w:hAnsi="Arial"/>
                <w:sz w:val="18"/>
                <w:szCs w:val="18"/>
                <w:color w:val="auto"/>
                <w:w w:val="92"/>
              </w:rPr>
              <w:t>The following table sets forth the Company’s cost of goods sold for fiscal 2011 and fiscal 2010 by segment: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 of Product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 of Product</w:t>
            </w:r>
          </w:p>
        </w:tc>
        <w:tc>
          <w:tcPr>
            <w:tcW w:w="0" w:type="dxa"/>
            <w:vAlign w:val="bottom"/>
          </w:tcPr>
          <w:p>
            <w:pPr>
              <w:spacing w:after="0"/>
              <w:rPr>
                <w:sz w:val="1"/>
                <w:szCs w:val="1"/>
                <w:color w:val="auto"/>
              </w:rPr>
            </w:pPr>
          </w:p>
        </w:tc>
      </w:tr>
      <w:tr>
        <w:trPr>
          <w:trHeight w:val="234"/>
        </w:trPr>
        <w:tc>
          <w:tcPr>
            <w:tcW w:w="624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1"/>
              </w:rPr>
              <w:t>Fiscal 2011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Sales*</w:t>
            </w:r>
          </w:p>
        </w:tc>
        <w:tc>
          <w:tcPr>
            <w:tcW w:w="1200" w:type="dxa"/>
            <w:vAlign w:val="bottom"/>
            <w:gridSpan w:val="8"/>
          </w:tcPr>
          <w:p>
            <w:pPr>
              <w:ind w:left="40"/>
              <w:spacing w:after="0"/>
              <w:rPr>
                <w:sz w:val="20"/>
                <w:szCs w:val="20"/>
                <w:color w:val="auto"/>
              </w:rPr>
            </w:pPr>
            <w:r>
              <w:rPr>
                <w:rFonts w:ascii="Arial" w:cs="Arial" w:eastAsia="Arial" w:hAnsi="Arial"/>
                <w:sz w:val="18"/>
                <w:szCs w:val="18"/>
                <w:b w:val="1"/>
                <w:bCs w:val="1"/>
                <w:color w:val="auto"/>
              </w:rPr>
              <w:t>Fiscal 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29" w:lineRule="exact"/>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p>
        </w:tc>
        <w:tc>
          <w:tcPr>
            <w:tcW w:w="14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$ 10,087,637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7,353,838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line="229"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p>
        </w:tc>
        <w:tc>
          <w:tcPr>
            <w:tcW w:w="140" w:type="dxa"/>
            <w:vAlign w:val="bottom"/>
          </w:tcPr>
          <w:p>
            <w:pPr>
              <w:spacing w:after="0"/>
              <w:rPr>
                <w:sz w:val="19"/>
                <w:szCs w:val="19"/>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702,608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665,591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1,978,395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1,365,437</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$ 12,768,640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9,384,866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40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98" w:lineRule="exact"/>
        <w:rPr>
          <w:sz w:val="20"/>
          <w:szCs w:val="20"/>
          <w:color w:val="auto"/>
        </w:rPr>
      </w:pPr>
    </w:p>
    <w:p>
      <w:pPr>
        <w:ind w:left="340" w:right="140" w:hanging="332"/>
        <w:spacing w:after="0" w:line="289"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direct cost of goods sold for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includes $358,474 of inventory that was written down to the current market value. This inventory was purchased when the primary raw material that makes up many of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was higher than current replacement prices and market value.</w:t>
      </w:r>
    </w:p>
    <w:p>
      <w:pPr>
        <w:spacing w:after="0" w:line="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The geographical distribution of long-lived assets is set forth as follows:</w:t>
            </w: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73"/>
        </w:trPr>
        <w:tc>
          <w:tcPr>
            <w:tcW w:w="7140" w:type="dxa"/>
            <w:vAlign w:val="bottom"/>
          </w:tcPr>
          <w:p>
            <w:pPr>
              <w:spacing w:after="0"/>
              <w:rPr>
                <w:sz w:val="24"/>
                <w:szCs w:val="24"/>
                <w:color w:val="auto"/>
              </w:rPr>
            </w:pPr>
          </w:p>
        </w:tc>
        <w:tc>
          <w:tcPr>
            <w:tcW w:w="4280" w:type="dxa"/>
            <w:vAlign w:val="bottom"/>
            <w:gridSpan w:val="6"/>
          </w:tcPr>
          <w:p>
            <w:pPr>
              <w:ind w:left="194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7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3,499,518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3,399,567</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Brazil</w:t>
            </w: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136,817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52,963</w:t>
            </w:r>
          </w:p>
        </w:tc>
      </w:tr>
      <w:tr>
        <w:trPr>
          <w:trHeight w:val="243"/>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3,636,335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3,452,530</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Long-lived assets consist primarily of property and equipment. These assets are periodically reviewed to assure the net realizable value from the estimated future production based on forecasted sales exceeds the carrying value of the assets.</w:t>
      </w:r>
    </w:p>
    <w:p>
      <w:pPr>
        <w:spacing w:after="0" w:line="193"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In January 2009, as part of its cost reduction efforts, the Company suspended its match of participant contributions. In January 2010, the Company resumed its match of participant contributions. The Company recognized expense for the savings plan of $150,223 and $67,743 for fiscal 2011 and fiscal 2010, respectively.</w:t>
      </w:r>
    </w:p>
    <w:p>
      <w:pPr>
        <w:spacing w:after="0" w:line="194"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During fiscal 2011 and fiscal 2010, the Company made consulting payments totaling $100,000 per year, to Bioplastic Polymers LLC, an entity owned by Ramani Narayan, Ph.D., a director of the Company, and paid royalties of $5,624 and $2,668, respectively, based on net sales of the Company’s bioplastics products.</w:t>
      </w:r>
    </w:p>
    <w:p>
      <w:pPr>
        <w:spacing w:after="0" w:line="20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May 2009, the Company entered into a technology transfer and consulting agreement with Sunggyu Lee, Ph.D., a director of the Company, pursuant to which the Company paid Dr. Lee $30,000 payable in six $5,000 monthly installments in exchange for an 18-month option to purchase certain technology developed by Dr. Lee.</w:t>
      </w:r>
    </w:p>
    <w:p>
      <w:pPr>
        <w:spacing w:after="0" w:line="204"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fiscal years ended August 31, 2011 and 2010 consists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88"/>
              </w:rPr>
              <w:t>Fiscal Year Ended August 31,</w:t>
            </w:r>
          </w:p>
        </w:tc>
        <w:tc>
          <w:tcPr>
            <w:tcW w:w="0" w:type="dxa"/>
            <w:vAlign w:val="bottom"/>
          </w:tcPr>
          <w:p>
            <w:pPr>
              <w:spacing w:after="0"/>
              <w:rPr>
                <w:sz w:val="1"/>
                <w:szCs w:val="1"/>
                <w:color w:val="auto"/>
              </w:rPr>
            </w:pPr>
          </w:p>
        </w:tc>
      </w:tr>
      <w:tr>
        <w:trPr>
          <w:trHeight w:val="223"/>
        </w:trPr>
        <w:tc>
          <w:tcPr>
            <w:tcW w:w="32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5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3260" w:type="dxa"/>
            <w:vAlign w:val="bottom"/>
          </w:tcPr>
          <w:p>
            <w:pPr>
              <w:ind w:left="340"/>
              <w:spacing w:after="0"/>
              <w:rPr>
                <w:sz w:val="20"/>
                <w:szCs w:val="20"/>
                <w:color w:val="auto"/>
              </w:rPr>
            </w:pPr>
            <w:r>
              <w:rPr>
                <w:rFonts w:ascii="Arial" w:cs="Arial" w:eastAsia="Arial" w:hAnsi="Arial"/>
                <w:sz w:val="18"/>
                <w:szCs w:val="18"/>
                <w:color w:val="auto"/>
              </w:rPr>
              <w:t>State</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5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344,000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124,000</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384,000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169,000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40"/>
              <w:spacing w:after="0"/>
              <w:rPr>
                <w:sz w:val="20"/>
                <w:szCs w:val="20"/>
                <w:color w:val="auto"/>
              </w:rPr>
            </w:pPr>
            <w:r>
              <w:rPr>
                <w:rFonts w:ascii="Arial" w:cs="Arial" w:eastAsia="Arial" w:hAnsi="Arial"/>
                <w:sz w:val="18"/>
                <w:szCs w:val="18"/>
                <w:color w:val="auto"/>
              </w:rPr>
              <w:t>Federal</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303,000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Foreign</w:t>
            </w:r>
          </w:p>
        </w:tc>
        <w:tc>
          <w:tcPr>
            <w:tcW w:w="5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322,000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(399,000)</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706,000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600" w:type="dxa"/>
            <w:vAlign w:val="bottom"/>
            <w:vMerge w:val="restart"/>
          </w:tcPr>
          <w:p>
            <w:pPr>
              <w:jc w:val="right"/>
              <w:ind w:right="2970"/>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6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26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260" w:type="dxa"/>
            <w:vAlign w:val="bottom"/>
            <w:shd w:val="clear" w:color="auto" w:fill="808080"/>
          </w:tcPr>
          <w:p>
            <w:pPr>
              <w:spacing w:after="0"/>
              <w:rPr>
                <w:sz w:val="5"/>
                <w:szCs w:val="5"/>
                <w:color w:val="auto"/>
              </w:rPr>
            </w:pPr>
          </w:p>
        </w:tc>
        <w:tc>
          <w:tcPr>
            <w:tcW w:w="56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5" w:name="page76"/>
    <w:bookmarkEnd w:id="75"/>
    <w:p>
      <w:pPr>
        <w:ind w:right="28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2011 and 2010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9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1,692,000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805,000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26,000</w:t>
            </w:r>
          </w:p>
        </w:tc>
      </w:tr>
      <w:tr>
        <w:trPr>
          <w:trHeight w:val="202"/>
        </w:trPr>
        <w:tc>
          <w:tcPr>
            <w:tcW w:w="9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effect on equity in income (loss) of international joint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ventures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(1,705,000)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(1,191,000)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Tax effect on dividends received from joint ventures</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1,229,000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166,000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Benefit of foreign operations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Foreign tax credit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(1,440,000)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896,000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30"/>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23"/>
        </w:trPr>
        <w:tc>
          <w:tcPr>
            <w:tcW w:w="90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706,000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(230,000)</w:t>
            </w:r>
          </w:p>
        </w:tc>
      </w:tr>
      <w:tr>
        <w:trPr>
          <w:trHeight w:val="20"/>
        </w:trPr>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not provided U.S. income taxes with respect to its portion of the cumulative undistributed earnings of foreign joint ventures that are essentially permanent in duration. The Company’s portion of the cumulative undistributed earnings of foreign joint ventures that are essentially permanent in duration were $17,948,000 and $15,021,000 at August 31, 2011 and 2010, respectively. If some or all of the undistributed earnings of the joint ventures are remitted to the Company in the future, income taxes, if any, after the application of foreign tax credits will be provided at that time.</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tax effect of the temporary differences and tax carry forwards comprising the net deferred taxes shown on the consolidated balance sheets at August 31, 2011 and 2010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23"/>
        </w:trPr>
        <w:tc>
          <w:tcPr>
            <w:tcW w:w="404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4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bonus</w:t>
            </w:r>
          </w:p>
        </w:tc>
        <w:tc>
          <w:tcPr>
            <w:tcW w:w="5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289,100</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Arial" w:cs="Arial" w:eastAsia="Arial" w:hAnsi="Arial"/>
                <w:sz w:val="18"/>
                <w:szCs w:val="18"/>
                <w:color w:val="auto"/>
              </w:rPr>
              <w:t>Allowance for doubtful accounts</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 costs</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accrued expenses</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122,600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44,800</w:t>
            </w:r>
          </w:p>
        </w:tc>
        <w:tc>
          <w:tcPr>
            <w:tcW w:w="0" w:type="dxa"/>
            <w:vAlign w:val="bottom"/>
          </w:tcPr>
          <w:p>
            <w:pPr>
              <w:spacing w:after="0"/>
              <w:rPr>
                <w:sz w:val="1"/>
                <w:szCs w:val="1"/>
                <w:color w:val="auto"/>
              </w:rPr>
            </w:pPr>
          </w:p>
        </w:tc>
      </w:tr>
      <w:tr>
        <w:trPr>
          <w:trHeight w:val="230"/>
        </w:trPr>
        <w:tc>
          <w:tcPr>
            <w:tcW w:w="4040" w:type="dxa"/>
            <w:vAlign w:val="bottom"/>
          </w:tcPr>
          <w:p>
            <w:pPr>
              <w:ind w:left="100"/>
              <w:spacing w:after="0"/>
              <w:rPr>
                <w:sz w:val="20"/>
                <w:szCs w:val="20"/>
                <w:color w:val="auto"/>
              </w:rPr>
            </w:pPr>
            <w:r>
              <w:rPr>
                <w:rFonts w:ascii="Arial" w:cs="Arial" w:eastAsia="Arial" w:hAnsi="Arial"/>
                <w:sz w:val="18"/>
                <w:szCs w:val="18"/>
                <w:color w:val="auto"/>
              </w:rPr>
              <w:t>Deferred joint venture expenses</w:t>
            </w:r>
          </w:p>
        </w:tc>
        <w:tc>
          <w:tcPr>
            <w:tcW w:w="4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104,100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104,100</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w:t>
            </w:r>
          </w:p>
        </w:tc>
        <w:tc>
          <w:tcPr>
            <w:tcW w:w="5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221,600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448,600</w:t>
            </w:r>
          </w:p>
        </w:tc>
        <w:tc>
          <w:tcPr>
            <w:tcW w:w="0" w:type="dxa"/>
            <w:vAlign w:val="bottom"/>
          </w:tcPr>
          <w:p>
            <w:pPr>
              <w:spacing w:after="0"/>
              <w:rPr>
                <w:sz w:val="1"/>
                <w:szCs w:val="1"/>
                <w:color w:val="auto"/>
              </w:rPr>
            </w:pPr>
          </w:p>
        </w:tc>
      </w:tr>
      <w:tr>
        <w:trPr>
          <w:trHeight w:val="345"/>
        </w:trPr>
        <w:tc>
          <w:tcPr>
            <w:tcW w:w="4040" w:type="dxa"/>
            <w:vAlign w:val="bottom"/>
            <w:tcBorders>
              <w:top w:val="single" w:sz="8" w:color="CCEEFF"/>
            </w:tcBorders>
          </w:tcPr>
          <w:p>
            <w:pPr>
              <w:spacing w:after="0"/>
              <w:rPr>
                <w:sz w:val="24"/>
                <w:szCs w:val="24"/>
                <w:color w:val="auto"/>
              </w:rPr>
            </w:pPr>
          </w:p>
        </w:tc>
        <w:tc>
          <w:tcPr>
            <w:tcW w:w="4820" w:type="dxa"/>
            <w:vAlign w:val="bottom"/>
            <w:tcBorders>
              <w:top w:val="single" w:sz="8" w:color="CCEEFF"/>
            </w:tcBorders>
          </w:tcPr>
          <w:p>
            <w:pPr>
              <w:jc w:val="right"/>
              <w:ind w:right="2970"/>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40" w:type="dxa"/>
            <w:vAlign w:val="bottom"/>
            <w:shd w:val="clear" w:color="auto" w:fill="808080"/>
          </w:tcPr>
          <w:p>
            <w:pPr>
              <w:spacing w:after="0"/>
              <w:rPr>
                <w:sz w:val="5"/>
                <w:szCs w:val="5"/>
                <w:color w:val="auto"/>
              </w:rPr>
            </w:pPr>
          </w:p>
        </w:tc>
        <w:tc>
          <w:tcPr>
            <w:tcW w:w="48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23"/>
        </w:trPr>
        <w:tc>
          <w:tcPr>
            <w:tcW w:w="5880" w:type="dxa"/>
            <w:vAlign w:val="bottom"/>
            <w:vMerge w:val="restart"/>
          </w:tcPr>
          <w:p>
            <w:pPr>
              <w:spacing w:after="0"/>
              <w:rPr>
                <w:sz w:val="20"/>
                <w:szCs w:val="20"/>
                <w:color w:val="auto"/>
              </w:rPr>
            </w:pPr>
            <w:r>
              <w:rPr>
                <w:rFonts w:ascii="Arial" w:cs="Arial" w:eastAsia="Arial" w:hAnsi="Arial"/>
                <w:sz w:val="18"/>
                <w:szCs w:val="18"/>
                <w:color w:val="auto"/>
              </w:rPr>
              <w:t>Noncurrent:</w:t>
            </w:r>
          </w:p>
        </w:tc>
        <w:tc>
          <w:tcPr>
            <w:tcW w:w="3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(164,800)</w:t>
            </w: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Arial" w:cs="Arial" w:eastAsia="Arial" w:hAnsi="Arial"/>
                <w:sz w:val="18"/>
                <w:szCs w:val="18"/>
                <w:color w:val="auto"/>
              </w:rPr>
              <w:t>Goodwill</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58,900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286,900</w:t>
            </w: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Arial" w:cs="Arial" w:eastAsia="Arial" w:hAnsi="Arial"/>
                <w:sz w:val="18"/>
                <w:szCs w:val="18"/>
                <w:color w:val="auto"/>
              </w:rPr>
              <w:t>Nonqualified stock options</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83,100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tax credit carryforward</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3,524,300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3,013,500</w:t>
            </w: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Arial" w:cs="Arial" w:eastAsia="Arial" w:hAnsi="Arial"/>
                <w:sz w:val="18"/>
                <w:szCs w:val="18"/>
                <w:color w:val="auto"/>
              </w:rPr>
              <w:t>Net operating loss carryforward</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557,200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credit</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1,155,600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950,900</w:t>
            </w: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Arial" w:cs="Arial" w:eastAsia="Arial" w:hAnsi="Arial"/>
                <w:sz w:val="18"/>
                <w:szCs w:val="18"/>
                <w:color w:val="auto"/>
              </w:rPr>
              <w:t>New hire retention credit</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5,210,000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4,785,700</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Valuation allowance</w:t>
            </w:r>
          </w:p>
        </w:tc>
        <w:tc>
          <w:tcPr>
            <w:tcW w:w="3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(3,799,300)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(3,280,400)</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noncurrent</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1,410,700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1,505,300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August 31, 2011, the Company had foreign tax credit carryforwards of approximately $3,524,000, of which approximately $234,000 will expire if not utilized by August 31, 2012. In addition, the Company had federal and state tax credit carryforwards of $1,165,600 at August 31, 2011 which begin to expire in fiscal 2019. These federal and state tax credit carryforwards consist primarily of federal and Minnesota state research and development credit carryforwards.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recorded a valuation allowance of $3,524,000 with respect to the foreign tax credit carryforwards. In addition, the Company has recorded a valuation allowance of $275,000 with respect to Minnesota state research and development credit carryforwards.</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records a tax valuation allowance to reduce deferred tax assets to the amount expected to be realized when it is more likely than not that some portion or all of its deferred tax assets will not be realized. The Company determined based on all available evidence, including historical data and projections of future results, that it is more likely than not that all of its deferred tax assets, except for its foreign tax credit carryforward and Minnesota state research and development credit carryforwards, will be fully realized. The Company determined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 In addition, based on historical data and future projections, the Company determined that it is more likely than not that its deferred tax asset related to Minnesota state research and development credit carryforwards will not be realized due to insufficient Minnesota apportioned taxable income within the carryforward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1"/>
              </w:rPr>
              <w:t>Fiscal Year Ended August 31,</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 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Gross increases - prior period tax positions</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increases – current period tax positions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Gross unrecognized tax benefits – 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105,000</w:t>
            </w: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It is not expected that the amount of unrecognized tax benefits will change significantly in the next 12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77" w:name="page78"/>
    <w:bookmarkEnd w:id="77"/>
    <w:p>
      <w:pPr>
        <w:jc w:val="both"/>
        <w:ind w:right="8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 liability for the payment of interest and penalties was $0 at both August 31, 2011 and August 31, 2010.</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With few exceptions, as of August 31, 2011, the Company is no longer subject to federal, state, local, or foreign examinations by tax authorities for years prior to August 31, 2008.</w:t>
      </w:r>
    </w:p>
    <w:p>
      <w:pPr>
        <w:spacing w:after="0" w:line="193"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August 27, 2010, the Company’s Board of Directors, upon recommendation of the Compensation Committee, approved the material terms of an annual bonus plan for the Company’s executive officers and certain employees for the fiscal year ending August 31, 2011,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200" w:lineRule="exact"/>
        <w:rPr>
          <w:sz w:val="20"/>
          <w:szCs w:val="20"/>
          <w:color w:val="auto"/>
        </w:rPr>
      </w:pPr>
    </w:p>
    <w:p>
      <w:pPr>
        <w:ind w:left="820" w:hanging="136"/>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total amount available under the bonus plan will be up to 25% of the Company’s earnings before interest, taxes and other income (EBITOI);</w:t>
      </w:r>
    </w:p>
    <w:p>
      <w:pPr>
        <w:spacing w:after="0" w:line="275" w:lineRule="exact"/>
        <w:rPr>
          <w:rFonts w:ascii="Arial" w:cs="Arial" w:eastAsia="Arial" w:hAnsi="Arial"/>
          <w:sz w:val="16"/>
          <w:szCs w:val="16"/>
          <w:color w:val="auto"/>
        </w:rPr>
      </w:pPr>
    </w:p>
    <w:p>
      <w:pPr>
        <w:ind w:left="820" w:hanging="13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97" w:lineRule="exact"/>
        <w:rPr>
          <w:rFonts w:ascii="Arial" w:cs="Arial" w:eastAsia="Arial" w:hAnsi="Arial"/>
          <w:sz w:val="18"/>
          <w:szCs w:val="18"/>
          <w:color w:val="auto"/>
        </w:rPr>
      </w:pPr>
    </w:p>
    <w:p>
      <w:pPr>
        <w:jc w:val="both"/>
        <w:ind w:left="820" w:hanging="136"/>
        <w:spacing w:after="0" w:line="26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the Company’s Board of Directors, upon recommendation of the Compensation Committee.</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was $1,379,565 accrued for bonuses under this plan as of August 31, 2011. $756,000 was accrued for bonuses under the prior fiscal year plan as of August 31, 2010.</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September 27, 2011, the Compensation Committee approved the material terms of an annual bonus plan for the Company’s executive officers and certain officers and employees for the fiscal year ending August 31, 2012. For fiscal 2012 as in past years, the total amount available under the bonus plan will be up to 25% of the Company’s EBITOI and will be $0 if EBITOI is below 70% of a pre-established target EBITOI for fiscal 2012. Each plan participant’s percentage of the overall bonus pool will be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2012 compared to the pre-established target EBITOI for fiscal 2012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2012.</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8" w:name="page79"/>
    <w:bookmarkEnd w:id="78"/>
    <w:p>
      <w:pPr>
        <w:ind w:right="280"/>
        <w:spacing w:after="0" w:line="277" w:lineRule="auto"/>
        <w:rPr>
          <w:sz w:val="20"/>
          <w:szCs w:val="20"/>
          <w:color w:val="auto"/>
        </w:rPr>
      </w:pPr>
      <w:r>
        <w:rPr>
          <w:rFonts w:ascii="Arial" w:cs="Arial" w:eastAsia="Arial" w:hAnsi="Arial"/>
          <w:sz w:val="18"/>
          <w:szCs w:val="18"/>
          <w:color w:val="auto"/>
        </w:rPr>
        <w:t>A subsidiary of the Company, NTI Facilities, Inc., leases property located at 23205 Mercantile Road, Beachwood, Ohio. Remaining rentals payable under such leases are as follows: fiscal 2012 - $238,500; fiscal 2013 - $238,500; fiscal 2014 - $59,500 and thereafter - $0.</w:t>
      </w:r>
    </w:p>
    <w:p>
      <w:pPr>
        <w:spacing w:after="0" w:line="19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One customer accounted for 0% and 10.6% of the Company’s trade receivables, excluding joint ventures at August 31, 2011 and 2010, respectively. One joint venture accounted for 53.5% and 36.4% of the Company’s trade joint venture receivables at August 31, 2011 and 2010, respectively.</w:t>
      </w:r>
    </w:p>
    <w:p>
      <w:pPr>
        <w:spacing w:after="0" w:line="15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147"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for the fiscal years ended August 31, 2011 and 2010 consist 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Cash paid during the year for interest</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98,963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in lieu of accrued payroll (22,686 and 0</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respectively)</w:t>
            </w:r>
          </w:p>
        </w:tc>
        <w:tc>
          <w:tcPr>
            <w:tcW w:w="1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319,650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Decrease in the Company’s investment in joint ventures and</w:t>
            </w: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due to changes in</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exchange rates</w:t>
            </w: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1,792,467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8"/>
              </w:rPr>
              <w:t>$ (1,005,305)</w:t>
            </w:r>
          </w:p>
        </w:tc>
        <w:tc>
          <w:tcPr>
            <w:tcW w:w="0" w:type="dxa"/>
            <w:vAlign w:val="bottom"/>
          </w:tcPr>
          <w:p>
            <w:pPr>
              <w:spacing w:after="0"/>
              <w:rPr>
                <w:sz w:val="1"/>
                <w:szCs w:val="1"/>
                <w:color w:val="auto"/>
              </w:rPr>
            </w:pPr>
          </w:p>
        </w:tc>
      </w:tr>
      <w:tr>
        <w:trPr>
          <w:trHeight w:val="459"/>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4840" w:type="dxa"/>
            <w:vAlign w:val="bottom"/>
          </w:tcPr>
          <w:p>
            <w:pPr>
              <w:ind w:left="400"/>
              <w:spacing w:after="0"/>
              <w:rPr>
                <w:sz w:val="20"/>
                <w:szCs w:val="20"/>
                <w:color w:val="auto"/>
              </w:rPr>
            </w:pPr>
            <w:r>
              <w:rPr>
                <w:rFonts w:ascii="Arial" w:cs="Arial" w:eastAsia="Arial" w:hAnsi="Arial"/>
                <w:sz w:val="18"/>
                <w:szCs w:val="18"/>
                <w:b w:val="1"/>
                <w:bCs w:val="1"/>
                <w:color w:val="auto"/>
              </w:rPr>
              <w:t>QUARTERLY INFORMATION (UNAUDITED)</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2"/>
              </w:rPr>
              <w:t>Fiscal Quarter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Fiscal year 2011:</w:t>
            </w:r>
          </w:p>
        </w:tc>
        <w:tc>
          <w:tcPr>
            <w:tcW w:w="178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November 30</w:t>
            </w: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May 31</w:t>
            </w:r>
          </w:p>
        </w:tc>
        <w:tc>
          <w:tcPr>
            <w:tcW w:w="10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4"/>
              </w:rPr>
              <w:t>August 31</w:t>
            </w:r>
          </w:p>
        </w:tc>
        <w:tc>
          <w:tcPr>
            <w:tcW w:w="0" w:type="dxa"/>
            <w:vAlign w:val="bottom"/>
          </w:tcPr>
          <w:p>
            <w:pPr>
              <w:spacing w:after="0"/>
              <w:rPr>
                <w:sz w:val="1"/>
                <w:szCs w:val="1"/>
                <w:color w:val="auto"/>
              </w:rPr>
            </w:pPr>
          </w:p>
        </w:tc>
      </w:tr>
      <w:tr>
        <w:trPr>
          <w:trHeight w:val="210"/>
        </w:trPr>
        <w:tc>
          <w:tcPr>
            <w:tcW w:w="5120" w:type="dxa"/>
            <w:vAlign w:val="bottom"/>
            <w:gridSpan w:val="3"/>
            <w:vMerge w:val="continue"/>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sales</w:t>
            </w:r>
          </w:p>
        </w:tc>
        <w:tc>
          <w:tcPr>
            <w:tcW w:w="1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4,098,441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4,778,118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5,100,778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5,549,190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1,407,736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1,771,886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1,641,927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1,936,338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before income tax expense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1,016,874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1,141,219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1,250,155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1,293,640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8"/>
                <w:szCs w:val="18"/>
                <w:color w:val="auto"/>
              </w:rPr>
              <w:t>Income tax expense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894,874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1,022,155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1,077,640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8"/>
                <w:szCs w:val="18"/>
                <w:color w:val="auto"/>
              </w:rPr>
              <w:t>Basic</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w:t>
            </w:r>
          </w:p>
        </w:tc>
        <w:tc>
          <w:tcPr>
            <w:tcW w:w="1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assumed outstanding:</w:t>
            </w:r>
          </w:p>
        </w:tc>
        <w:tc>
          <w:tcPr>
            <w:tcW w:w="1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8"/>
                <w:szCs w:val="18"/>
                <w:color w:val="auto"/>
              </w:rPr>
              <w:t>Basic</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4,264,187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4,340,934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4,343,601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4,352,558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4,324,757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4,419,921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4,427,097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4,442,452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80" w:type="dxa"/>
            <w:vAlign w:val="bottom"/>
          </w:tcPr>
          <w:p>
            <w:pPr>
              <w:jc w:val="right"/>
              <w:ind w:right="101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8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2"/>
              </w:rPr>
              <w:t>Fiscal Quarter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Fiscal year 2010:</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November 30</w:t>
            </w: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May 31</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2,711,402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2,876,478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3,237,198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5,561,686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953,906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1,035,831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1,064,296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1,947,865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 benefit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435,705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4,149,096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4,194,887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4,213,465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4,223,605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4,163,441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4,225,907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4,242,735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4,231,589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________________</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40" w:hanging="332"/>
        <w:spacing w:after="0" w:line="25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fourth quarter of fiscal 2010, the Company decided to consolidate the financial results of the Company’s majority owned Brazilian subsidiary, Zerust Prevenção de Corrosão S.A., for the fiscal year ended August 31, 2010. As a result, all revenues and expenses of Zerust Brazil for the fiscal year ended August 31, 2010 are included in the fourth quarter of fiscal 2010.</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0" w:name="page81"/>
    <w:bookmarkEnd w:id="80"/>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Based on that evaluation, NTIC’s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NTIC’s internal control over financial reporting was effective as of August 31, 2011.</w:t>
      </w:r>
    </w:p>
    <w:p>
      <w:pPr>
        <w:spacing w:after="0" w:line="20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2011 that has materially affected, or is reasonably likely to materially affect NTIC’s internal control over financial reporting.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81" w:name="page82"/>
    <w:bookmarkEnd w:id="81"/>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18, 2011, NTIC entered into an employment agreement with each of G. Patrick Lynch, NTIC’s President and Chief Executive Officer, and Matthew C. Wolsfeld, NTIC’s Chief Financial Officer and Corporate Secretary. Although each of the executive’s employment with NTIC remains “at will,” the employment agreements provide each of the executives certain severance benefits in the event the executive’s employment is terminated by NTIC without “cause” or by the executive for “good reason” and the executive executes and does not revoke a separation agreement and a release of all claims in favor of NTIC and its affiliates.</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an executive’s employment is terminated by NTIC without “cause” or by the executive for “good reason,” in addition to any accrued but unpaid salary and benefits through the date of termination, the executive will be entitled to a severance cash payment from NTIC in an amount equal to two times (one and one-half times, in the case of Mr. Wolsfeld) the executive’s average total annual compensation for the two most recently completed fiscal years, plus a pro rata portion of the target bonus that the executive otherwise would have been eligible to receive under NTIC’s bonus plan for the fiscal year during which the executive’s employment is terminated, with such pro rata portion based on the number of complete months during the fiscal year that the executive was employed with NTIC. The severance payment will be paid in several installments in the form of salary continuation in accordance with the Company’s normal payroll practices over a 24-month period (18-month period, in the case of Mr. Wolsfeld). If, however, the termination event occurs within 24 months after a change in control of NTIC, the severance payment will be paid in one lump sum. If the executive is eligible for and timely elects continued coverage under NTIC’s group medical plan, group dental plan and/or group vision plan pursuant to Section 4980B of the Internal Revenue Code of 1986, as amended (“COBRA”), for each of the first 18 months of the COBRA continuation period, NTIC also will reimburse the executive in an amount equal to the difference between the amount the executive pays for such COBRA continuation coverage each month and the amount paid by a full-time active employee each month for the same level of coverage elected by the executive. In addition, all outstanding and unvested options to purchase shares of NTIC’s common stock and other stock incentive awards granted to the executive under NTIC’s stock incentive plan will become immediately vested and exercisable.</w:t>
      </w:r>
    </w:p>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employment agreements, “cause” is defined as (i) the executive’s material breach of any of the executive’s obligations under the employment agreement, or the executive’s willful and continued failure or refusal to perform his duties, responsibilities and obligations as an executive officer of NTIC, for reasons other than the executive’s disability, to the satisfaction of the Board; (ii) the executive’s commission of an act of dishonesty, fraud, embezzlement, misappropriation, or intentional and deliberate injury or material breach of fiduciary duty, or material breach of the duty of loyalty related to or against NTIC or its business, or any unlawful or criminal activity of a serious nature involving any felony, or conviction by a court of competent jurisdiction of, or pleading guilty or nolo contendere to, any felony or any crime involving moral turpitude; or (iii) the existence of any court order or settlement agreement prohibiting the executive’s continued employment with the NTIC. “Good reason” is defined as (i) a material diminution in the executive’s authority, duties or responsibilities; (ii) a material diminution in the executive’s annual base salary; (iii) a material change in the geographic location at which NTIC requires the executive to provide services, except for travel reasonably required in the performance of the executive’s responsibilities; or (iv) any action or inaction that constitutes a material breach by NTIC of the employment agreement. “Change in control” has the meaning assigned to such term in NTIC’s stock incentive plan as in effect from time to time to the extent such change in control is a “change of control event” as defined under Code Section 409A and applicable Internal Revenue Service regulations.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7"/>
          <w:szCs w:val="17"/>
          <w:color w:val="auto"/>
        </w:rPr>
        <w:t>Also on November 18, 2011, NTIC entered into a confidential information, inventions assignment, noncompetition and non-solicitation agreement with each of Mr. Lynch and Mr. Wolsfeld pursuant to which the executive agreed to be bound by certain confidentiality, assignment of inventions, non-competition and non-solicitation provisions both during and for a certain time period following the termination of the executive’s employment with NTIC.</w:t>
      </w: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“Other Matters—Section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fourth quarter of fiscal year ended August 31, 2011, NTIC made no material changes to the procedures by which stockholders may recommend nominees to NTIC’s Board of Directors, as described in NTIC’s most recent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84" w:name="page85"/>
    <w:bookmarkEnd w:id="84"/>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“Security Ownership of Principal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summarizes outstanding options under NTIC’s equity compensation plans as of August 31, 2011. NTIC’s equity compensation plans as of August 31, 2011 were the Northern Technologies International Corporation Amended and Restated 2007 Stock Incentive Plan and the Northern Technologies International Corporation Employee Stock Purchase Plan.</w:t>
      </w:r>
    </w:p>
    <w:p>
      <w:pPr>
        <w:spacing w:after="0" w:line="20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Except for automatic annual grants of options to purchase 4,000 shares of NTIC common stock to NTIC’s directors in consideration for their services as directors of NTIC and an automatic annual grant of an option to purchase 2,000 shares of NTIC common stock to NTIC’s Chairman of the Board in consideration for his services as Chairman on the first day of each fiscal year, options granted in the future under the Northern Technologies International Corporation Amended and Restated 2007 Stock Incentive Plan are within the discretion of the Board of Directors and the Compensation Committee of the Board of Directors and therefore cannot be ascertained at this time.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22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Number of Securities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8"/>
                <w:szCs w:val="18"/>
                <w:color w:val="auto"/>
              </w:rPr>
            </w:pPr>
          </w:p>
        </w:tc>
        <w:tc>
          <w:tcPr>
            <w:tcW w:w="22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8"/>
              </w:rPr>
              <w:t>be Issued Upon 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Exercise Price of</w:t>
            </w:r>
          </w:p>
        </w:tc>
        <w:tc>
          <w:tcPr>
            <w:tcW w:w="100" w:type="dxa"/>
            <w:vAlign w:val="bottom"/>
          </w:tcPr>
          <w:p>
            <w:pPr>
              <w:spacing w:after="0"/>
              <w:rPr>
                <w:sz w:val="18"/>
                <w:szCs w:val="18"/>
                <w:color w:val="auto"/>
              </w:rPr>
            </w:pPr>
          </w:p>
        </w:tc>
        <w:tc>
          <w:tcPr>
            <w:tcW w:w="22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of Outstanding Options,</w:t>
            </w:r>
          </w:p>
        </w:tc>
        <w:tc>
          <w:tcPr>
            <w:tcW w:w="1840" w:type="dxa"/>
            <w:vAlign w:val="bottom"/>
            <w:gridSpan w:val="3"/>
          </w:tcPr>
          <w:p>
            <w:pPr>
              <w:ind w:left="100"/>
              <w:spacing w:after="0"/>
              <w:rPr>
                <w:sz w:val="20"/>
                <w:szCs w:val="20"/>
                <w:color w:val="auto"/>
              </w:rPr>
            </w:pPr>
            <w:r>
              <w:rPr>
                <w:rFonts w:ascii="Arial" w:cs="Arial" w:eastAsia="Arial" w:hAnsi="Arial"/>
                <w:sz w:val="18"/>
                <w:szCs w:val="18"/>
                <w:b w:val="1"/>
                <w:bCs w:val="1"/>
                <w:color w:val="auto"/>
                <w:w w:val="93"/>
              </w:rPr>
              <w:t>Outstanding Options,</w:t>
            </w:r>
          </w:p>
        </w:tc>
        <w:tc>
          <w:tcPr>
            <w:tcW w:w="100" w:type="dxa"/>
            <w:vAlign w:val="bottom"/>
          </w:tcPr>
          <w:p>
            <w:pPr>
              <w:spacing w:after="0"/>
              <w:rPr>
                <w:sz w:val="18"/>
                <w:szCs w:val="18"/>
                <w:color w:val="auto"/>
              </w:rPr>
            </w:pPr>
          </w:p>
        </w:tc>
        <w:tc>
          <w:tcPr>
            <w:tcW w:w="2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(excluding securities</w:t>
            </w:r>
          </w:p>
        </w:tc>
      </w:tr>
      <w:tr>
        <w:trPr>
          <w:trHeight w:val="234"/>
        </w:trPr>
        <w:tc>
          <w:tcPr>
            <w:tcW w:w="20" w:type="dxa"/>
            <w:vAlign w:val="bottom"/>
          </w:tcPr>
          <w:p>
            <w:pPr>
              <w:spacing w:after="0"/>
              <w:rPr>
                <w:sz w:val="20"/>
                <w:szCs w:val="20"/>
                <w:color w:val="auto"/>
              </w:rPr>
            </w:pPr>
          </w:p>
        </w:tc>
        <w:tc>
          <w:tcPr>
            <w:tcW w:w="494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Plan Category</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Pr>
          <w:p>
            <w:pPr>
              <w:spacing w:after="0"/>
              <w:rPr>
                <w:sz w:val="20"/>
                <w:szCs w:val="20"/>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Warrants and Rights</w:t>
            </w:r>
          </w:p>
        </w:tc>
        <w:tc>
          <w:tcPr>
            <w:tcW w:w="100" w:type="dxa"/>
            <w:vAlign w:val="bottom"/>
          </w:tcPr>
          <w:p>
            <w:pPr>
              <w:spacing w:after="0"/>
              <w:rPr>
                <w:sz w:val="20"/>
                <w:szCs w:val="20"/>
                <w:color w:val="auto"/>
              </w:rPr>
            </w:pPr>
          </w:p>
        </w:tc>
        <w:tc>
          <w:tcPr>
            <w:tcW w:w="2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reflected in column (a))</w:t>
            </w: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189,839</w:t>
            </w:r>
            <w:r>
              <w:rPr>
                <w:rFonts w:ascii="Arial" w:cs="Arial" w:eastAsia="Arial" w:hAnsi="Arial"/>
                <w:sz w:val="12"/>
                <w:szCs w:val="12"/>
                <w:color w:val="auto"/>
              </w:rPr>
              <w:t>(1)(2)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589,618</w:t>
            </w:r>
            <w:r>
              <w:rPr>
                <w:rFonts w:ascii="Arial" w:cs="Arial" w:eastAsia="Arial" w:hAnsi="Arial"/>
                <w:sz w:val="12"/>
                <w:szCs w:val="12"/>
                <w:color w:val="auto"/>
              </w:rPr>
              <w:t>(3)</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189,839</w:t>
            </w:r>
            <w:r>
              <w:rPr>
                <w:rFonts w:ascii="Arial" w:cs="Arial" w:eastAsia="Arial" w:hAnsi="Arial"/>
                <w:sz w:val="12"/>
                <w:szCs w:val="12"/>
                <w:color w:val="auto"/>
              </w:rPr>
              <w:t>(1)(2)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589,618</w:t>
            </w:r>
            <w:r>
              <w:rPr>
                <w:rFonts w:ascii="Arial" w:cs="Arial" w:eastAsia="Arial" w:hAnsi="Arial"/>
                <w:sz w:val="12"/>
                <w:szCs w:val="12"/>
                <w:color w:val="auto"/>
              </w:rPr>
              <w:t>(3)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820" w:right="60" w:hanging="812"/>
        <w:spacing w:after="0" w:line="261"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2011 under the Northern Technologies International Corporation Amended and Restated 2007 Stock Incentive Plan.</w:t>
      </w:r>
    </w:p>
    <w:p>
      <w:pPr>
        <w:spacing w:after="0" w:line="210" w:lineRule="exact"/>
        <w:rPr>
          <w:rFonts w:ascii="Arial" w:cs="Arial" w:eastAsia="Arial" w:hAnsi="Arial"/>
          <w:sz w:val="18"/>
          <w:szCs w:val="18"/>
          <w:color w:val="auto"/>
        </w:rPr>
      </w:pPr>
    </w:p>
    <w:p>
      <w:pPr>
        <w:jc w:val="both"/>
        <w:ind w:left="820" w:right="320" w:hanging="812"/>
        <w:spacing w:after="0" w:line="260" w:lineRule="auto"/>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ind w:left="820" w:right="80"/>
        <w:spacing w:after="0" w:line="221" w:lineRule="auto"/>
        <w:rPr>
          <w:rFonts w:ascii="Arial" w:cs="Arial" w:eastAsia="Arial" w:hAnsi="Arial"/>
          <w:sz w:val="16"/>
          <w:szCs w:val="16"/>
          <w:color w:val="auto"/>
        </w:rPr>
      </w:pPr>
      <w:r>
        <w:rPr>
          <w:rFonts w:ascii="Arial" w:cs="Arial" w:eastAsia="Arial" w:hAnsi="Arial"/>
          <w:sz w:val="18"/>
          <w:szCs w:val="18"/>
          <w:color w:val="auto"/>
        </w:rPr>
        <w:t>29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29" w:lineRule="exact"/>
        <w:rPr>
          <w:rFonts w:ascii="Arial" w:cs="Arial" w:eastAsia="Arial" w:hAnsi="Arial"/>
          <w:sz w:val="16"/>
          <w:szCs w:val="16"/>
          <w:color w:val="auto"/>
        </w:rPr>
      </w:pPr>
    </w:p>
    <w:p>
      <w:pPr>
        <w:ind w:left="820" w:right="20" w:hanging="812"/>
        <w:spacing w:after="0" w:line="26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513,734 shares remaining available at August 31, 2011 for future issuance under Northern Technologies International Corporation Amended and Restated 2007 Stock Incentive Plan and 75,884 shares remaining available at August 31, 2011 for future issuance under the Northern Technologies International Corporation Employee Stock Purchase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5" w:name="page86"/>
    <w:bookmarkEnd w:id="85"/>
    <w:p>
      <w:pPr>
        <w:spacing w:after="0"/>
        <w:tabs>
          <w:tab w:leader="none" w:pos="9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information in the “Related Party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the “Proposal Two—Ratification of Selection of Independent Registered Public Accounting Firm—Audit, Audit-Related, Tax and Other Fees” and “Proposal Two—Ratification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240" w:top="270" w:right="41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exhibits to this report are listed in the Exhibit Index to this report. 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each management contract or compensatory plan or arrangement required to be filed as an exhibit to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38" w:lineRule="exact"/>
        <w:rPr>
          <w:sz w:val="20"/>
          <w:szCs w:val="20"/>
          <w:color w:val="auto"/>
        </w:rPr>
      </w:pPr>
    </w:p>
    <w:p>
      <w:pPr>
        <w:ind w:left="1140" w:hanging="262"/>
        <w:spacing w:after="0" w:line="308" w:lineRule="auto"/>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Northern Technologies International Corporation Amended and Restated 2007 Stock Incentive Plan (incorporated by reference to Exhibit 10.1 to NTIC’s Current Report on Form 8-K as filed with the Securities and Exchange Commission on January 24, 2011).</w:t>
      </w:r>
    </w:p>
    <w:p>
      <w:pPr>
        <w:spacing w:after="0" w:line="173" w:lineRule="exact"/>
        <w:rPr>
          <w:rFonts w:ascii="Arial" w:cs="Arial" w:eastAsia="Arial" w:hAnsi="Arial"/>
          <w:sz w:val="17"/>
          <w:szCs w:val="17"/>
          <w:color w:val="auto"/>
        </w:rPr>
      </w:pPr>
    </w:p>
    <w:p>
      <w:pPr>
        <w:jc w:val="both"/>
        <w:ind w:left="1140" w:hanging="252"/>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 of Incentive Stock Option Agreement for Northern Technologies International Corporation Amended and Restated 2007 Stock Incentive Plan (incorporated by reference to Exhibit 10.2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jc w:val="both"/>
        <w:ind w:left="1140" w:hanging="252"/>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 of Non-Qualified Stock Option Agreement for Northern Technologies International Corporation Amended and Restated 2007 Stock Incentive Plan (incorporated by reference to Exhibit 10.3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jc w:val="both"/>
        <w:ind w:left="1140" w:hanging="262"/>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 of Restricted Stock Agreement for Northern Technologies International Corporation Amended and Restated 2007 Stock Incentive Plan (incorporated by reference to Exhibit 10.4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ind w:left="1140" w:hanging="242"/>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(incorporated by reference to Exhibit 10.11 to NTIC’s Annual Report on Form 10-KSB for the fiscal year ended August 31, 2006).</w:t>
      </w:r>
    </w:p>
    <w:p>
      <w:pPr>
        <w:spacing w:after="0" w:line="197" w:lineRule="exact"/>
        <w:rPr>
          <w:rFonts w:ascii="Arial" w:cs="Arial" w:eastAsia="Arial" w:hAnsi="Arial"/>
          <w:sz w:val="18"/>
          <w:szCs w:val="18"/>
          <w:color w:val="auto"/>
        </w:rPr>
      </w:pPr>
    </w:p>
    <w:p>
      <w:pPr>
        <w:jc w:val="both"/>
        <w:ind w:left="1140" w:hanging="218"/>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Terms of Northern Technologies International Corporation Annual Bonus Plan for Fiscal Year Ending August 31, 2012 (incorporated by reference to Item 5.02 to NTIC’s Current Report on Form 8-K as filed with the Securities and Exchange Commission on September 27, 2011).</w:t>
      </w:r>
    </w:p>
    <w:p>
      <w:pPr>
        <w:spacing w:after="0" w:line="208" w:lineRule="exact"/>
        <w:rPr>
          <w:rFonts w:ascii="Arial" w:cs="Arial" w:eastAsia="Arial" w:hAnsi="Arial"/>
          <w:sz w:val="18"/>
          <w:szCs w:val="18"/>
          <w:color w:val="auto"/>
        </w:rPr>
      </w:pPr>
    </w:p>
    <w:p>
      <w:pPr>
        <w:jc w:val="both"/>
        <w:ind w:left="1140" w:hanging="262"/>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 of Indemnification Agreement between Northern Technologies International Corporation and its Directors and Officers (incorporated by reference to Exhibit 10.1 to NTIC’s Current Report on Form 8-K as filed with the Securities and Exchange Commission on November 24, 2009).</w:t>
      </w:r>
    </w:p>
    <w:p>
      <w:pPr>
        <w:spacing w:after="0" w:line="208" w:lineRule="exact"/>
        <w:rPr>
          <w:rFonts w:ascii="Arial" w:cs="Arial" w:eastAsia="Arial" w:hAnsi="Arial"/>
          <w:sz w:val="18"/>
          <w:szCs w:val="18"/>
          <w:color w:val="auto"/>
        </w:rPr>
      </w:pPr>
    </w:p>
    <w:p>
      <w:pPr>
        <w:ind w:left="1140" w:hanging="262"/>
        <w:spacing w:after="0" w:line="308" w:lineRule="auto"/>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Agreement dated as of May 25, 2009 between Northern Technologies International Corporation and Sunggyu Lee, Ph.D. (incorporated by reference to Exhibit 10.2 to NTIC’s Quarterly Report on Form 10-Q for the fiscal quarter ended February 28, 2009).</w:t>
      </w:r>
    </w:p>
    <w:p>
      <w:pPr>
        <w:spacing w:after="0" w:line="173" w:lineRule="exact"/>
        <w:rPr>
          <w:rFonts w:ascii="Arial" w:cs="Arial" w:eastAsia="Arial" w:hAnsi="Arial"/>
          <w:sz w:val="17"/>
          <w:szCs w:val="17"/>
          <w:color w:val="auto"/>
        </w:rPr>
      </w:pPr>
    </w:p>
    <w:p>
      <w:pPr>
        <w:ind w:left="1140" w:hanging="19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7" w:name="page88"/>
    <w:bookmarkEnd w:id="87"/>
    <w:p>
      <w:pPr>
        <w:ind w:left="293" w:hanging="202"/>
        <w:spacing w:after="0" w:line="277" w:lineRule="auto"/>
        <w:tabs>
          <w:tab w:leader="none" w:pos="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Employment Agreement dated as of November 18, 2011 between Northern Technologies International Corporation and G. Patrick Lynch (filed herewith).</w:t>
      </w:r>
    </w:p>
    <w:p>
      <w:pPr>
        <w:spacing w:after="0" w:line="197" w:lineRule="exact"/>
        <w:rPr>
          <w:rFonts w:ascii="Arial" w:cs="Arial" w:eastAsia="Arial" w:hAnsi="Arial"/>
          <w:sz w:val="18"/>
          <w:szCs w:val="18"/>
          <w:color w:val="auto"/>
        </w:rPr>
      </w:pPr>
    </w:p>
    <w:p>
      <w:pPr>
        <w:ind w:left="293" w:hanging="262"/>
        <w:spacing w:after="0" w:line="277" w:lineRule="auto"/>
        <w:tabs>
          <w:tab w:leader="none" w:pos="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G. Patrick Lynch (filed herewith).</w:t>
      </w:r>
    </w:p>
    <w:p>
      <w:pPr>
        <w:spacing w:after="0" w:line="197" w:lineRule="exact"/>
        <w:rPr>
          <w:rFonts w:ascii="Arial" w:cs="Arial" w:eastAsia="Arial" w:hAnsi="Arial"/>
          <w:sz w:val="18"/>
          <w:szCs w:val="18"/>
          <w:color w:val="auto"/>
        </w:rPr>
      </w:pPr>
    </w:p>
    <w:p>
      <w:pPr>
        <w:ind w:left="293" w:hanging="242"/>
        <w:spacing w:after="0" w:line="277" w:lineRule="auto"/>
        <w:tabs>
          <w:tab w:leader="none" w:pos="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Employment Agreement dated as of November 18, 2011 between Northern Technologies International Corporation and Matthew C. Wolsfeld (filed herewith).</w:t>
      </w:r>
    </w:p>
    <w:p>
      <w:pPr>
        <w:spacing w:after="0" w:line="197" w:lineRule="exact"/>
        <w:rPr>
          <w:rFonts w:ascii="Arial" w:cs="Arial" w:eastAsia="Arial" w:hAnsi="Arial"/>
          <w:sz w:val="18"/>
          <w:szCs w:val="18"/>
          <w:color w:val="auto"/>
        </w:rPr>
      </w:pPr>
    </w:p>
    <w:p>
      <w:pPr>
        <w:ind w:left="293" w:hanging="293"/>
        <w:spacing w:after="0" w:line="277" w:lineRule="auto"/>
        <w:tabs>
          <w:tab w:leader="none" w:pos="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Matthew C. Wolsfeld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73"/>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81280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573"/>
          </w:cols>
          <w:pgMar w:left="1087" w:top="274" w:right="239" w:bottom="1440" w:gutter="0" w:footer="0" w:header="0"/>
        </w:sectPr>
      </w:pPr>
    </w:p>
    <w:bookmarkStart w:id="88" w:name="page89"/>
    <w:bookmarkEnd w:id="88"/>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November 18, 2011</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G. Patrick Lynch</w:t>
      </w:r>
    </w:p>
    <w:p>
      <w:pPr>
        <w:spacing w:after="0" w:line="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3320" w:type="dxa"/>
            <w:vAlign w:val="bottom"/>
            <w:gridSpan w:val="8"/>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352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3780" w:type="dxa"/>
            <w:vAlign w:val="bottom"/>
            <w:gridSpan w:val="9"/>
          </w:tcPr>
          <w:p>
            <w:pPr>
              <w:spacing w:after="0"/>
              <w:rPr>
                <w:sz w:val="20"/>
                <w:szCs w:val="20"/>
                <w:color w:val="auto"/>
              </w:rPr>
            </w:pPr>
            <w:r>
              <w:rPr>
                <w:rFonts w:ascii="Arial" w:cs="Arial" w:eastAsia="Arial" w:hAnsi="Arial"/>
                <w:sz w:val="18"/>
                <w:szCs w:val="18"/>
                <w:color w:val="auto"/>
              </w:rPr>
              <w:t>/s/ G. Patrick Lynch</w:t>
            </w:r>
          </w:p>
        </w:tc>
        <w:tc>
          <w:tcPr>
            <w:tcW w:w="3880" w:type="dxa"/>
            <w:vAlign w:val="bottom"/>
            <w:gridSpan w:val="2"/>
          </w:tcPr>
          <w:p>
            <w:pPr>
              <w:spacing w:after="0"/>
              <w:rPr>
                <w:sz w:val="20"/>
                <w:szCs w:val="20"/>
                <w:color w:val="auto"/>
              </w:rPr>
            </w:pPr>
            <w:r>
              <w:rPr>
                <w:rFonts w:ascii="Arial" w:cs="Arial" w:eastAsia="Arial" w:hAnsi="Arial"/>
                <w:sz w:val="18"/>
                <w:szCs w:val="18"/>
                <w:color w:val="auto"/>
                <w:w w:val="95"/>
              </w:rPr>
              <w:t>President and Chief Executive Officer and 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November 18, 2011</w:t>
            </w:r>
          </w:p>
        </w:tc>
      </w:tr>
      <w:tr>
        <w:trPr>
          <w:trHeight w:val="237"/>
        </w:trPr>
        <w:tc>
          <w:tcPr>
            <w:tcW w:w="14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G. Patrick Lynch</w:t>
            </w:r>
          </w:p>
        </w:tc>
        <w:tc>
          <w:tcPr>
            <w:tcW w:w="2340" w:type="dxa"/>
            <w:vAlign w:val="bottom"/>
            <w:gridSpan w:val="4"/>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3780" w:type="dxa"/>
            <w:vAlign w:val="bottom"/>
            <w:gridSpan w:val="9"/>
          </w:tcPr>
          <w:p>
            <w:pPr>
              <w:spacing w:after="0"/>
              <w:rPr>
                <w:sz w:val="20"/>
                <w:szCs w:val="20"/>
                <w:color w:val="auto"/>
              </w:rPr>
            </w:pPr>
            <w:r>
              <w:rPr>
                <w:rFonts w:ascii="Arial" w:cs="Arial" w:eastAsia="Arial" w:hAnsi="Arial"/>
                <w:sz w:val="18"/>
                <w:szCs w:val="18"/>
                <w:color w:val="auto"/>
              </w:rPr>
              <w:t>/s/ Matthew C. Wolsfeld, CPA</w:t>
            </w: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November 18, 2011</w:t>
            </w:r>
          </w:p>
        </w:tc>
      </w:tr>
      <w:tr>
        <w:trPr>
          <w:trHeight w:val="237"/>
        </w:trPr>
        <w:tc>
          <w:tcPr>
            <w:tcW w:w="218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Matthew C. Wolsfeld, CPA</w:t>
            </w:r>
          </w:p>
        </w:tc>
        <w:tc>
          <w:tcPr>
            <w:tcW w:w="160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3780" w:type="dxa"/>
            <w:vAlign w:val="bottom"/>
            <w:gridSpan w:val="9"/>
          </w:tcPr>
          <w:p>
            <w:pPr>
              <w:spacing w:after="0"/>
              <w:rPr>
                <w:sz w:val="20"/>
                <w:szCs w:val="20"/>
                <w:color w:val="auto"/>
              </w:rPr>
            </w:pPr>
            <w:r>
              <w:rPr>
                <w:rFonts w:ascii="Arial" w:cs="Arial" w:eastAsia="Arial" w:hAnsi="Arial"/>
                <w:sz w:val="18"/>
                <w:szCs w:val="18"/>
                <w:color w:val="auto"/>
              </w:rPr>
              <w:t>/s/ Pierre Chenu</w:t>
            </w: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440" w:type="dxa"/>
            <w:vAlign w:val="bottom"/>
            <w:gridSpan w:val="2"/>
          </w:tcPr>
          <w:p>
            <w:pPr>
              <w:spacing w:after="0"/>
              <w:rPr>
                <w:sz w:val="20"/>
                <w:szCs w:val="20"/>
                <w:color w:val="auto"/>
              </w:rPr>
            </w:pPr>
            <w:r>
              <w:rPr>
                <w:rFonts w:ascii="Arial" w:cs="Arial" w:eastAsia="Arial" w:hAnsi="Arial"/>
                <w:sz w:val="18"/>
                <w:szCs w:val="18"/>
                <w:color w:val="auto"/>
                <w:w w:val="95"/>
              </w:rPr>
              <w:t>November 4, 2011</w:t>
            </w:r>
          </w:p>
        </w:tc>
      </w:tr>
      <w:tr>
        <w:trPr>
          <w:trHeight w:val="237"/>
        </w:trPr>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Pierre Chenu</w:t>
            </w:r>
          </w:p>
        </w:tc>
        <w:tc>
          <w:tcPr>
            <w:tcW w:w="2620" w:type="dxa"/>
            <w:vAlign w:val="bottom"/>
            <w:gridSpan w:val="7"/>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3780" w:type="dxa"/>
            <w:vAlign w:val="bottom"/>
            <w:gridSpan w:val="9"/>
          </w:tcPr>
          <w:p>
            <w:pPr>
              <w:spacing w:after="0"/>
              <w:rPr>
                <w:sz w:val="20"/>
                <w:szCs w:val="20"/>
                <w:color w:val="auto"/>
              </w:rPr>
            </w:pPr>
            <w:r>
              <w:rPr>
                <w:rFonts w:ascii="Arial" w:cs="Arial" w:eastAsia="Arial" w:hAnsi="Arial"/>
                <w:sz w:val="18"/>
                <w:szCs w:val="18"/>
                <w:color w:val="auto"/>
              </w:rPr>
              <w:t>/s/ Soo Keong Koh</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95"/>
              </w:rPr>
              <w:t>November 4, 2011</w:t>
            </w:r>
          </w:p>
        </w:tc>
      </w:tr>
      <w:tr>
        <w:trPr>
          <w:trHeight w:val="237"/>
        </w:trPr>
        <w:tc>
          <w:tcPr>
            <w:tcW w:w="13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Soo Keong Koh</w:t>
            </w:r>
          </w:p>
        </w:tc>
        <w:tc>
          <w:tcPr>
            <w:tcW w:w="2400" w:type="dxa"/>
            <w:vAlign w:val="bottom"/>
            <w:gridSpan w:val="5"/>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 Sunggyu Lee, Ph.D.</w:t>
            </w:r>
          </w:p>
        </w:tc>
        <w:tc>
          <w:tcPr>
            <w:tcW w:w="2100" w:type="dxa"/>
            <w:vAlign w:val="bottom"/>
            <w:gridSpan w:val="3"/>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95"/>
              </w:rPr>
              <w:t>November 4, 2011</w:t>
            </w:r>
          </w:p>
        </w:tc>
      </w:tr>
      <w:tr>
        <w:trPr>
          <w:trHeight w:val="237"/>
        </w:trPr>
        <w:tc>
          <w:tcPr>
            <w:tcW w:w="3780" w:type="dxa"/>
            <w:vAlign w:val="bottom"/>
            <w:gridSpan w:val="9"/>
          </w:tcPr>
          <w:p>
            <w:pPr>
              <w:spacing w:after="0"/>
              <w:rPr>
                <w:sz w:val="20"/>
                <w:szCs w:val="20"/>
                <w:color w:val="auto"/>
              </w:rPr>
            </w:pPr>
            <w:r>
              <w:rPr>
                <w:rFonts w:ascii="Arial" w:cs="Arial" w:eastAsia="Arial" w:hAnsi="Arial"/>
                <w:sz w:val="18"/>
                <w:szCs w:val="18"/>
                <w:color w:val="auto"/>
              </w:rPr>
              <w:t>Sunggyu Lee, Ph.D.</w:t>
            </w: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19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 Ramani Narayan, Ph.D.</w:t>
            </w:r>
          </w:p>
        </w:tc>
        <w:tc>
          <w:tcPr>
            <w:tcW w:w="1840" w:type="dxa"/>
            <w:vAlign w:val="bottom"/>
            <w:gridSpan w:val="2"/>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95"/>
              </w:rPr>
              <w:t>November 4, 2011</w:t>
            </w:r>
          </w:p>
        </w:tc>
      </w:tr>
      <w:tr>
        <w:trPr>
          <w:trHeight w:val="237"/>
        </w:trPr>
        <w:tc>
          <w:tcPr>
            <w:tcW w:w="3780" w:type="dxa"/>
            <w:vAlign w:val="bottom"/>
            <w:gridSpan w:val="9"/>
          </w:tcPr>
          <w:p>
            <w:pPr>
              <w:spacing w:after="0"/>
              <w:rPr>
                <w:sz w:val="20"/>
                <w:szCs w:val="20"/>
                <w:color w:val="auto"/>
              </w:rPr>
            </w:pPr>
            <w:r>
              <w:rPr>
                <w:rFonts w:ascii="Arial" w:cs="Arial" w:eastAsia="Arial" w:hAnsi="Arial"/>
                <w:sz w:val="18"/>
                <w:szCs w:val="18"/>
                <w:color w:val="auto"/>
              </w:rPr>
              <w:t>Ramani Narayan, Ph.D.</w:t>
            </w: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3780" w:type="dxa"/>
            <w:vAlign w:val="bottom"/>
            <w:gridSpan w:val="9"/>
          </w:tcPr>
          <w:p>
            <w:pPr>
              <w:spacing w:after="0"/>
              <w:rPr>
                <w:sz w:val="20"/>
                <w:szCs w:val="20"/>
                <w:color w:val="auto"/>
              </w:rPr>
            </w:pPr>
            <w:r>
              <w:rPr>
                <w:rFonts w:ascii="Arial" w:cs="Arial" w:eastAsia="Arial" w:hAnsi="Arial"/>
                <w:sz w:val="18"/>
                <w:szCs w:val="18"/>
                <w:color w:val="auto"/>
              </w:rPr>
              <w:t>/s/ Richard J. Nigon</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95"/>
              </w:rPr>
              <w:t>November 4, 2011</w:t>
            </w:r>
          </w:p>
        </w:tc>
      </w:tr>
      <w:tr>
        <w:trPr>
          <w:trHeight w:val="237"/>
        </w:trPr>
        <w:tc>
          <w:tcPr>
            <w:tcW w:w="14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Richard J. Nigon</w:t>
            </w:r>
          </w:p>
        </w:tc>
        <w:tc>
          <w:tcPr>
            <w:tcW w:w="2340" w:type="dxa"/>
            <w:vAlign w:val="bottom"/>
            <w:gridSpan w:val="4"/>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3780" w:type="dxa"/>
            <w:vAlign w:val="bottom"/>
            <w:gridSpan w:val="9"/>
          </w:tcPr>
          <w:p>
            <w:pPr>
              <w:spacing w:after="0"/>
              <w:rPr>
                <w:sz w:val="20"/>
                <w:szCs w:val="20"/>
                <w:color w:val="auto"/>
              </w:rPr>
            </w:pPr>
            <w:r>
              <w:rPr>
                <w:rFonts w:ascii="Arial" w:cs="Arial" w:eastAsia="Arial" w:hAnsi="Arial"/>
                <w:sz w:val="18"/>
                <w:szCs w:val="18"/>
                <w:color w:val="auto"/>
              </w:rPr>
              <w:t>/s/ Mark J. Stone</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95"/>
              </w:rPr>
              <w:t>November 4, 2011</w:t>
            </w:r>
          </w:p>
        </w:tc>
      </w:tr>
      <w:tr>
        <w:trPr>
          <w:trHeight w:val="237"/>
        </w:trPr>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Mark J. Stone</w:t>
            </w:r>
          </w:p>
        </w:tc>
        <w:tc>
          <w:tcPr>
            <w:tcW w:w="2560" w:type="dxa"/>
            <w:vAlign w:val="bottom"/>
            <w:gridSpan w:val="6"/>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240" w:top="270" w:right="4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 TO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AUGUST 31,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Item No.</w:t>
            </w:r>
          </w:p>
        </w:tc>
        <w:tc>
          <w:tcPr>
            <w:tcW w:w="120" w:type="dxa"/>
            <w:vAlign w:val="bottom"/>
          </w:tcPr>
          <w:p>
            <w:pPr>
              <w:spacing w:after="0"/>
              <w:rPr>
                <w:sz w:val="20"/>
                <w:szCs w:val="20"/>
                <w:color w:val="auto"/>
              </w:rPr>
            </w:pPr>
          </w:p>
        </w:tc>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Item</w:t>
            </w:r>
          </w:p>
        </w:tc>
        <w:tc>
          <w:tcPr>
            <w:tcW w:w="100" w:type="dxa"/>
            <w:vAlign w:val="bottom"/>
          </w:tcPr>
          <w:p>
            <w:pPr>
              <w:spacing w:after="0"/>
              <w:rPr>
                <w:sz w:val="20"/>
                <w:szCs w:val="20"/>
                <w:color w:val="auto"/>
              </w:rPr>
            </w:pPr>
          </w:p>
        </w:tc>
        <w:tc>
          <w:tcPr>
            <w:tcW w:w="30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6"/>
                <w:szCs w:val="16"/>
                <w:color w:val="auto"/>
              </w:rPr>
            </w:pPr>
          </w:p>
        </w:tc>
        <w:tc>
          <w:tcPr>
            <w:tcW w:w="6960" w:type="dxa"/>
            <w:vAlign w:val="bottom"/>
          </w:tcPr>
          <w:p>
            <w:pPr>
              <w:ind w:left="320"/>
              <w:spacing w:after="0" w:line="195" w:lineRule="exact"/>
              <w:rPr>
                <w:sz w:val="20"/>
                <w:szCs w:val="20"/>
                <w:color w:val="auto"/>
              </w:rPr>
            </w:pPr>
            <w:r>
              <w:rPr>
                <w:rFonts w:ascii="Arial" w:cs="Arial" w:eastAsia="Arial" w:hAnsi="Arial"/>
                <w:sz w:val="18"/>
                <w:szCs w:val="18"/>
                <w:color w:val="auto"/>
                <w:w w:val="94"/>
              </w:rPr>
              <w:t>Restated Certificate of Incorporation of Northern Technologies International Corporation</w:t>
            </w:r>
          </w:p>
        </w:tc>
        <w:tc>
          <w:tcPr>
            <w:tcW w:w="10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1"/>
              </w:rPr>
              <w:t>Incorporated by reference to Exhibit 3.1 to</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NTIC’s Quarterly Report on Form 10-Q</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for the fiscal quarter ended February 28,</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2009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Amended and Restated Bylaws of Northern Technologies International Corporation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3.1 to</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Commission on November 24, 2008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9"/>
              </w:rPr>
              <w:t>Specimen Stock Certificate Representing Common Stock of Northern Technologies</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4.1 to</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International Corporation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NTIC’s Registration Statement on Form</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10 (File No. 001-19331)</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8"/>
              </w:rPr>
              <w:t>Northern Technologies International Corporation Amended and Restated 2007 Stock</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Incentive Plan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Form of Incentive Stock Option Agreement for Northern Technologies International</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10.2</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Corporation Amended and Restated 2007 Stock Incentive Plan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5"/>
              </w:rPr>
              <w:t>Form of Non-Statutory Stock Option Agreement for Northern Technologies International</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10.3</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Corporation Amended and Restated 2007 Stock Incentive Plan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3"/>
              </w:rPr>
              <w:t>Form of Restricted Stock Agreement for Northern Technologies International Corporation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10.4</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Amended and Restated 2007 Stock Incentive Plan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Northern Technologies International Corporation Employee Stock Purchase Plan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10.11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to NTIC’s Annual Report on Form 10-</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KSB for the fiscal year ended August 31,</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2006 (File No. 001-11038)</w:t>
            </w:r>
          </w:p>
        </w:tc>
      </w:tr>
      <w:tr>
        <w:trPr>
          <w:trHeight w:val="608"/>
        </w:trPr>
        <w:tc>
          <w:tcPr>
            <w:tcW w:w="1160" w:type="dxa"/>
            <w:vAlign w:val="bottom"/>
          </w:tcPr>
          <w:p>
            <w:pPr>
              <w:spacing w:after="0"/>
              <w:rPr>
                <w:sz w:val="24"/>
                <w:szCs w:val="24"/>
                <w:color w:val="auto"/>
              </w:rPr>
            </w:pPr>
          </w:p>
        </w:tc>
        <w:tc>
          <w:tcPr>
            <w:tcW w:w="7080" w:type="dxa"/>
            <w:vAlign w:val="bottom"/>
            <w:gridSpan w:val="2"/>
          </w:tcPr>
          <w:p>
            <w:pPr>
              <w:jc w:val="right"/>
              <w:ind w:right="235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Item No.</w:t>
            </w:r>
          </w:p>
        </w:tc>
        <w:tc>
          <w:tcPr>
            <w:tcW w:w="120" w:type="dxa"/>
            <w:vAlign w:val="bottom"/>
          </w:tcPr>
          <w:p>
            <w:pPr>
              <w:spacing w:after="0"/>
              <w:rPr>
                <w:sz w:val="20"/>
                <w:szCs w:val="20"/>
                <w:color w:val="auto"/>
              </w:rPr>
            </w:pPr>
          </w:p>
        </w:tc>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Item</w:t>
            </w:r>
          </w:p>
        </w:tc>
        <w:tc>
          <w:tcPr>
            <w:tcW w:w="10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202"/>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17"/>
                <w:szCs w:val="17"/>
                <w:color w:val="auto"/>
              </w:rPr>
            </w:pPr>
          </w:p>
        </w:tc>
        <w:tc>
          <w:tcPr>
            <w:tcW w:w="6960" w:type="dxa"/>
            <w:vAlign w:val="bottom"/>
          </w:tcPr>
          <w:p>
            <w:pPr>
              <w:ind w:left="320"/>
              <w:spacing w:after="0" w:line="201" w:lineRule="exact"/>
              <w:rPr>
                <w:sz w:val="20"/>
                <w:szCs w:val="20"/>
                <w:color w:val="auto"/>
              </w:rPr>
            </w:pPr>
            <w:r>
              <w:rPr>
                <w:rFonts w:ascii="Arial" w:cs="Arial" w:eastAsia="Arial" w:hAnsi="Arial"/>
                <w:sz w:val="18"/>
                <w:szCs w:val="18"/>
                <w:color w:val="auto"/>
                <w:w w:val="92"/>
              </w:rPr>
              <w:t>Material Terms of Northern Technologies International Corporation Annual Bonus Plan for</w:t>
            </w:r>
          </w:p>
        </w:tc>
        <w:tc>
          <w:tcPr>
            <w:tcW w:w="100" w:type="dxa"/>
            <w:vAlign w:val="bottom"/>
          </w:tcPr>
          <w:p>
            <w:pPr>
              <w:spacing w:after="0"/>
              <w:rPr>
                <w:sz w:val="17"/>
                <w:szCs w:val="17"/>
                <w:color w:val="auto"/>
              </w:rPr>
            </w:pP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1"/>
              </w:rPr>
              <w:t>Incorporated by reference to Item 5.02 to</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Fiscal Year Ending August 31, 2012</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September 27,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Form of Indemnification Agreement between Northern Technologies International</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Corporation and its Directors and Officers</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Commission on November 24, 2008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Agreement dated as of May 25, 2009 between Northern Technologies International</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10.2</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Corporation and Sunggyu Lee, Ph.D.</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to NTIC’s Quarterly Report on Form 10-Q</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for the fiscal quarter ended February 28,</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1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2009)</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 No. 001-11038)</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Description of Non-Employee Director Compensation Arrangements</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7"/>
              </w:rPr>
              <w:t>Executive Employment Agreement dated as of November 18, 2011 between Northern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Technologies International Corporation and G. Patrick Lynch</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7"/>
              </w:rPr>
              <w:t>Confidential Information, Inventions Assignment, Noncompetition and Non-Solicitation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3"/>
              </w:rPr>
              <w:t>Agreement dated as of November 18, 2011 between Northern Technologies International</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Corporation and G. Patrick Lynch</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7"/>
              </w:rPr>
              <w:t>Executive Employment Agreement dated as of November 18, 2011 between Northern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Technologies International Corporation and Matthew C. Wolsfeld</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7"/>
              </w:rPr>
              <w:t>Confidential Information, Inventions Assignment, Noncompetition and Non-Solicitation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3"/>
              </w:rPr>
              <w:t>Agreement dated as of November 18, 2011 between Northern Technologies International</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Corporation and Matthew C. Wolsfeld</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8"/>
              </w:rPr>
              <w:t>Amended and Restated Term Note dated as of January 10, 2011 issued by Northern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Technologies Holding Company, LLC to PNC Bank, National Association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12,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608"/>
        </w:trPr>
        <w:tc>
          <w:tcPr>
            <w:tcW w:w="1160" w:type="dxa"/>
            <w:vAlign w:val="bottom"/>
          </w:tcPr>
          <w:p>
            <w:pPr>
              <w:spacing w:after="0"/>
              <w:rPr>
                <w:sz w:val="24"/>
                <w:szCs w:val="24"/>
                <w:color w:val="auto"/>
              </w:rPr>
            </w:pPr>
          </w:p>
        </w:tc>
        <w:tc>
          <w:tcPr>
            <w:tcW w:w="7080" w:type="dxa"/>
            <w:vAlign w:val="bottom"/>
            <w:gridSpan w:val="2"/>
          </w:tcPr>
          <w:p>
            <w:pPr>
              <w:jc w:val="right"/>
              <w:ind w:right="235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Item No.</w:t>
            </w:r>
          </w:p>
        </w:tc>
        <w:tc>
          <w:tcPr>
            <w:tcW w:w="120" w:type="dxa"/>
            <w:vAlign w:val="bottom"/>
          </w:tcPr>
          <w:p>
            <w:pPr>
              <w:spacing w:after="0"/>
              <w:rPr>
                <w:sz w:val="20"/>
                <w:szCs w:val="20"/>
                <w:color w:val="auto"/>
              </w:rPr>
            </w:pPr>
          </w:p>
        </w:tc>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Item</w:t>
            </w:r>
          </w:p>
        </w:tc>
        <w:tc>
          <w:tcPr>
            <w:tcW w:w="10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202"/>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17"/>
                <w:szCs w:val="17"/>
                <w:color w:val="auto"/>
              </w:rPr>
            </w:pPr>
          </w:p>
        </w:tc>
        <w:tc>
          <w:tcPr>
            <w:tcW w:w="6960" w:type="dxa"/>
            <w:vAlign w:val="bottom"/>
          </w:tcPr>
          <w:p>
            <w:pPr>
              <w:ind w:left="320"/>
              <w:spacing w:after="0" w:line="201" w:lineRule="exact"/>
              <w:rPr>
                <w:sz w:val="20"/>
                <w:szCs w:val="20"/>
                <w:color w:val="auto"/>
              </w:rPr>
            </w:pPr>
            <w:r>
              <w:rPr>
                <w:rFonts w:ascii="Arial" w:cs="Arial" w:eastAsia="Arial" w:hAnsi="Arial"/>
                <w:sz w:val="18"/>
                <w:szCs w:val="18"/>
                <w:color w:val="auto"/>
                <w:w w:val="90"/>
              </w:rPr>
              <w:t>Amended and Restated Committed Line of Credit Note dated as of January 10, 2011 issued</w:t>
            </w:r>
          </w:p>
        </w:tc>
        <w:tc>
          <w:tcPr>
            <w:tcW w:w="100" w:type="dxa"/>
            <w:vAlign w:val="bottom"/>
          </w:tcPr>
          <w:p>
            <w:pPr>
              <w:spacing w:after="0"/>
              <w:rPr>
                <w:sz w:val="17"/>
                <w:szCs w:val="17"/>
                <w:color w:val="auto"/>
              </w:rPr>
            </w:pP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1"/>
              </w:rPr>
              <w:t>Incorporated by reference to Exhibit 10.2</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5"/>
              </w:rPr>
              <w:t>by Northern Technologies International Corporation to PNC Bank, National Association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12,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Security Agreement dated as of January 10, 2011 between Northern Technologies</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10.3</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International Corporation and PNC Bank, National Association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12,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4"/>
              </w:rPr>
              <w:t>Amended and Restated Guaranty Agreement dated as of January 10, 2011 by Northern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10.4</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Technologies International Corporation in favor of PNC Bank, National Association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12,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4"/>
              </w:rPr>
              <w:t>Loan Agreement dated as of January 10, 2011 between Northern Technologies Holding</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10.5</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Company, LLC and PNC Bank, National Association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12,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0"/>
              </w:rPr>
              <w:t>Loan Agreement dated as of January 10, 2011 between Northern Technologies International</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10.6</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Corporation and PNC Bank, National Association</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January 12, 2011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1"/>
              </w:rPr>
              <w:t>Mortgage dated as of May 3, 2006 between Northern Technologies Holding Company, LLC</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10.7</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and National City Bank (now known as PNC Bank)</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Commission on May 9, 2006 (File No.</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1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8"/>
              </w:rPr>
              <w:t>Form of Subscription Agreement, dated as of September 18, 2009 between Northern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3"/>
              </w:rPr>
              <w:t>Technologies International Corporation and each of the Investors in the September 2009</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to NTIC’s Current Report on Form 8-K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Registered Direct Offering</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filed with the Securities and Exchange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Commission on September 19, 2009 (File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Code of Ethics</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14.1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to NTIC’s Annual Report on Form 10-</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KSB for the fiscal year ended August 31,</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2004 (File No. 001-11038)</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Subsidiaries of the Registrant</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608"/>
        </w:trPr>
        <w:tc>
          <w:tcPr>
            <w:tcW w:w="1160" w:type="dxa"/>
            <w:vAlign w:val="bottom"/>
          </w:tcPr>
          <w:p>
            <w:pPr>
              <w:spacing w:after="0"/>
              <w:rPr>
                <w:sz w:val="24"/>
                <w:szCs w:val="24"/>
                <w:color w:val="auto"/>
              </w:rPr>
            </w:pPr>
          </w:p>
        </w:tc>
        <w:tc>
          <w:tcPr>
            <w:tcW w:w="7080" w:type="dxa"/>
            <w:vAlign w:val="bottom"/>
            <w:gridSpan w:val="2"/>
          </w:tcPr>
          <w:p>
            <w:pPr>
              <w:jc w:val="right"/>
              <w:ind w:right="23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Item No.</w:t>
            </w:r>
          </w:p>
        </w:tc>
        <w:tc>
          <w:tcPr>
            <w:tcW w:w="120" w:type="dxa"/>
            <w:vAlign w:val="bottom"/>
          </w:tcPr>
          <w:p>
            <w:pPr>
              <w:spacing w:after="0"/>
              <w:rPr>
                <w:sz w:val="20"/>
                <w:szCs w:val="20"/>
                <w:color w:val="auto"/>
              </w:rPr>
            </w:pPr>
          </w:p>
        </w:tc>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Item</w:t>
            </w:r>
          </w:p>
        </w:tc>
        <w:tc>
          <w:tcPr>
            <w:tcW w:w="10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Consent of Baker Tilly Virchow Krause, LLP</w:t>
            </w: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04"/>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2"/>
              </w:rPr>
              <w:t>Certification of President and Chief Executive Officer Pursuant to SEC Rule 13a-14(a), as</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SEC Rule 13a-14(a), as adopted</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pursuant to Section 302 of the Sarbanes-Oxley Act of 2002</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w w:val="93"/>
              </w:rPr>
              <w:t>Certification of President and Chief Executive Officer Pursuant to Rule 18 U.S.C. Section</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1350, as adopted pursuant to Section 906 of the Sarbanes-Oxley Act of 2002</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4"/>
                <w:szCs w:val="24"/>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Rule 18 U.S.C. Section 1350, as</w:t>
            </w:r>
          </w:p>
        </w:tc>
        <w:tc>
          <w:tcPr>
            <w:tcW w:w="1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NTIC’s non-employee directors currently consist of Pierre Chenu, Soo Keong Koh, Ph.D., Sunggyu Lee, Ph.D., Ramani Narayan, Ph.D., Richard J. Nigon and Mark J. Stone. NTIC uses a combination of cash and long-term equity-based incentive compensation in the form of annual stock option grants to attract and retain qualified candidates to serve on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non-employee director receives an annual retainer of $10,000 for services rendered as a director of NTIC. The annual retainer is paid quarterly. NTIC’s Chairman of the Board receives an additional annual retainer of $15,000, the Chair of the Audit Committee receives an additional annual retainer of $5,000 and other members of the Audit Committee received an additional annual retainer of $4,000. Each non-employee director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(G. Patrick Lynch) does not receive any retainer or Board or Committee meeting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non-employee director is automatically granted a five-year non-qualified option to purchase 4,000 shares of NTIC common stock in consideration for their services as directors of NTIC and the Chairman of the Board is automatically granted an additional five-year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in full on the one-year anniversary of the date of its grant. The exercise price of such option is equal to the fair market value of a share of NTIC common stock on the date of grant. All such options are granted under the Northern Technologies International Corporation Amended and Restated 2007 Stock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of directors of NTIC are reimbursed for travel expenses for attending meetings and other miscellaneous out-of-pocket expenses incurred in performing their Board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Indemnification Agreements</w:t>
      </w:r>
    </w:p>
    <w:p>
      <w:pPr>
        <w:spacing w:after="0" w:line="25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NTIC has entered into agreements with all of its directors under which NTIC is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a director of NTIC. NTIC will be obligated to pay these amounts only if the director acted in good faith and in a manner that he or she reasonably believed to be in or not opposed to NTIC’s best interests. With respect to any criminal proceeding, NTIC will be obligated to pay these amounts only if the director had no reasonable cause to believe his or her conduct was unlawful. The indemnification agreements also set forth procedures that will apply in the event of a claim for indemnification.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paid consulting fees to Bioplastic Polymers LLC, an entity which is owned by Ramani Narayan, Ph.D., in the aggregate amount of $100,000 and royalty fees in an aggregate amount of $5,624 during the fiscal year ended August 31, 2011. The consulting services rendered by Bioplastic Polymers LLC related to research and development associated with various new technologies. The royalty fees were paid pursuant to an oral agreement pursuant to which NTIC has agreed to pay Bioplastic Polymers LLC and Dr. Narayan in consideration of the transfer and assignment by Biopolymer Plastics LLC and Dr. Narayan of certain biodegradable polymer technology to NTIC, an aggregate of three percent of the gross margin on any net sales of products incorporating the biodegradable polymer technology transferred to NTIC by Bioplastic Polymers LLC and Dr. Narayan for a period of 10 years, provided that if a patent for or with respect to biodegradable polymer technology is issued before the expiration of such 10 year period, then NTIC will until the expiration of such patent pay to Bioplastic Polymers LLC and Dr. Narayan an aggregate three percent of the biodegradable polymer technology gross margin attributable to such patent.</w:t>
      </w:r>
    </w:p>
    <w:p>
      <w:pPr>
        <w:spacing w:after="0" w:line="2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2009, NTIC entered into a technology transfer and consulting agreement with Sunggyu Lee, Ph.D., a director of NTIC, pursuant to which NTIC paid Dr. Lee $30,000 payable in six $5,000 monthly installments in exchange for an 18-month option to purchase certain technology developed by Dr. Lee. If NTIC decides to exercise the option, Dr. Lee has agreed to transfer to NTIC the technology and to provide NTIC consulting services related to the further development and commercialization of the technology in exchange for an additional $120,000 payable in eight $15,000 monthly installments. If NTIC commercializes any products or services that incorporate the transferred technology or any other new related inventions developed by Dr. Lee during the term of the agreement and transferred to NTIC under the agreement, NTIC has agreed to pay Dr. Lee a royalty of three percent of any earnings before interest and taxes to NTIC generated from the commercial exploitation by NTIC of any products or services that incorporate the technology and/or inventions. Such royalties will be required to be paid until the earlier of the last to expire of any applicable patents covering such technology or inventions, the invalidity of such patents, or if there are no issued patents covering such technology and inventions, 10 years from the first date of commercial sale or license. The agreement may be terminated by NTIC if, at any stage, NTIC determines in its sole discretion not to proceed with the project.</w:t>
      </w:r>
    </w:p>
    <w:p>
      <w:pPr>
        <w:sectPr>
          <w:pgSz w:w="11900" w:h="16838" w:orient="portrait"/>
          <w:cols w:equalWidth="0" w:num="1">
            <w:col w:w="11380"/>
          </w:cols>
          <w:pgMar w:left="240" w:top="270" w:right="2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56"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This Executive Employment Agreement (together with any Exhibit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this 18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2011, and is made by and between NORTHERN TECHNOLOGIES INTERNATIONAL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its principal place of business at 4201 Woodland Road, Circle Pines, MN 55014, and G. PATRICK LYNCH, (the “</w:t>
      </w:r>
      <w:r>
        <w:rPr>
          <w:rFonts w:ascii="Arial" w:cs="Arial" w:eastAsia="Arial" w:hAnsi="Arial"/>
          <w:sz w:val="18"/>
          <w:szCs w:val="18"/>
          <w:u w:val="single" w:color="auto"/>
          <w:color w:val="auto"/>
        </w:rPr>
        <w:t>Executive</w:t>
      </w:r>
      <w:r>
        <w:rPr>
          <w:rFonts w:ascii="Arial" w:cs="Arial" w:eastAsia="Arial" w:hAnsi="Arial"/>
          <w:sz w:val="18"/>
          <w:szCs w:val="18"/>
          <w:color w:val="auto"/>
        </w:rPr>
        <w:t>”) (hereafter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WHEREAS, the Parties wish to agree to terms of the Executive’s continued at-will employment as the Company’s President and Chief Executive Officer on the terms set forth in this Agreement;</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WHEREAS, the Parties wish to define the terms of their employment relationship in a manner that will protect the Company’s business and other interests, protect the relevant interests of the Company, and protect the Executive in the event the Executive’s employment is terminated upon certain events, including without limitation, without cause or in connection with a change in control, and to define the essential terms of the Executive’s employment and post-employment obligations;</w:t>
      </w:r>
    </w:p>
    <w:p>
      <w:pPr>
        <w:spacing w:after="0" w:line="21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WHEREAS, the Company desires reasonable continued protection of its trade secrets and other technical and proprietary information that has been or will be acquired and is being or will be developed by the Company at substantial expense, and the Executive is willing to assign to the Company all right, title and interest in and to certain technical and proprietary information conceived or developed by the Executive during the Executive’s employment that relates to the business, products or processes of the Company, subject to the exceptions set forth herein; and</w:t>
      </w:r>
    </w:p>
    <w:p>
      <w:pPr>
        <w:spacing w:after="0" w:line="19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WHEREAS, the Company desires to continue to ensure reasonable protection against unfair competition from the Executive following termination of employment and to further protect against unfair use of its trade secrets and confidential business and technical information, and the Executive is willing to grant to the Company the benefits of confidentiality, non-competition, non-solicitation of employees and other covenants as set forth in this Agreement (including the Confidential Information, Inventions Assignment, Noncompetition and Non-Solicitation Agreement attached as Exhibit A) for these purposes.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acknowledged, the Company and the Executive each intending to be legally bound, agree as set forth in this Agreement.</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EMPLOYMENT.</w:t>
      </w:r>
    </w:p>
    <w:p>
      <w:pPr>
        <w:spacing w:after="0" w:line="25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Subject to all of the terms and conditions of this Agreement, the Company agrees to employ the Executive on an at-will basis as the Company’s President and Chief Executive Officer, and the Executive agrees to devote his full time and best efforts to, and make the best use of the Executive’s energy, knowledge and training in advancing the Company’s interests. The Executive will not render to others, services of any kind for compensation, or engage in any other business activity that would materially interfere with the performance of the Executive’s duties as a full time employee of the Company under this Agreement; provided, however, that nothing in this Agreement will prevent the Executive from serving on the board of directors or the board of trustees of any charitable or not-for-profit organization and, subject to the written approval of the Board of Directors of the Company, or a committee thereof (the “</w:t>
      </w:r>
      <w:r>
        <w:rPr>
          <w:rFonts w:ascii="Arial" w:cs="Arial" w:eastAsia="Arial" w:hAnsi="Arial"/>
          <w:sz w:val="17"/>
          <w:szCs w:val="17"/>
          <w:u w:val="single" w:color="auto"/>
          <w:color w:val="auto"/>
        </w:rPr>
        <w:t>Board</w:t>
      </w:r>
      <w:r>
        <w:rPr>
          <w:rFonts w:ascii="Arial" w:cs="Arial" w:eastAsia="Arial" w:hAnsi="Arial"/>
          <w:sz w:val="17"/>
          <w:szCs w:val="17"/>
          <w:color w:val="auto"/>
        </w:rPr>
        <w:t>”), to serve on the board of directors or an advisory board, of any other business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ind w:left="220"/>
        <w:spacing w:after="0"/>
        <w:rPr>
          <w:sz w:val="20"/>
          <w:szCs w:val="20"/>
          <w:color w:val="auto"/>
        </w:rPr>
      </w:pPr>
      <w:r>
        <w:rPr>
          <w:rFonts w:ascii="Arial" w:cs="Arial" w:eastAsia="Arial" w:hAnsi="Arial"/>
          <w:sz w:val="18"/>
          <w:szCs w:val="18"/>
          <w:color w:val="auto"/>
        </w:rPr>
        <w:t>EMPLOYMENT PERIOD.</w:t>
      </w:r>
    </w:p>
    <w:p>
      <w:pPr>
        <w:spacing w:after="0" w:line="25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Executive is employed by the Company on an at-will basis, meaning that, subject to the terms and conditions stated herein, either the Company or the Executive may terminate the Executive’s employment at any time, with or without notice, for any reason not prohibited by law.</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COMPENSATION.</w:t>
      </w:r>
    </w:p>
    <w:p>
      <w:pPr>
        <w:spacing w:after="0" w:line="279" w:lineRule="exact"/>
        <w:rPr>
          <w:sz w:val="20"/>
          <w:szCs w:val="20"/>
          <w:color w:val="auto"/>
        </w:rPr>
      </w:pPr>
    </w:p>
    <w:p>
      <w:pPr>
        <w:ind w:right="300" w:firstLine="656"/>
        <w:spacing w:after="0" w:line="308" w:lineRule="auto"/>
        <w:tabs>
          <w:tab w:leader="none" w:pos="1074" w:val="left"/>
        </w:tabs>
        <w:numPr>
          <w:ilvl w:val="0"/>
          <w:numId w:val="29"/>
        </w:numPr>
        <w:rPr>
          <w:rFonts w:ascii="Arial" w:cs="Arial" w:eastAsia="Arial" w:hAnsi="Arial"/>
          <w:sz w:val="17"/>
          <w:szCs w:val="17"/>
          <w:b w:val="1"/>
          <w:bCs w:val="1"/>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receive an annualized base salary of $257,600, subject to change in the Board’s sole discretion (the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Salary</w:t>
      </w:r>
      <w:r>
        <w:rPr>
          <w:rFonts w:ascii="Arial" w:cs="Arial" w:eastAsia="Arial" w:hAnsi="Arial"/>
          <w:sz w:val="17"/>
          <w:szCs w:val="17"/>
          <w:color w:val="auto"/>
        </w:rPr>
        <w:t>”). The Base Salary will be payable in accordance with the Company’s normal payroll practices as are in effect from time to time.</w:t>
      </w:r>
    </w:p>
    <w:p>
      <w:pPr>
        <w:spacing w:after="0" w:line="200" w:lineRule="exact"/>
        <w:rPr>
          <w:rFonts w:ascii="Arial" w:cs="Arial" w:eastAsia="Arial" w:hAnsi="Arial"/>
          <w:sz w:val="17"/>
          <w:szCs w:val="17"/>
          <w:b w:val="1"/>
          <w:bCs w:val="1"/>
          <w:color w:val="auto"/>
        </w:rPr>
      </w:pPr>
    </w:p>
    <w:p>
      <w:pPr>
        <w:ind w:right="100" w:firstLine="656"/>
        <w:spacing w:after="0" w:line="279" w:lineRule="auto"/>
        <w:tabs>
          <w:tab w:leader="none" w:pos="1084" w:val="left"/>
        </w:tabs>
        <w:numPr>
          <w:ilvl w:val="0"/>
          <w:numId w:val="29"/>
        </w:numPr>
        <w:rPr>
          <w:rFonts w:ascii="Arial" w:cs="Arial" w:eastAsia="Arial" w:hAnsi="Arial"/>
          <w:sz w:val="17"/>
          <w:szCs w:val="17"/>
          <w:b w:val="1"/>
          <w:bCs w:val="1"/>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The Executive will be eligible to receive annual or other bonuses in such amounts and as paid from time to time in the Board’s sole discretion. Any bonuses awarded will be paid in cash, shares of the Company’s common stock and/or other stock incentive awards no later than March 15th of the year following the year in which the bonus is earned. Unless otherwise provided pursuant to the terms of the applicable bonus plan, payment of any bonus awarded to the Executive is contingent upon the Executive being employed by the Company on the date the bonus is paid.</w:t>
      </w:r>
    </w:p>
    <w:p>
      <w:pPr>
        <w:spacing w:after="0" w:line="225" w:lineRule="exact"/>
        <w:rPr>
          <w:rFonts w:ascii="Arial" w:cs="Arial" w:eastAsia="Arial" w:hAnsi="Arial"/>
          <w:sz w:val="17"/>
          <w:szCs w:val="17"/>
          <w:b w:val="1"/>
          <w:bCs w:val="1"/>
          <w:color w:val="auto"/>
        </w:rPr>
      </w:pPr>
    </w:p>
    <w:p>
      <w:pPr>
        <w:ind w:right="140" w:firstLine="656"/>
        <w:spacing w:after="0" w:line="277" w:lineRule="auto"/>
        <w:tabs>
          <w:tab w:leader="none" w:pos="1064"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Incentives</w:t>
      </w:r>
      <w:r>
        <w:rPr>
          <w:rFonts w:ascii="Arial" w:cs="Arial" w:eastAsia="Arial" w:hAnsi="Arial"/>
          <w:sz w:val="18"/>
          <w:szCs w:val="18"/>
          <w:color w:val="auto"/>
        </w:rPr>
        <w:t>. The Board may elect in its sole discretion to grant to the Executive from time to time stock incentive awards, such as stock options, pursuant to the terms and conditions of any stock incentive plans adopted by the Company.</w:t>
      </w:r>
    </w:p>
    <w:p>
      <w:pPr>
        <w:spacing w:after="0" w:line="224" w:lineRule="exact"/>
        <w:rPr>
          <w:rFonts w:ascii="Arial" w:cs="Arial" w:eastAsia="Arial" w:hAnsi="Arial"/>
          <w:sz w:val="18"/>
          <w:szCs w:val="18"/>
          <w:b w:val="1"/>
          <w:bCs w:val="1"/>
          <w:color w:val="auto"/>
        </w:rPr>
      </w:pPr>
    </w:p>
    <w:p>
      <w:pPr>
        <w:ind w:right="160" w:firstLine="656"/>
        <w:spacing w:after="0" w:line="277" w:lineRule="auto"/>
        <w:tabs>
          <w:tab w:leader="none" w:pos="1084"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Vacation/PTO</w:t>
      </w:r>
      <w:r>
        <w:rPr>
          <w:rFonts w:ascii="Arial" w:cs="Arial" w:eastAsia="Arial" w:hAnsi="Arial"/>
          <w:sz w:val="18"/>
          <w:szCs w:val="18"/>
          <w:color w:val="auto"/>
        </w:rPr>
        <w:t>. Vacation and paid time off will be provided to the Executive in accordance with Company’s policies and procedures, as such policies and procedures are in effect from time to time.</w:t>
      </w:r>
    </w:p>
    <w:p>
      <w:pPr>
        <w:spacing w:after="0" w:line="224" w:lineRule="exact"/>
        <w:rPr>
          <w:rFonts w:ascii="Arial" w:cs="Arial" w:eastAsia="Arial" w:hAnsi="Arial"/>
          <w:sz w:val="18"/>
          <w:szCs w:val="18"/>
          <w:b w:val="1"/>
          <w:bCs w:val="1"/>
          <w:color w:val="auto"/>
        </w:rPr>
      </w:pPr>
    </w:p>
    <w:p>
      <w:pPr>
        <w:jc w:val="both"/>
        <w:ind w:right="160" w:firstLine="656"/>
        <w:spacing w:after="0" w:line="264" w:lineRule="auto"/>
        <w:tabs>
          <w:tab w:leader="none" w:pos="1064"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Benefits and Perquisites</w:t>
      </w:r>
      <w:r>
        <w:rPr>
          <w:rFonts w:ascii="Arial" w:cs="Arial" w:eastAsia="Arial" w:hAnsi="Arial"/>
          <w:sz w:val="18"/>
          <w:szCs w:val="18"/>
          <w:color w:val="auto"/>
        </w:rPr>
        <w:t>. The Executive will be entitled to participate in the Company’s benefit plans and programs, and receive the benefits and perquisites, generally provided to full-time, salaried employees of the Company. Such benefits and perquisites may be modified or discontinued at the sole discretion of the Board.</w:t>
      </w:r>
    </w:p>
    <w:p>
      <w:pPr>
        <w:spacing w:after="0" w:line="235" w:lineRule="exact"/>
        <w:rPr>
          <w:rFonts w:ascii="Arial" w:cs="Arial" w:eastAsia="Arial" w:hAnsi="Arial"/>
          <w:sz w:val="18"/>
          <w:szCs w:val="18"/>
          <w:b w:val="1"/>
          <w:bCs w:val="1"/>
          <w:color w:val="auto"/>
        </w:rPr>
      </w:pPr>
    </w:p>
    <w:p>
      <w:pPr>
        <w:jc w:val="both"/>
        <w:ind w:firstLine="656"/>
        <w:spacing w:after="0" w:line="279" w:lineRule="auto"/>
        <w:tabs>
          <w:tab w:leader="none" w:pos="1044" w:val="left"/>
        </w:tabs>
        <w:numPr>
          <w:ilvl w:val="0"/>
          <w:numId w:val="29"/>
        </w:numPr>
        <w:rPr>
          <w:rFonts w:ascii="Arial" w:cs="Arial" w:eastAsia="Arial" w:hAnsi="Arial"/>
          <w:sz w:val="17"/>
          <w:szCs w:val="17"/>
          <w:b w:val="1"/>
          <w:bCs w:val="1"/>
          <w:color w:val="auto"/>
        </w:rPr>
      </w:pPr>
      <w:r>
        <w:rPr>
          <w:rFonts w:ascii="Arial" w:cs="Arial" w:eastAsia="Arial" w:hAnsi="Arial"/>
          <w:sz w:val="17"/>
          <w:szCs w:val="17"/>
          <w:u w:val="single" w:color="auto"/>
          <w:color w:val="auto"/>
        </w:rPr>
        <w:t>Reimbursement of Business Expenses</w:t>
      </w:r>
      <w:r>
        <w:rPr>
          <w:rFonts w:ascii="Arial" w:cs="Arial" w:eastAsia="Arial" w:hAnsi="Arial"/>
          <w:sz w:val="17"/>
          <w:szCs w:val="17"/>
          <w:color w:val="auto"/>
        </w:rPr>
        <w:t>. The Company will reimburse the Executive for all reasonable out-of-pocket business expenses incurred by the Executive on behalf of the Company, provided that the Executive properly accounts to the Company for all such expenses in accordance with the rules and regulations of the Internal Revenue Service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in accordance with the Company’s standard policies and procedures relating to reimbursement of business expenses incurred by its employees.</w:t>
      </w:r>
    </w:p>
    <w:p>
      <w:pPr>
        <w:spacing w:after="0" w:line="225" w:lineRule="exact"/>
        <w:rPr>
          <w:rFonts w:ascii="Arial" w:cs="Arial" w:eastAsia="Arial" w:hAnsi="Arial"/>
          <w:sz w:val="17"/>
          <w:szCs w:val="17"/>
          <w:b w:val="1"/>
          <w:bCs w:val="1"/>
          <w:color w:val="auto"/>
        </w:rPr>
      </w:pPr>
    </w:p>
    <w:p>
      <w:pPr>
        <w:ind w:right="540" w:firstLine="656"/>
        <w:spacing w:after="0" w:line="342" w:lineRule="auto"/>
        <w:tabs>
          <w:tab w:leader="none" w:pos="1074" w:val="left"/>
        </w:tabs>
        <w:numPr>
          <w:ilvl w:val="0"/>
          <w:numId w:val="29"/>
        </w:numPr>
        <w:rPr>
          <w:rFonts w:ascii="Arial" w:cs="Arial" w:eastAsia="Arial" w:hAnsi="Arial"/>
          <w:sz w:val="16"/>
          <w:szCs w:val="16"/>
          <w:b w:val="1"/>
          <w:bCs w:val="1"/>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All payments made under this Section 3, Section 5 or under any other provision of this Agreement, will be subject to withholding of such taxes and in such amounts as is requested by the Executive or as otherwise reasonably determined by the Company.</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TERMINATION OF EMPLOYMENT.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Executive’s at-will employment may be terminated at any time as described in this Section 4.</w:t>
      </w:r>
    </w:p>
    <w:p>
      <w:pPr>
        <w:spacing w:after="0" w:line="27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b w:val="1"/>
          <w:bCs w:val="1"/>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will terminate automatically upon the Executive’s death.</w:t>
      </w:r>
    </w:p>
    <w:p>
      <w:pPr>
        <w:spacing w:after="0" w:line="279" w:lineRule="exact"/>
        <w:rPr>
          <w:rFonts w:ascii="Arial" w:cs="Arial" w:eastAsia="Arial" w:hAnsi="Arial"/>
          <w:sz w:val="18"/>
          <w:szCs w:val="18"/>
          <w:b w:val="1"/>
          <w:bCs w:val="1"/>
          <w:color w:val="auto"/>
        </w:rPr>
      </w:pPr>
    </w:p>
    <w:p>
      <w:pPr>
        <w:ind w:right="40" w:firstLine="656"/>
        <w:spacing w:after="0" w:line="253" w:lineRule="auto"/>
        <w:tabs>
          <w:tab w:leader="none" w:pos="1084" w:val="left"/>
        </w:tabs>
        <w:numPr>
          <w:ilvl w:val="0"/>
          <w:numId w:val="30"/>
        </w:numPr>
        <w:rPr>
          <w:rFonts w:ascii="Arial" w:cs="Arial" w:eastAsia="Arial" w:hAnsi="Arial"/>
          <w:sz w:val="18"/>
          <w:szCs w:val="18"/>
          <w:b w:val="1"/>
          <w:bCs w:val="1"/>
          <w:color w:val="auto"/>
        </w:rPr>
      </w:pPr>
      <w:r>
        <w:rPr>
          <w:rFonts w:ascii="Arial" w:cs="Arial" w:eastAsia="Arial" w:hAnsi="Arial"/>
          <w:sz w:val="18"/>
          <w:szCs w:val="18"/>
          <w:u w:val="single" w:color="auto"/>
          <w:color w:val="auto"/>
        </w:rPr>
        <w:t>Total Disability</w:t>
      </w:r>
      <w:r>
        <w:rPr>
          <w:rFonts w:ascii="Arial" w:cs="Arial" w:eastAsia="Arial" w:hAnsi="Arial"/>
          <w:sz w:val="18"/>
          <w:szCs w:val="18"/>
          <w:color w:val="auto"/>
        </w:rPr>
        <w:t>. The Company or the Executive may terminate the Executive’s employment with the Company at any time after the “</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Disability</w:t>
      </w:r>
      <w:r>
        <w:rPr>
          <w:rFonts w:ascii="Arial" w:cs="Arial" w:eastAsia="Arial" w:hAnsi="Arial"/>
          <w:sz w:val="18"/>
          <w:szCs w:val="18"/>
          <w:color w:val="auto"/>
        </w:rPr>
        <w:t>” of the Executive. For purposes of this Agreement, the Total Disability of the Executive will occur on the earlier of the date the Executive: (i) becomes entitled to receive disability benefits under the Company’s long-term disability plan, if any; or (ii) is unable to perform the essential functions of the Executive’s position, as contemplated by this Agreement, due to a physical or mental incapacity or impairment, for more than an aggregate of one hundred eighty (180) days during any continuous twelve (12) month period. If the Executive is a qualified person with a disability under the Americans With Disabilities Act or the Minnesota Human Rights Act, (or any other applicable statute), the Company will make reasonable accommodations to the known physical or mental limitations of the Executive, including but not limited to consideration of whether extending the 180-day period would constitute a reasonable accommodation. Termination of the Executive’s employment due to Total Disability will not affect the Executive’s rights, if any, under the Company’s long-term disability plan.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97" w:name="page98"/>
    <w:bookmarkEnd w:id="97"/>
    <w:p>
      <w:pPr>
        <w:ind w:right="1340" w:firstLine="656"/>
        <w:spacing w:after="0" w:line="277" w:lineRule="auto"/>
        <w:tabs>
          <w:tab w:leader="none" w:pos="1064"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With Cause</w:t>
      </w:r>
      <w:r>
        <w:rPr>
          <w:rFonts w:ascii="Arial" w:cs="Arial" w:eastAsia="Arial" w:hAnsi="Arial"/>
          <w:sz w:val="18"/>
          <w:szCs w:val="18"/>
          <w:color w:val="auto"/>
        </w:rPr>
        <w:t>. The Company may terminate the Executive’s employment at any time, with “Cause,” upon written notice to the Executive.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224" w:lineRule="exact"/>
        <w:rPr>
          <w:rFonts w:ascii="Arial" w:cs="Arial" w:eastAsia="Arial" w:hAnsi="Arial"/>
          <w:sz w:val="18"/>
          <w:szCs w:val="18"/>
          <w:b w:val="1"/>
          <w:bCs w:val="1"/>
          <w:color w:val="auto"/>
        </w:rPr>
      </w:pPr>
    </w:p>
    <w:p>
      <w:pPr>
        <w:jc w:val="both"/>
        <w:ind w:right="180" w:firstLine="1305"/>
        <w:spacing w:after="0" w:line="264" w:lineRule="auto"/>
        <w:tabs>
          <w:tab w:leader="none" w:pos="16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Executive’s material breach of any of the Executive’s obligations under this Agreement, or the Executive’s willful and continued failure or refusal to perform his duties, responsibilities and obligations as an executive officer of the Company, for reasons other than Total Disability, to the satisfaction of the Board;</w:t>
      </w:r>
    </w:p>
    <w:p>
      <w:pPr>
        <w:spacing w:after="0" w:line="235" w:lineRule="exact"/>
        <w:rPr>
          <w:rFonts w:ascii="Arial" w:cs="Arial" w:eastAsia="Arial" w:hAnsi="Arial"/>
          <w:sz w:val="18"/>
          <w:szCs w:val="18"/>
          <w:color w:val="auto"/>
        </w:rPr>
      </w:pPr>
    </w:p>
    <w:p>
      <w:pPr>
        <w:ind w:right="120" w:firstLine="1305"/>
        <w:spacing w:after="0" w:line="259" w:lineRule="auto"/>
        <w:tabs>
          <w:tab w:leader="none" w:pos="16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Executive’s commission of an act of dishonesty, fraud, embezzlement, misappropriation, or intentional and deliberate injury or material breach of fiduciary duty, or material breach of the duty of loyalty related to or against the Company or its business, or any unlawful or criminal activity of a serious nature involving any felony, or conviction by a court of competent jurisdiction of, or pleading guilty or nolo contendere to, any felony or any crime involving moral turpitude; or</w:t>
      </w:r>
    </w:p>
    <w:p>
      <w:pPr>
        <w:spacing w:after="0" w:line="240" w:lineRule="exact"/>
        <w:rPr>
          <w:rFonts w:ascii="Arial" w:cs="Arial" w:eastAsia="Arial" w:hAnsi="Arial"/>
          <w:sz w:val="18"/>
          <w:szCs w:val="18"/>
          <w:color w:val="auto"/>
        </w:rPr>
      </w:pPr>
    </w:p>
    <w:p>
      <w:pPr>
        <w:ind w:left="1680" w:hanging="375"/>
        <w:spacing w:after="0"/>
        <w:tabs>
          <w:tab w:leader="none" w:pos="16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existence of any court order or settlement agreement prohibiting the Executive’s continued employment with the Company.</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 material breach or other breach of duty will not constitute “Cause” unless the Company gives written notice to the Executive of the existence of such act or breach, and the Executive fails to cure, to the Board’s satisfaction, the act or breach within thirty (30) days after the notification.</w:t>
      </w:r>
    </w:p>
    <w:p>
      <w:pPr>
        <w:spacing w:after="0" w:line="201" w:lineRule="exact"/>
        <w:rPr>
          <w:sz w:val="20"/>
          <w:szCs w:val="20"/>
          <w:color w:val="auto"/>
        </w:rPr>
      </w:pPr>
    </w:p>
    <w:p>
      <w:pPr>
        <w:jc w:val="both"/>
        <w:ind w:right="20" w:firstLine="656"/>
        <w:spacing w:after="0" w:line="264" w:lineRule="auto"/>
        <w:tabs>
          <w:tab w:leader="none" w:pos="1084" w:val="left"/>
        </w:tabs>
        <w:numPr>
          <w:ilvl w:val="0"/>
          <w:numId w:val="32"/>
        </w:numPr>
        <w:rPr>
          <w:rFonts w:ascii="Arial" w:cs="Arial" w:eastAsia="Arial" w:hAnsi="Arial"/>
          <w:sz w:val="18"/>
          <w:szCs w:val="18"/>
          <w:b w:val="1"/>
          <w:bCs w:val="1"/>
          <w:color w:val="auto"/>
        </w:rPr>
      </w:pPr>
      <w:r>
        <w:rPr>
          <w:rFonts w:ascii="Arial" w:cs="Arial" w:eastAsia="Arial" w:hAnsi="Arial"/>
          <w:sz w:val="18"/>
          <w:szCs w:val="18"/>
          <w:u w:val="single" w:color="auto"/>
          <w:color w:val="auto"/>
        </w:rPr>
        <w:t>Without Cause</w:t>
      </w:r>
      <w:r>
        <w:rPr>
          <w:rFonts w:ascii="Arial" w:cs="Arial" w:eastAsia="Arial" w:hAnsi="Arial"/>
          <w:sz w:val="18"/>
          <w:szCs w:val="18"/>
          <w:color w:val="auto"/>
        </w:rPr>
        <w:t>. The Company may terminate the Executive’s employment at any time, without Cause, upon two (2) weeks prior written notice to the Executive. The Company may, in its sole discretion, opt not to have the Executive provide active employment services during some or all of the notice period, and place the Executive on a paid leave of absence for some or all of the notice period.</w:t>
      </w:r>
    </w:p>
    <w:p>
      <w:pPr>
        <w:spacing w:after="0" w:line="235" w:lineRule="exact"/>
        <w:rPr>
          <w:rFonts w:ascii="Arial" w:cs="Arial" w:eastAsia="Arial" w:hAnsi="Arial"/>
          <w:sz w:val="18"/>
          <w:szCs w:val="18"/>
          <w:b w:val="1"/>
          <w:bCs w:val="1"/>
          <w:color w:val="auto"/>
        </w:rPr>
      </w:pPr>
    </w:p>
    <w:p>
      <w:pPr>
        <w:ind w:right="80" w:firstLine="656"/>
        <w:spacing w:after="0" w:line="259" w:lineRule="auto"/>
        <w:tabs>
          <w:tab w:leader="none" w:pos="1064" w:val="left"/>
        </w:tabs>
        <w:numPr>
          <w:ilvl w:val="0"/>
          <w:numId w:val="32"/>
        </w:numPr>
        <w:rPr>
          <w:rFonts w:ascii="Arial" w:cs="Arial" w:eastAsia="Arial" w:hAnsi="Arial"/>
          <w:sz w:val="18"/>
          <w:szCs w:val="18"/>
          <w:b w:val="1"/>
          <w:bCs w:val="1"/>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Executive may, upon two (2) weeks prior written notice to the Company, terminate the Executive’s employment at any time and for any reason. Upon receiving such notice, the Company may, in its sole discretion, opt not to have the Executive provide active employment services during some or all of the notice period, and place the Executive on a paid leave of absence for some or all of the notice period. If the Company exercises this option, it shall not convert the resignation to a termination by the Company.</w:t>
      </w:r>
    </w:p>
    <w:p>
      <w:pPr>
        <w:spacing w:after="0" w:line="240" w:lineRule="exact"/>
        <w:rPr>
          <w:rFonts w:ascii="Arial" w:cs="Arial" w:eastAsia="Arial" w:hAnsi="Arial"/>
          <w:sz w:val="18"/>
          <w:szCs w:val="18"/>
          <w:b w:val="1"/>
          <w:bCs w:val="1"/>
          <w:color w:val="auto"/>
        </w:rPr>
      </w:pPr>
    </w:p>
    <w:p>
      <w:pPr>
        <w:ind w:right="320" w:firstLine="656"/>
        <w:spacing w:after="0" w:line="291" w:lineRule="auto"/>
        <w:tabs>
          <w:tab w:leader="none" w:pos="1044" w:val="left"/>
        </w:tabs>
        <w:numPr>
          <w:ilvl w:val="0"/>
          <w:numId w:val="32"/>
        </w:numPr>
        <w:rPr>
          <w:rFonts w:ascii="Arial" w:cs="Arial" w:eastAsia="Arial" w:hAnsi="Arial"/>
          <w:sz w:val="16"/>
          <w:szCs w:val="16"/>
          <w:b w:val="1"/>
          <w:bCs w:val="1"/>
          <w:color w:val="auto"/>
        </w:rPr>
      </w:pPr>
      <w:r>
        <w:rPr>
          <w:rFonts w:ascii="Arial" w:cs="Arial" w:eastAsia="Arial" w:hAnsi="Arial"/>
          <w:sz w:val="16"/>
          <w:szCs w:val="16"/>
          <w:u w:val="single" w:color="auto"/>
          <w:color w:val="auto"/>
        </w:rPr>
        <w:t>For Good Reason</w:t>
      </w:r>
      <w:r>
        <w:rPr>
          <w:rFonts w:ascii="Arial" w:cs="Arial" w:eastAsia="Arial" w:hAnsi="Arial"/>
          <w:sz w:val="16"/>
          <w:szCs w:val="16"/>
          <w:color w:val="auto"/>
        </w:rPr>
        <w:t>. The Executive may, within six (6) months of the initial existence of the event giving rise to Good Reason (as hereinafter defined) and upon thirty (30) days prior written notice to the Company, terminate the Executive’s employment under this Agreement for Good</w:t>
      </w:r>
    </w:p>
    <w:p>
      <w:pPr>
        <w:spacing w:after="0"/>
        <w:rPr>
          <w:rFonts w:ascii="Arial" w:cs="Arial" w:eastAsia="Arial" w:hAnsi="Arial"/>
          <w:sz w:val="16"/>
          <w:szCs w:val="16"/>
          <w:b w:val="1"/>
          <w:bCs w:val="1"/>
          <w:color w:val="auto"/>
        </w:rPr>
      </w:pPr>
      <w:r>
        <w:rPr>
          <w:rFonts w:ascii="Arial" w:cs="Arial" w:eastAsia="Arial" w:hAnsi="Arial"/>
          <w:sz w:val="18"/>
          <w:szCs w:val="18"/>
          <w:color w:val="auto"/>
        </w:rPr>
        <w:t>Reason. “</w:t>
      </w:r>
      <w:r>
        <w:rPr>
          <w:rFonts w:ascii="Arial" w:cs="Arial" w:eastAsia="Arial" w:hAnsi="Arial"/>
          <w:sz w:val="18"/>
          <w:szCs w:val="18"/>
          <w:u w:val="single" w:color="auto"/>
          <w:color w:val="auto"/>
        </w:rPr>
        <w:t>Good Reason</w:t>
      </w:r>
      <w:r>
        <w:rPr>
          <w:rFonts w:ascii="Arial" w:cs="Arial" w:eastAsia="Arial" w:hAnsi="Arial"/>
          <w:sz w:val="18"/>
          <w:szCs w:val="18"/>
          <w:color w:val="auto"/>
        </w:rPr>
        <w:t>” means:</w:t>
      </w:r>
    </w:p>
    <w:p>
      <w:pPr>
        <w:spacing w:after="0" w:line="264" w:lineRule="exact"/>
        <w:rPr>
          <w:rFonts w:ascii="Arial" w:cs="Arial" w:eastAsia="Arial" w:hAnsi="Arial"/>
          <w:sz w:val="16"/>
          <w:szCs w:val="16"/>
          <w:b w:val="1"/>
          <w:bCs w:val="1"/>
          <w:color w:val="auto"/>
        </w:rPr>
      </w:pPr>
    </w:p>
    <w:p>
      <w:pPr>
        <w:ind w:left="1700" w:hanging="395"/>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279" w:lineRule="exact"/>
        <w:rPr>
          <w:rFonts w:ascii="Arial" w:cs="Arial" w:eastAsia="Arial" w:hAnsi="Arial"/>
          <w:sz w:val="18"/>
          <w:szCs w:val="18"/>
          <w:color w:val="auto"/>
        </w:rPr>
      </w:pPr>
    </w:p>
    <w:p>
      <w:pPr>
        <w:ind w:left="1680" w:hanging="375"/>
        <w:spacing w:after="0"/>
        <w:tabs>
          <w:tab w:leader="none" w:pos="1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material diminution in the Executive’s Base Salary;</w:t>
      </w:r>
    </w:p>
    <w:p>
      <w:pPr>
        <w:spacing w:after="0" w:line="279" w:lineRule="exact"/>
        <w:rPr>
          <w:rFonts w:ascii="Arial" w:cs="Arial" w:eastAsia="Arial" w:hAnsi="Arial"/>
          <w:sz w:val="18"/>
          <w:szCs w:val="18"/>
          <w:color w:val="auto"/>
        </w:rPr>
      </w:pPr>
    </w:p>
    <w:p>
      <w:pPr>
        <w:ind w:right="540" w:firstLine="1305"/>
        <w:spacing w:after="0" w:line="277" w:lineRule="auto"/>
        <w:tabs>
          <w:tab w:leader="none" w:pos="16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Company requires the Executive to provide services, except for travel reasonably required in the performance of the Executive’s responsibilities; or</w:t>
      </w:r>
    </w:p>
    <w:p>
      <w:pPr>
        <w:spacing w:after="0" w:line="224" w:lineRule="exact"/>
        <w:rPr>
          <w:rFonts w:ascii="Arial" w:cs="Arial" w:eastAsia="Arial" w:hAnsi="Arial"/>
          <w:sz w:val="18"/>
          <w:szCs w:val="18"/>
          <w:color w:val="auto"/>
        </w:rPr>
      </w:pPr>
    </w:p>
    <w:p>
      <w:pPr>
        <w:ind w:left="1700" w:hanging="395"/>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action or inaction that constitutes a material breach by the Company of this Agreement.</w:t>
      </w:r>
    </w:p>
    <w:p>
      <w:pPr>
        <w:spacing w:after="0" w:line="25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An act or omission will not constitute a “Good Reason” unless the Executive gives written notice to the Company of the existence of such act or omission within ninety (90) days of its initial existence and the Company fails to cure the act or omission within thirty (30) days after the notification.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8" w:name="page99"/>
    <w:bookmarkEnd w:id="98"/>
    <w:p>
      <w:pPr>
        <w:ind w:firstLine="656"/>
        <w:spacing w:after="0" w:line="257" w:lineRule="auto"/>
        <w:tabs>
          <w:tab w:leader="none" w:pos="1074" w:val="left"/>
        </w:tabs>
        <w:numPr>
          <w:ilvl w:val="0"/>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A “</w:t>
      </w: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means, during a period of twenty-four (24) months following a Change in Control (as hereinafter defined), any termination by the Executive for Good Reason or any involuntary termination of the Executive’s employment by the Company (or its successor), other than for Cause or on account of death or Total Disability. A “</w:t>
      </w:r>
      <w:r>
        <w:rPr>
          <w:rFonts w:ascii="Arial" w:cs="Arial" w:eastAsia="Arial" w:hAnsi="Arial"/>
          <w:sz w:val="18"/>
          <w:szCs w:val="18"/>
          <w:u w:val="single" w:color="auto"/>
          <w:color w:val="auto"/>
        </w:rPr>
        <w:t>Change in Control</w:t>
      </w:r>
      <w:r>
        <w:rPr>
          <w:rFonts w:ascii="Arial" w:cs="Arial" w:eastAsia="Arial" w:hAnsi="Arial"/>
          <w:sz w:val="18"/>
          <w:szCs w:val="18"/>
          <w:color w:val="auto"/>
        </w:rPr>
        <w:t>” will have the meaning assigned to such term in the Company’s stock incentive plan as in effect from time to time to the extent such change in control is a “change of control event” as defined under Code Section 409A and applicable Internal Revenue Service regulations.</w:t>
      </w:r>
    </w:p>
    <w:p>
      <w:pPr>
        <w:spacing w:after="0" w:line="242" w:lineRule="exact"/>
        <w:rPr>
          <w:rFonts w:ascii="Arial" w:cs="Arial" w:eastAsia="Arial" w:hAnsi="Arial"/>
          <w:sz w:val="18"/>
          <w:szCs w:val="18"/>
          <w:b w:val="1"/>
          <w:bCs w:val="1"/>
          <w:color w:val="auto"/>
        </w:rPr>
      </w:pPr>
    </w:p>
    <w:p>
      <w:pPr>
        <w:ind w:right="60" w:firstLine="656"/>
        <w:spacing w:after="0" w:line="290" w:lineRule="auto"/>
        <w:tabs>
          <w:tab w:leader="none" w:pos="1084" w:val="left"/>
        </w:tabs>
        <w:numPr>
          <w:ilvl w:val="0"/>
          <w:numId w:val="33"/>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term “termination of employment” when used in this Agreement, means a termination of the Executive’s employment relationship with the Company and all its affiliates (within the meaning of Code Section 409A) or such other change in the Executive’s employment relationship with the Company and all of its affiliates that would be considered a “separation from service” under Code Section 409A. The Executive’s employment relationship will be treated as remaining intact while the Executive is on a military leave, a sick leave or other bona fide leave of absence (pursuant to which there is a reasonable expectation that the Employee will return to perform services for the Company or an affiliate) but only if the period of such leave does not exceed six (6) months, or if longer, so long as the Executive retains a right to reemployment by the Company or an affiliate under applicable statute or by contract. In all cases, the Executive’s termination of employment must constitute a “separation from service” under Code Section 409A and any “separation from service” under Code Section 409A will be treated as a termination of employment.</w:t>
      </w:r>
    </w:p>
    <w:p>
      <w:pPr>
        <w:spacing w:after="0" w:line="220" w:lineRule="exact"/>
        <w:rPr>
          <w:rFonts w:ascii="Arial" w:cs="Arial" w:eastAsia="Arial" w:hAnsi="Arial"/>
          <w:sz w:val="16"/>
          <w:szCs w:val="16"/>
          <w:b w:val="1"/>
          <w:bCs w:val="1"/>
          <w:color w:val="auto"/>
        </w:rPr>
      </w:pPr>
    </w:p>
    <w:p>
      <w:pPr>
        <w:ind w:right="460" w:firstLine="656"/>
        <w:spacing w:after="0" w:line="264" w:lineRule="auto"/>
        <w:tabs>
          <w:tab w:leader="none" w:pos="1034" w:val="left"/>
        </w:tabs>
        <w:numPr>
          <w:ilvl w:val="0"/>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Resignation as Director/Officer</w:t>
      </w:r>
      <w:r>
        <w:rPr>
          <w:rFonts w:ascii="Arial" w:cs="Arial" w:eastAsia="Arial" w:hAnsi="Arial"/>
          <w:sz w:val="18"/>
          <w:szCs w:val="18"/>
          <w:color w:val="auto"/>
        </w:rPr>
        <w:t>. Immediately upon termination of the Executive’s employment with the Company for any reason, the Executive will resign from any and all positions then held as a director or officer of the Company and of any subsidiary, parent or affiliated entity of the Company.</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PAYMENTS AND BENEFITS UPON TERMINATION OF EMPLOYMENT.</w:t>
      </w:r>
    </w:p>
    <w:p>
      <w:pPr>
        <w:spacing w:after="0" w:line="279" w:lineRule="exact"/>
        <w:rPr>
          <w:sz w:val="20"/>
          <w:szCs w:val="20"/>
          <w:color w:val="auto"/>
        </w:rPr>
      </w:pPr>
    </w:p>
    <w:p>
      <w:pPr>
        <w:ind w:firstLine="656"/>
        <w:spacing w:after="0" w:line="286" w:lineRule="auto"/>
        <w:tabs>
          <w:tab w:leader="none" w:pos="1074" w:val="left"/>
        </w:tabs>
        <w:numPr>
          <w:ilvl w:val="1"/>
          <w:numId w:val="34"/>
        </w:numPr>
        <w:rPr>
          <w:rFonts w:ascii="Arial" w:cs="Arial" w:eastAsia="Arial" w:hAnsi="Arial"/>
          <w:sz w:val="16"/>
          <w:szCs w:val="16"/>
          <w:b w:val="1"/>
          <w:bCs w:val="1"/>
          <w:color w:val="auto"/>
        </w:rPr>
      </w:pPr>
      <w:r>
        <w:rPr>
          <w:rFonts w:ascii="Arial" w:cs="Arial" w:eastAsia="Arial" w:hAnsi="Arial"/>
          <w:sz w:val="16"/>
          <w:szCs w:val="16"/>
          <w:u w:val="single" w:color="auto"/>
          <w:color w:val="auto"/>
        </w:rPr>
        <w:t>Total Disability.</w:t>
      </w:r>
      <w:r>
        <w:rPr>
          <w:rFonts w:ascii="Arial" w:cs="Arial" w:eastAsia="Arial" w:hAnsi="Arial"/>
          <w:sz w:val="16"/>
          <w:szCs w:val="16"/>
          <w:color w:val="auto"/>
        </w:rPr>
        <w:t xml:space="preserve"> If the Executive’s employment is terminated due to the Total Disability of the Executive, regardless of the date of termination, the Executive will be paid (i) the Executive’s Base Salary, prorated through the date of termination; (ii) a pro rata portion of the target bonus that the Executive otherwise would have been eligible to receive under the Company’s bonus plan for the fiscal year during which the Executive’s employment is terminated, with such pro rata portion based on the number of complete months during the fiscal year that the Executive was employed with the Company;</w:t>
      </w:r>
    </w:p>
    <w:p>
      <w:pPr>
        <w:spacing w:after="0" w:line="1" w:lineRule="exact"/>
        <w:rPr>
          <w:rFonts w:ascii="Arial" w:cs="Arial" w:eastAsia="Arial" w:hAnsi="Arial"/>
          <w:sz w:val="16"/>
          <w:szCs w:val="16"/>
          <w:b w:val="1"/>
          <w:bCs w:val="1"/>
          <w:color w:val="auto"/>
        </w:rPr>
      </w:pPr>
    </w:p>
    <w:p>
      <w:pPr>
        <w:ind w:right="200" w:firstLine="8"/>
        <w:spacing w:after="0" w:line="290" w:lineRule="auto"/>
        <w:tabs>
          <w:tab w:leader="none" w:pos="3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benefits payable under any disability insurance policy maintained by the Company for the benefit of the Executive at the time of the termination of employment, subject to the terms and conditions of such policies; (iv) the Executive’s accrued but unpaid PTO or vacation, prorated through the date of termination; (v) any unpaid expense reimbursement; and (vi) the Executive’s other accrued and vested benefits, if any, under any of the Company’s other employee benefit plans (</w:t>
      </w:r>
      <w:r>
        <w:rPr>
          <w:rFonts w:ascii="Arial" w:cs="Arial" w:eastAsia="Arial" w:hAnsi="Arial"/>
          <w:sz w:val="16"/>
          <w:szCs w:val="16"/>
          <w:i w:val="1"/>
          <w:iCs w:val="1"/>
          <w:color w:val="auto"/>
        </w:rPr>
        <w:t>e.g</w:t>
      </w:r>
      <w:r>
        <w:rPr>
          <w:rFonts w:ascii="Arial" w:cs="Arial" w:eastAsia="Arial" w:hAnsi="Arial"/>
          <w:sz w:val="16"/>
          <w:szCs w:val="16"/>
          <w:color w:val="auto"/>
        </w:rPr>
        <w:t>., 401(k) plan), subject to the terms and conditions of such plans. Payment of the pro rata portion of the target bonus calculated pursuant to clause (ii), less payroll deductions and withholdings as reasonably determined by the Company, will be paid to the Executive in installment payments over a twenty-four (24) month period in accordance with the Company’s normal payroll practices, subject to paragraph (f), as follows:</w:t>
      </w:r>
    </w:p>
    <w:p>
      <w:pPr>
        <w:spacing w:after="0" w:line="218" w:lineRule="exact"/>
        <w:rPr>
          <w:sz w:val="20"/>
          <w:szCs w:val="20"/>
          <w:color w:val="auto"/>
        </w:rPr>
      </w:pPr>
    </w:p>
    <w:p>
      <w:pPr>
        <w:ind w:right="60" w:firstLine="2161"/>
        <w:spacing w:after="0" w:line="342" w:lineRule="auto"/>
        <w:rPr>
          <w:sz w:val="20"/>
          <w:szCs w:val="20"/>
          <w:color w:val="auto"/>
        </w:rPr>
      </w:pPr>
      <w:r>
        <w:rPr>
          <w:rFonts w:ascii="Arial" w:cs="Arial" w:eastAsia="Arial" w:hAnsi="Arial"/>
          <w:sz w:val="16"/>
          <w:szCs w:val="16"/>
          <w:color w:val="auto"/>
        </w:rPr>
        <w:t>a payment equal to one-twelfth (1/12) of the pro rata portion of the target bonus calculated pursuant to clause (ii), less payroll deductions and withholdings as reasonably determined by the Company, on the sixtieth (60th) day following the Executive’s termination of employment; and</w:t>
      </w:r>
    </w:p>
    <w:p>
      <w:pPr>
        <w:spacing w:after="0" w:line="178"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regularly scheduled payments in as nearly equal amounts as possible for the balance of the pro rata target bonus payment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65" w:lineRule="exact"/>
        <w:rPr>
          <w:sz w:val="20"/>
          <w:szCs w:val="20"/>
          <w:color w:val="auto"/>
        </w:rPr>
      </w:pPr>
    </w:p>
    <w:p>
      <w:pPr>
        <w:ind w:right="60" w:firstLine="656"/>
        <w:spacing w:after="0" w:line="288" w:lineRule="auto"/>
        <w:tabs>
          <w:tab w:leader="none" w:pos="1084" w:val="left"/>
        </w:tabs>
        <w:numPr>
          <w:ilvl w:val="0"/>
          <w:numId w:val="36"/>
        </w:numPr>
        <w:rPr>
          <w:rFonts w:ascii="Arial" w:cs="Arial" w:eastAsia="Arial" w:hAnsi="Arial"/>
          <w:sz w:val="16"/>
          <w:szCs w:val="16"/>
          <w:b w:val="1"/>
          <w:bCs w:val="1"/>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xml:space="preserve"> If the Executive’s employment is terminated due to the death of the Executive, regardless of the date of termination, the Executive’s estate or heirs, as appropriate, will be paid (i) the Executive’s Base Salary, prorated through the date of termination; (ii) a pro rata portion of the target bonus that the Executive otherwise would have been eligible to receive under the Company’s bonus plan for the fiscal year during which the Executive’s death occurs, with such pro rata portion based on the number of complete months during the fiscal year that the Executive was employed with the Company (such amount paid to the Executive’s estate or heirs, as appropriate, less payroll deductions and withholdings as reasonably determined by the Company, in a single lump sum payment within sixty (60) days following the Executive’s date of death); (iii) any benefits payable under any group life insurance policy, key person life insurance policy and any other life insurance policy maintained by the Company for the benefit of the Executive at the time of the termination of employment, subject to the terms and conditions of such policies; (iv) the Executive’s accrued but unpaid PTO or vacation, prorated through the date of termination; (v) any unpaid expense reimbursement; and (vi) the Executive’s other accrued and vested benefits, if any, under any of the Company’s other employee benefit plans (</w:t>
      </w:r>
      <w:r>
        <w:rPr>
          <w:rFonts w:ascii="Arial" w:cs="Arial" w:eastAsia="Arial" w:hAnsi="Arial"/>
          <w:sz w:val="16"/>
          <w:szCs w:val="16"/>
          <w:i w:val="1"/>
          <w:iCs w:val="1"/>
          <w:color w:val="auto"/>
        </w:rPr>
        <w:t>e.g</w:t>
      </w:r>
      <w:r>
        <w:rPr>
          <w:rFonts w:ascii="Arial" w:cs="Arial" w:eastAsia="Arial" w:hAnsi="Arial"/>
          <w:sz w:val="16"/>
          <w:szCs w:val="16"/>
          <w:color w:val="auto"/>
        </w:rPr>
        <w:t>., 401(k) plan), subject to the terms and conditions of such plans.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99" w:name="page100"/>
    <w:bookmarkEnd w:id="99"/>
    <w:p>
      <w:pPr>
        <w:ind w:firstLine="656"/>
        <w:spacing w:after="0" w:line="302" w:lineRule="auto"/>
        <w:tabs>
          <w:tab w:leader="none" w:pos="1064" w:val="left"/>
        </w:tabs>
        <w:numPr>
          <w:ilvl w:val="0"/>
          <w:numId w:val="37"/>
        </w:numPr>
        <w:rPr>
          <w:rFonts w:ascii="Arial" w:cs="Arial" w:eastAsia="Arial" w:hAnsi="Arial"/>
          <w:sz w:val="16"/>
          <w:szCs w:val="16"/>
          <w:b w:val="1"/>
          <w:bCs w:val="1"/>
          <w:color w:val="auto"/>
        </w:rPr>
      </w:pPr>
      <w:r>
        <w:rPr>
          <w:rFonts w:ascii="Arial" w:cs="Arial" w:eastAsia="Arial" w:hAnsi="Arial"/>
          <w:sz w:val="16"/>
          <w:szCs w:val="16"/>
          <w:u w:val="single" w:color="auto"/>
          <w:color w:val="auto"/>
        </w:rPr>
        <w:t>For Cause Termination or Resignation</w:t>
      </w:r>
      <w:r>
        <w:rPr>
          <w:rFonts w:ascii="Arial" w:cs="Arial" w:eastAsia="Arial" w:hAnsi="Arial"/>
          <w:sz w:val="16"/>
          <w:szCs w:val="16"/>
          <w:color w:val="auto"/>
        </w:rPr>
        <w:t>. If the Company terminates the Executive’s employment for Cause, or if the Executive resigns, regardless of the date of termination, the Executive will be paid (i) the Executive’s Base Salary, prorated through the date of termination; (ii) the Executive’s accrued but unpaid PTO or vacation, prorated through the date of termination; (iii) any unpaid expense reimbursement; and (iv) the Executive’s other accrued and vested benefits, if any, under any of the Company’s other employee benefit plans (</w:t>
      </w:r>
      <w:r>
        <w:rPr>
          <w:rFonts w:ascii="Arial" w:cs="Arial" w:eastAsia="Arial" w:hAnsi="Arial"/>
          <w:sz w:val="16"/>
          <w:szCs w:val="16"/>
          <w:i w:val="1"/>
          <w:iCs w:val="1"/>
          <w:color w:val="auto"/>
        </w:rPr>
        <w:t>e.g</w:t>
      </w:r>
      <w:r>
        <w:rPr>
          <w:rFonts w:ascii="Arial" w:cs="Arial" w:eastAsia="Arial" w:hAnsi="Arial"/>
          <w:sz w:val="16"/>
          <w:szCs w:val="16"/>
          <w:color w:val="auto"/>
        </w:rPr>
        <w:t>., 401(k) plan), subject to the terms and conditions of such plans.</w:t>
      </w:r>
    </w:p>
    <w:p>
      <w:pPr>
        <w:spacing w:after="0" w:line="208" w:lineRule="exact"/>
        <w:rPr>
          <w:rFonts w:ascii="Arial" w:cs="Arial" w:eastAsia="Arial" w:hAnsi="Arial"/>
          <w:sz w:val="16"/>
          <w:szCs w:val="16"/>
          <w:b w:val="1"/>
          <w:bCs w:val="1"/>
          <w:color w:val="auto"/>
        </w:rPr>
      </w:pPr>
    </w:p>
    <w:p>
      <w:pPr>
        <w:ind w:right="160" w:firstLine="656"/>
        <w:spacing w:after="0" w:line="312" w:lineRule="auto"/>
        <w:tabs>
          <w:tab w:leader="none" w:pos="1084" w:val="left"/>
        </w:tabs>
        <w:numPr>
          <w:ilvl w:val="0"/>
          <w:numId w:val="37"/>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by the Company Without Cause or by the Executive for Good Reason</w:t>
      </w:r>
      <w:r>
        <w:rPr>
          <w:rFonts w:ascii="Arial" w:cs="Arial" w:eastAsia="Arial" w:hAnsi="Arial"/>
          <w:sz w:val="16"/>
          <w:szCs w:val="16"/>
          <w:color w:val="auto"/>
        </w:rPr>
        <w:t>. If the Company terminates the Executive’s employment other than for Cause or on account of death or Total Disability or the Executive resigns for Good Reason and such termination is not a Change in Control Termination, then the Executive will be entitled to the benefits described in this Section 5(d), in addition to the benefits described in Section 5(c).</w:t>
      </w:r>
    </w:p>
    <w:p>
      <w:pPr>
        <w:spacing w:after="0" w:line="200" w:lineRule="exact"/>
        <w:rPr>
          <w:rFonts w:ascii="Arial" w:cs="Arial" w:eastAsia="Arial" w:hAnsi="Arial"/>
          <w:sz w:val="16"/>
          <w:szCs w:val="16"/>
          <w:b w:val="1"/>
          <w:bCs w:val="1"/>
          <w:color w:val="auto"/>
        </w:rPr>
      </w:pPr>
    </w:p>
    <w:p>
      <w:pPr>
        <w:ind w:left="1700" w:hanging="395"/>
        <w:spacing w:after="0"/>
        <w:tabs>
          <w:tab w:leader="none" w:pos="1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Cash payments from the Company in an aggregate amount equal to:</w:t>
      </w:r>
    </w:p>
    <w:p>
      <w:pPr>
        <w:spacing w:after="0" w:line="27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Two (2) times the Executive’s average total annual compensation for the two (2) most recently completed fiscal years; plus</w:t>
      </w:r>
    </w:p>
    <w:p>
      <w:pPr>
        <w:spacing w:after="0" w:line="302" w:lineRule="exact"/>
        <w:rPr>
          <w:sz w:val="20"/>
          <w:szCs w:val="20"/>
          <w:color w:val="auto"/>
        </w:rPr>
      </w:pPr>
    </w:p>
    <w:p>
      <w:pPr>
        <w:jc w:val="both"/>
        <w:ind w:right="220" w:firstLine="2161"/>
        <w:spacing w:after="0" w:line="264" w:lineRule="auto"/>
        <w:rPr>
          <w:sz w:val="20"/>
          <w:szCs w:val="20"/>
          <w:color w:val="auto"/>
        </w:rPr>
      </w:pPr>
      <w:r>
        <w:rPr>
          <w:rFonts w:ascii="Arial" w:cs="Arial" w:eastAsia="Arial" w:hAnsi="Arial"/>
          <w:sz w:val="18"/>
          <w:szCs w:val="18"/>
          <w:color w:val="auto"/>
        </w:rPr>
        <w:t>a pro rata portion of the target bonus that the Executive otherwise would have been eligible to receive under the Company’s bonus plan for the fiscal year during which the Executive’s employment is terminated, with such pro rata portion based on the number of complete months during the fiscal year that the Executive was employed with the Company.</w:t>
      </w:r>
    </w:p>
    <w:p>
      <w:pPr>
        <w:spacing w:after="0" w:line="20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Such aggregate amount, less payroll deductions and withholdings as reasonably determined by the Company, will be paid to the Executive in installment payments over a twenty-four (24) month period in the form of salary continuation in accordance with the Company’s normal payroll practices, subject to paragraph (f), as follows:</w:t>
      </w:r>
    </w:p>
    <w:p>
      <w:pPr>
        <w:spacing w:after="0" w:line="222" w:lineRule="exact"/>
        <w:rPr>
          <w:sz w:val="20"/>
          <w:szCs w:val="20"/>
          <w:color w:val="auto"/>
        </w:rPr>
      </w:pPr>
    </w:p>
    <w:p>
      <w:pPr>
        <w:ind w:right="400" w:firstLine="1953"/>
        <w:spacing w:after="0" w:line="234" w:lineRule="auto"/>
        <w:tabs>
          <w:tab w:leader="none" w:pos="234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payment on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Executive’s termination of employment equal to the amount of salary continuation payments accruing during the sixty (60) day period following the Executive’s termination of employment; and</w:t>
      </w:r>
    </w:p>
    <w:p>
      <w:pPr>
        <w:spacing w:after="0" w:line="256" w:lineRule="exact"/>
        <w:rPr>
          <w:sz w:val="20"/>
          <w:szCs w:val="20"/>
          <w:color w:val="auto"/>
        </w:rPr>
      </w:pPr>
    </w:p>
    <w:p>
      <w:pPr>
        <w:ind w:left="2400" w:hanging="447"/>
        <w:spacing w:after="0"/>
        <w:tabs>
          <w:tab w:leader="none" w:pos="2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regularly scheduled payroll payments for the balance of the salary continuation period.</w:t>
      </w:r>
    </w:p>
    <w:p>
      <w:pPr>
        <w:spacing w:after="0" w:line="279" w:lineRule="exact"/>
        <w:rPr>
          <w:rFonts w:ascii="Arial" w:cs="Arial" w:eastAsia="Arial" w:hAnsi="Arial"/>
          <w:sz w:val="18"/>
          <w:szCs w:val="18"/>
          <w:color w:val="auto"/>
        </w:rPr>
      </w:pPr>
    </w:p>
    <w:p>
      <w:pPr>
        <w:ind w:right="80" w:firstLine="1305"/>
        <w:spacing w:after="0" w:line="257" w:lineRule="auto"/>
        <w:tabs>
          <w:tab w:leader="none" w:pos="16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Executive is eligible for and timely elects continued coverage under the Company’s group medical plan, group dental plan and/or group vision plan (the “</w:t>
      </w:r>
      <w:r>
        <w:rPr>
          <w:rFonts w:ascii="Arial" w:cs="Arial" w:eastAsia="Arial" w:hAnsi="Arial"/>
          <w:sz w:val="18"/>
          <w:szCs w:val="18"/>
          <w:u w:val="single" w:color="auto"/>
          <w:color w:val="auto"/>
        </w:rPr>
        <w:t>Group Health Plans</w:t>
      </w:r>
      <w:r>
        <w:rPr>
          <w:rFonts w:ascii="Arial" w:cs="Arial" w:eastAsia="Arial" w:hAnsi="Arial"/>
          <w:sz w:val="18"/>
          <w:szCs w:val="18"/>
          <w:color w:val="auto"/>
        </w:rPr>
        <w:t>”) pursuant to Code Section 4980B (“</w:t>
      </w:r>
      <w:r>
        <w:rPr>
          <w:rFonts w:ascii="Arial" w:cs="Arial" w:eastAsia="Arial" w:hAnsi="Arial"/>
          <w:sz w:val="18"/>
          <w:szCs w:val="18"/>
          <w:u w:val="single" w:color="auto"/>
          <w:color w:val="auto"/>
        </w:rPr>
        <w:t>COBRA</w:t>
      </w:r>
      <w:r>
        <w:rPr>
          <w:rFonts w:ascii="Arial" w:cs="Arial" w:eastAsia="Arial" w:hAnsi="Arial"/>
          <w:sz w:val="18"/>
          <w:szCs w:val="18"/>
          <w:color w:val="auto"/>
        </w:rPr>
        <w:t>”), for each of the first eighteen (18) months of the COBRA continuation period, the Company will reimburse the Executive in an amount equal to the difference between the amount the Executive pays for such COBRA continuation coverage each month and the amount paid by a full-time active employee each month for the same level of coverage elected by the Executive.</w:t>
      </w:r>
    </w:p>
    <w:p>
      <w:pPr>
        <w:spacing w:after="0" w:line="242" w:lineRule="exact"/>
        <w:rPr>
          <w:rFonts w:ascii="Arial" w:cs="Arial" w:eastAsia="Arial" w:hAnsi="Arial"/>
          <w:sz w:val="18"/>
          <w:szCs w:val="18"/>
          <w:color w:val="auto"/>
        </w:rPr>
      </w:pPr>
    </w:p>
    <w:p>
      <w:pPr>
        <w:ind w:right="40" w:firstLine="1305"/>
        <w:spacing w:after="0" w:line="277" w:lineRule="auto"/>
        <w:tabs>
          <w:tab w:leader="none" w:pos="16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outstanding and unvested options to purchase shares of the Company’s common stock and other stock incentive awards granted to the Executive under the Company’s stock incentive plan will become immediately vested and exercisable.</w:t>
      </w:r>
    </w:p>
    <w:p>
      <w:pPr>
        <w:spacing w:after="0" w:line="19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Within ten (10) business days after the Executive’s termination of employment the Company will provide the Executive with a Separation Agreement and Release. As a condition to receiving the payments and benefits under this Section 5(d), the Executive must, within forty-five (45) days following receipt of the Separation Agreement and Release, sign the Separation Agreement and Release, and not revoke the Release. No amounts will be paid pursuant to this Section 5(d) if the Executive does not sign the Separation Agreement and Release within the forty-five (45) day period or revokes the Release.</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100" w:name="page101"/>
    <w:bookmarkEnd w:id="100"/>
    <w:p>
      <w:pPr>
        <w:ind w:right="440" w:firstLine="648"/>
        <w:spacing w:after="0" w:line="264" w:lineRule="auto"/>
        <w:rPr>
          <w:sz w:val="20"/>
          <w:szCs w:val="20"/>
          <w:color w:val="auto"/>
        </w:rPr>
      </w:pPr>
      <w:r>
        <w:rPr>
          <w:rFonts w:ascii="Arial" w:cs="Arial" w:eastAsia="Arial" w:hAnsi="Arial"/>
          <w:sz w:val="18"/>
          <w:szCs w:val="18"/>
          <w:color w:val="auto"/>
        </w:rPr>
        <w:t>The payments and benefits to be provided to the Executive as set forth in this Section 5(d) are in lieu of any and all benefits otherwise provided under Section 5(e) of this Agreement or under any other agreement with the Executive or under any severance pay or change in control policy, plan or program maintained from time to time by the Company for its employees.</w:t>
      </w:r>
    </w:p>
    <w:p>
      <w:pPr>
        <w:spacing w:after="0" w:line="235" w:lineRule="exact"/>
        <w:rPr>
          <w:sz w:val="20"/>
          <w:szCs w:val="20"/>
          <w:color w:val="auto"/>
        </w:rPr>
      </w:pPr>
    </w:p>
    <w:p>
      <w:pPr>
        <w:ind w:right="500" w:firstLine="656"/>
        <w:spacing w:after="0" w:line="277" w:lineRule="auto"/>
        <w:tabs>
          <w:tab w:leader="none" w:pos="1064" w:val="left"/>
        </w:tabs>
        <w:numPr>
          <w:ilvl w:val="0"/>
          <w:numId w:val="41"/>
        </w:numPr>
        <w:rPr>
          <w:rFonts w:ascii="Arial" w:cs="Arial" w:eastAsia="Arial" w:hAnsi="Arial"/>
          <w:sz w:val="18"/>
          <w:szCs w:val="18"/>
          <w:b w:val="1"/>
          <w:bCs w:val="1"/>
          <w:color w:val="auto"/>
        </w:rPr>
      </w:pP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If the Executive experiences a Change in Control Termination, then the Executive will be entitled to the benefits described in this Section 5(e), in addition to the benefits described in Section 5(c).</w:t>
      </w:r>
    </w:p>
    <w:p>
      <w:pPr>
        <w:spacing w:after="0" w:line="224" w:lineRule="exact"/>
        <w:rPr>
          <w:rFonts w:ascii="Arial" w:cs="Arial" w:eastAsia="Arial" w:hAnsi="Arial"/>
          <w:sz w:val="18"/>
          <w:szCs w:val="18"/>
          <w:b w:val="1"/>
          <w:bCs w:val="1"/>
          <w:color w:val="auto"/>
        </w:rPr>
      </w:pPr>
    </w:p>
    <w:p>
      <w:pPr>
        <w:ind w:left="1700" w:hanging="395"/>
        <w:spacing w:after="0"/>
        <w:tabs>
          <w:tab w:leader="none" w:pos="1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Cash payments from the Company in an aggregate amount equal to:</w:t>
      </w:r>
    </w:p>
    <w:p>
      <w:pPr>
        <w:spacing w:after="0" w:line="279"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Two (2) times the Executive’s average total annual compensation for the two (2) most recently completed fiscal years; plus</w:t>
      </w:r>
    </w:p>
    <w:p>
      <w:pPr>
        <w:spacing w:after="0" w:line="291" w:lineRule="exact"/>
        <w:rPr>
          <w:sz w:val="20"/>
          <w:szCs w:val="20"/>
          <w:color w:val="auto"/>
        </w:rPr>
      </w:pPr>
    </w:p>
    <w:p>
      <w:pPr>
        <w:jc w:val="both"/>
        <w:ind w:right="280" w:firstLine="2161"/>
        <w:spacing w:after="0" w:line="264" w:lineRule="auto"/>
        <w:rPr>
          <w:sz w:val="20"/>
          <w:szCs w:val="20"/>
          <w:color w:val="auto"/>
        </w:rPr>
      </w:pPr>
      <w:r>
        <w:rPr>
          <w:rFonts w:ascii="Arial" w:cs="Arial" w:eastAsia="Arial" w:hAnsi="Arial"/>
          <w:sz w:val="18"/>
          <w:szCs w:val="18"/>
          <w:color w:val="auto"/>
        </w:rPr>
        <w:t>a pro rata portion of the target bonus that the Executive otherwise would have been eligible to receive under the Company’s bonus plan for the fiscal year during which the Executive’s employment is terminated, with such pro rata portion based on the number of complete months during the fiscal year that the Executive was employed with the Company.</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Such aggregate amount, less payroll deductions and withholdings as reasonably determined by the Company, will be paid, subject to paragraph (f), to the Executive in a single lump sum payment on the sixtieth (60th) day following the Executive’s termination of employment.</w:t>
      </w:r>
    </w:p>
    <w:p>
      <w:pPr>
        <w:spacing w:after="0" w:line="224" w:lineRule="exact"/>
        <w:rPr>
          <w:sz w:val="20"/>
          <w:szCs w:val="20"/>
          <w:color w:val="auto"/>
        </w:rPr>
      </w:pPr>
    </w:p>
    <w:p>
      <w:pPr>
        <w:ind w:firstLine="1305"/>
        <w:spacing w:after="0" w:line="259" w:lineRule="auto"/>
        <w:tabs>
          <w:tab w:leader="none" w:pos="16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Executive is eligible for and timely elects continued coverage under the Company’s Group Health Plans pursuant to COBRA, for each of the first eighteen (18) months of the COBRA continuation period, the Company will reimburse the Executive in an amount equal to the difference between the amount the Executive pays for such COBRA continuation coverage each month and the amount paid by a full-time active employee each month for the same level of coverage elected by the Executive.</w:t>
      </w:r>
    </w:p>
    <w:p>
      <w:pPr>
        <w:spacing w:after="0" w:line="240" w:lineRule="exact"/>
        <w:rPr>
          <w:rFonts w:ascii="Arial" w:cs="Arial" w:eastAsia="Arial" w:hAnsi="Arial"/>
          <w:sz w:val="18"/>
          <w:szCs w:val="18"/>
          <w:color w:val="auto"/>
        </w:rPr>
      </w:pPr>
    </w:p>
    <w:p>
      <w:pPr>
        <w:ind w:right="100" w:firstLine="1305"/>
        <w:spacing w:after="0" w:line="277" w:lineRule="auto"/>
        <w:tabs>
          <w:tab w:leader="none" w:pos="16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outstanding and unvested options to purchase shares of the Company’s common stock and other stock incentive awards granted to the Executive under the Company’s stock incentive plan will become immediately vested and exercisable.</w:t>
      </w:r>
    </w:p>
    <w:p>
      <w:pPr>
        <w:spacing w:after="0" w:line="19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Within ten (10) business days after the Executive’s termination of employment the Company will provide the Executive with a Separation Agreement and Release. As a condition to receiving the payments and benefits under this Section 5(e), the Executive must, within forty-five (45) days following receipt of the Separation Agreement and Release, sign the Separation Agreement and Release, and not revoke the Release. No amounts will be paid pursuant to this Section 5(e) if the Executive does not sign the Separation Agreement and Release within the forty-five (45) day period or revokes the Release.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payments and benefits to be provided to the Executive as set forth in this Section 5(e) are in lieu of any and all benefits otherwise provided under Section 5(d) of this Agreement or under any other agreement with the Executive or under any severance pay or change in control policy, plan or program maintained from time to time by the Company for its employees.</w:t>
      </w:r>
    </w:p>
    <w:p>
      <w:pPr>
        <w:spacing w:after="0" w:line="235" w:lineRule="exact"/>
        <w:rPr>
          <w:sz w:val="20"/>
          <w:szCs w:val="20"/>
          <w:color w:val="auto"/>
        </w:rPr>
      </w:pPr>
    </w:p>
    <w:p>
      <w:pPr>
        <w:ind w:firstLine="656"/>
        <w:spacing w:after="0" w:line="269" w:lineRule="auto"/>
        <w:tabs>
          <w:tab w:leader="none" w:pos="1044" w:val="left"/>
        </w:tabs>
        <w:numPr>
          <w:ilvl w:val="0"/>
          <w:numId w:val="43"/>
        </w:numPr>
        <w:rPr>
          <w:rFonts w:ascii="Arial" w:cs="Arial" w:eastAsia="Arial" w:hAnsi="Arial"/>
          <w:sz w:val="17"/>
          <w:szCs w:val="17"/>
          <w:b w:val="1"/>
          <w:bCs w:val="1"/>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The Company and the Executive intend that the benefits provided under this Agreement will comply, in form and operation, with an exception to or exclusion from the requirements of Code Section 409A and applicable Internal Revenue Service regulations and this Agreement will be construed and administered in a manner that is consistent with and gives effect to such intention;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any payment is or becomes subject to the requirements of Code Section 409A, this Agreement as it relates to such payment is intended to comply with the requirements of Code Section 409A and if, at the time of the Executive’s termination of employment, the Executive is a “specified employee” within the meaning of Code Section 409A, then any payment of an amount that is deferred compensation under Code Section 409A that is payable on account of a separation from service shall be suspended and not made until the first day of the calendar month following the end of the six (6) month period following the Executive’s termination of employment. For purposes of the limitations under Code Section 409A, each payment under this Agreement shall be treated as a separate payment. In no event may the Executive, directly or indirectly, designate the calendar year of any payment to be made under this Agreement. The payments to be made under Section 5 are intended to be exempt from the requirements of Code Section 409A because they are (i) non-taxable benefits, (ii) welfare benefits within the meaning of Treas. Reg. Sec. 1.409A-1(a)(5), (iii) short-term deferrals under Treas. Reg. Sec. 1.409A-1(b)(4), or (iv) payments under a separation pay plan within the meaning of Treas. Reg. Sec. 1.409A-1(b)(9).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1" w:name="page102"/>
    <w:bookmarkEnd w:id="101"/>
    <w:p>
      <w:pPr>
        <w:ind w:firstLine="656"/>
        <w:spacing w:after="0" w:line="269" w:lineRule="auto"/>
        <w:tabs>
          <w:tab w:leader="none" w:pos="1074" w:val="left"/>
        </w:tabs>
        <w:numPr>
          <w:ilvl w:val="0"/>
          <w:numId w:val="44"/>
        </w:numPr>
        <w:rPr>
          <w:rFonts w:ascii="Arial" w:cs="Arial" w:eastAsia="Arial" w:hAnsi="Arial"/>
          <w:sz w:val="17"/>
          <w:szCs w:val="17"/>
          <w:b w:val="1"/>
          <w:bCs w:val="1"/>
          <w:color w:val="auto"/>
        </w:rPr>
      </w:pPr>
      <w:r>
        <w:rPr>
          <w:rFonts w:ascii="Arial" w:cs="Arial" w:eastAsia="Arial" w:hAnsi="Arial"/>
          <w:sz w:val="17"/>
          <w:szCs w:val="17"/>
          <w:u w:val="single" w:color="auto"/>
          <w:color w:val="auto"/>
        </w:rPr>
        <w:t>Excess Parachute Payments Under Code Section 280G</w:t>
      </w:r>
      <w:r>
        <w:rPr>
          <w:rFonts w:ascii="Arial" w:cs="Arial" w:eastAsia="Arial" w:hAnsi="Arial"/>
          <w:sz w:val="17"/>
          <w:szCs w:val="17"/>
          <w:color w:val="auto"/>
        </w:rPr>
        <w:t xml:space="preserve">. Notwithstanding any other provisions of this Agreement or any other agreement, contract or understanding heretofore or hereafter entered into between the Executive and the Company, if any “payments” (including, without limitation, any benefits or transfers of property or the acceleration of the vesting of any benefits) in the nature of compensation under any arrangement that is considered contingent on a Change in Control for purposes of Code Section 280G, together with any other payments that the Executive has the right to receive from the Company or any corporation that is a member of an “affiliated group” (as defined in Code Section 1504(a) without regard to Code Section 1504(b)) of which the Company is a member, would constitute a “parachute payment” (as defined in Code Section 280G(b)(2)), such “payments” will be reduced to the largest amount as will result in no portion of such “payments” being subject to the excise tax imposed by Code Section 4999;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reduction will be made only if the aggregate amount of the payments after such reduction exceeds the difference between (i) the amount of such payments absent such reduction minus (ii) the aggregate amount of the excise tax imposed under Code Section 4999 attributable to any such excess parachute payments. The parachute payments to be reduced under this Section 5(g) will be reduced in the following order: lump sum cash severance, health plan benefits, and option acceleration.</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PROTECTION OF THE COMPANY INTERESTS.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Parties agree that the terms and conditions of the Confidential Information, Inventions Assignment, Noncompetition and Non-Solicitation Agreement (attached as Exhibit A) will apply throughout Executive’s term of employment with the Company, and will continue to apply thereafter even if the Executive’s employment is terminated, regardless of the reason for or timing of the termination, and the termination of this Agreement. If the Executive violates his obligations under this Agreement (including his obligations under the Separation Agreement and Release and Confidential Information, Inventions Assignment, Noncompetition and Non-Solicitation Agreement), the Executive is not entitled to the compensation and benefits described in Sections 5(d) and 5(e) and must repay the Company for any such amounts he has received.</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CONFLICT OF INTEREST.</w:t>
      </w:r>
    </w:p>
    <w:p>
      <w:pPr>
        <w:spacing w:after="0" w:line="2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Executive agrees not to engage in any conduct which might result in, or create the appearance of using the Executive’s position for private gain, or otherwise create a conflict of interest or the appearance of a conflict of interest with the Company. Such conduct includes without limitation having an undisclosed financial interest in any vendor or supplier of the Company, accepting payments of any kind or gifts other than of a nominal value from vendors, customers or suppliers, or having an undisclosed relationship with a family member or other individual who is employed by any entity in active or potential competition with the Company, and which creates a conflict of interest. While still employed at the Company, the Executive must not establish, operate, participate in advise or assist to establish in an manner whatsoever any business, which could or would be in competition with the Company’s business, and the Executive must not take any preliminary or preparatory steps toward establishing or operating such a business. Notwithstanding the foregoing, the Executive may own less than two percent (2%) of any class of stock or security of any company which competes with the Company listed on a national securities exchange.</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RETURN OF COMPANY PROPERTY.</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the date that the Executive’s employment with the Company ends, or at any prior time at the Company’s request, the Executive will deliver to the Company all documents, electronic and other data, manuals, pricing lists, notes, writings, customer and product lists, identification cards, access cards, keys, credit cards, computer programs and all other documents or tangible materials whatsoever, including all copies or duplicates, concerning any part of the Company’s activities or concerning any activities as a Company employee. The Executive acknowledges and agrees that all such documents and tangible materials, and copies or duplicates thereof, including the Executive’s own notes, are the Company’s property which is only entrusted to the Executive on a temporary basis. After returning these documents, data, and other property, the Executive will immediately permanently delete from any electronic media in the Executive’s possession, custody, or control (such as computers, cell phones, hand-held devices, back-up devices, zip drives, MP3 players, PDAs, etc.) or to which the Executive has access (such as remote e-mail exchange servers, back-up servers, off-site storage, etc.), all Company documents or electronically stored images, and other data or data compilations stored in any medium from which such information can be obtained. The Executive also agrees to provide the Company with list of any documents that the Executive created or is otherwise aware that are password-protected and the password(s) necessary to access such password-protected documents.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02" w:name="page103"/>
    <w:bookmarkEnd w:id="102"/>
    <w:p>
      <w:pPr>
        <w:ind w:left="200"/>
        <w:spacing w:after="0"/>
        <w:rPr>
          <w:sz w:val="20"/>
          <w:szCs w:val="20"/>
          <w:color w:val="auto"/>
        </w:rPr>
      </w:pPr>
      <w:r>
        <w:rPr>
          <w:rFonts w:ascii="Arial" w:cs="Arial" w:eastAsia="Arial" w:hAnsi="Arial"/>
          <w:sz w:val="18"/>
          <w:szCs w:val="18"/>
          <w:color w:val="auto"/>
        </w:rPr>
        <w:t>MISCELLANEOUS.</w:t>
      </w:r>
    </w:p>
    <w:p>
      <w:pPr>
        <w:spacing w:after="0" w:line="279" w:lineRule="exact"/>
        <w:rPr>
          <w:sz w:val="20"/>
          <w:szCs w:val="20"/>
          <w:color w:val="auto"/>
        </w:rPr>
      </w:pPr>
    </w:p>
    <w:p>
      <w:pPr>
        <w:ind w:left="-20" w:right="100" w:firstLine="656"/>
        <w:spacing w:after="0" w:line="277" w:lineRule="auto"/>
        <w:tabs>
          <w:tab w:leader="none" w:pos="1054" w:val="left"/>
        </w:tabs>
        <w:numPr>
          <w:ilvl w:val="0"/>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t>Clawback Forfeiture and Recoupment</w:t>
      </w:r>
      <w:r>
        <w:rPr>
          <w:rFonts w:ascii="Arial" w:cs="Arial" w:eastAsia="Arial" w:hAnsi="Arial"/>
          <w:sz w:val="18"/>
          <w:szCs w:val="18"/>
          <w:color w:val="auto"/>
        </w:rPr>
        <w:t>. Any amounts paid to the Executive under this Agreement will be subject to any “clawback,” forfeiture or recoupment policy adopted by the Company either prior to or after the date of this Agreement.</w:t>
      </w:r>
    </w:p>
    <w:p>
      <w:pPr>
        <w:spacing w:after="0" w:line="224" w:lineRule="exact"/>
        <w:rPr>
          <w:rFonts w:ascii="Arial" w:cs="Arial" w:eastAsia="Arial" w:hAnsi="Arial"/>
          <w:sz w:val="18"/>
          <w:szCs w:val="18"/>
          <w:b w:val="1"/>
          <w:bCs w:val="1"/>
          <w:color w:val="auto"/>
        </w:rPr>
      </w:pPr>
    </w:p>
    <w:p>
      <w:pPr>
        <w:ind w:left="-20" w:right="20" w:firstLine="656"/>
        <w:spacing w:after="0" w:line="264" w:lineRule="auto"/>
        <w:tabs>
          <w:tab w:leader="none" w:pos="1064" w:val="left"/>
        </w:tabs>
        <w:numPr>
          <w:ilvl w:val="0"/>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t>Compliance with Policies and Procedures</w:t>
      </w:r>
      <w:r>
        <w:rPr>
          <w:rFonts w:ascii="Arial" w:cs="Arial" w:eastAsia="Arial" w:hAnsi="Arial"/>
          <w:sz w:val="18"/>
          <w:szCs w:val="18"/>
          <w:color w:val="auto"/>
        </w:rPr>
        <w:t>. The Executive agrees to comply in all respects with the Company’s policies and procedures applicable to the Executive as such policies and procedures are amended from time to time, including without limitation the Company’s insider trading policy, code of ethics and Foreign Corrupt Practices Act Anti-Bribery Code of Compliance.</w:t>
      </w:r>
    </w:p>
    <w:p>
      <w:pPr>
        <w:spacing w:after="0" w:line="235" w:lineRule="exact"/>
        <w:rPr>
          <w:rFonts w:ascii="Arial" w:cs="Arial" w:eastAsia="Arial" w:hAnsi="Arial"/>
          <w:sz w:val="18"/>
          <w:szCs w:val="18"/>
          <w:b w:val="1"/>
          <w:bCs w:val="1"/>
          <w:color w:val="auto"/>
        </w:rPr>
      </w:pPr>
    </w:p>
    <w:p>
      <w:pPr>
        <w:ind w:left="-20" w:right="40" w:firstLine="656"/>
        <w:spacing w:after="0" w:line="259" w:lineRule="auto"/>
        <w:tabs>
          <w:tab w:leader="none" w:pos="1044" w:val="left"/>
        </w:tabs>
        <w:numPr>
          <w:ilvl w:val="0"/>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t>Assignment and Transfer</w:t>
      </w:r>
      <w:r>
        <w:rPr>
          <w:rFonts w:ascii="Arial" w:cs="Arial" w:eastAsia="Arial" w:hAnsi="Arial"/>
          <w:sz w:val="18"/>
          <w:szCs w:val="18"/>
          <w:color w:val="auto"/>
        </w:rPr>
        <w:t>. The Company’s rights and obligations under this Agreement may be assigned by the Company without the consent of the Executive. This Agreement will be binding upon and inure to the benefit of, and be enforceable by, the successors, legal representatives, and assigns of the Company. The Executive’s rights and obligations under this Agreement will not be transferable by the Executive by assignment or otherwise, and any purported assignment or transfer thereof will be void.</w:t>
      </w:r>
    </w:p>
    <w:p>
      <w:pPr>
        <w:spacing w:after="0" w:line="240" w:lineRule="exact"/>
        <w:rPr>
          <w:rFonts w:ascii="Arial" w:cs="Arial" w:eastAsia="Arial" w:hAnsi="Arial"/>
          <w:sz w:val="18"/>
          <w:szCs w:val="18"/>
          <w:b w:val="1"/>
          <w:bCs w:val="1"/>
          <w:color w:val="auto"/>
        </w:rPr>
      </w:pPr>
    </w:p>
    <w:p>
      <w:pPr>
        <w:ind w:left="-20" w:right="400" w:firstLine="656"/>
        <w:spacing w:after="0" w:line="264" w:lineRule="auto"/>
        <w:tabs>
          <w:tab w:leader="none" w:pos="1064" w:val="left"/>
        </w:tabs>
        <w:numPr>
          <w:ilvl w:val="0"/>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of the provisions of this Agreement, or the application of any such provisions to the Executive or the Company with respect to obligations hereunder, is held to be unlawful or unenforceable by any court, then the remaining portions of this Agreement will remain in full force and effect and will not be invalidated or impaired in any manner.</w:t>
      </w:r>
    </w:p>
    <w:p>
      <w:pPr>
        <w:spacing w:after="0" w:line="235" w:lineRule="exact"/>
        <w:rPr>
          <w:rFonts w:ascii="Arial" w:cs="Arial" w:eastAsia="Arial" w:hAnsi="Arial"/>
          <w:sz w:val="18"/>
          <w:szCs w:val="18"/>
          <w:b w:val="1"/>
          <w:bCs w:val="1"/>
          <w:color w:val="auto"/>
        </w:rPr>
      </w:pPr>
    </w:p>
    <w:p>
      <w:pPr>
        <w:ind w:left="-20" w:right="140" w:firstLine="656"/>
        <w:spacing w:after="0" w:line="259" w:lineRule="auto"/>
        <w:tabs>
          <w:tab w:leader="none" w:pos="1044" w:val="left"/>
        </w:tabs>
        <w:numPr>
          <w:ilvl w:val="0"/>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Neither any course of dealing nor any failure or neglect of either party in any instance to exercise any right, power or privilege under this Agreement or law will constitute a waiver of any other right, power or privilege or of the same right, power or privilege in any other instance. All waivers by either Party must be contained in a written instrument signed by the party to be charged and, in the case of the Company, by its duly authorized officer.</w:t>
      </w:r>
    </w:p>
    <w:p>
      <w:pPr>
        <w:spacing w:after="0" w:line="240" w:lineRule="exact"/>
        <w:rPr>
          <w:rFonts w:ascii="Arial" w:cs="Arial" w:eastAsia="Arial" w:hAnsi="Arial"/>
          <w:sz w:val="18"/>
          <w:szCs w:val="18"/>
          <w:b w:val="1"/>
          <w:bCs w:val="1"/>
          <w:color w:val="auto"/>
        </w:rPr>
      </w:pPr>
    </w:p>
    <w:p>
      <w:pPr>
        <w:ind w:left="-20" w:firstLine="656"/>
        <w:spacing w:after="0" w:line="264" w:lineRule="auto"/>
        <w:tabs>
          <w:tab w:leader="none" w:pos="1024" w:val="left"/>
        </w:tabs>
        <w:numPr>
          <w:ilvl w:val="0"/>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contains the entire agreement between the Executive and the Company with respect to the subject matter of this Agreement, and supersedes any and all prior agreements and understandings, oral or written, between the Executive and the Company with respect to the subject matter of this Agreement.</w:t>
      </w:r>
    </w:p>
    <w:p>
      <w:pPr>
        <w:spacing w:after="0" w:line="235" w:lineRule="exact"/>
        <w:rPr>
          <w:rFonts w:ascii="Arial" w:cs="Arial" w:eastAsia="Arial" w:hAnsi="Arial"/>
          <w:sz w:val="18"/>
          <w:szCs w:val="18"/>
          <w:b w:val="1"/>
          <w:bCs w:val="1"/>
          <w:color w:val="auto"/>
        </w:rPr>
      </w:pPr>
    </w:p>
    <w:p>
      <w:pPr>
        <w:ind w:left="-20" w:right="660" w:firstLine="656"/>
        <w:spacing w:after="0" w:line="277" w:lineRule="auto"/>
        <w:tabs>
          <w:tab w:leader="none" w:pos="1054" w:val="left"/>
        </w:tabs>
        <w:numPr>
          <w:ilvl w:val="0"/>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an agreement in writing manually signed by the Executive and an authorized representative of the Company (other than the Executive).</w:t>
      </w:r>
    </w:p>
    <w:p>
      <w:pPr>
        <w:spacing w:after="0" w:line="224" w:lineRule="exact"/>
        <w:rPr>
          <w:rFonts w:ascii="Arial" w:cs="Arial" w:eastAsia="Arial" w:hAnsi="Arial"/>
          <w:sz w:val="18"/>
          <w:szCs w:val="18"/>
          <w:b w:val="1"/>
          <w:bCs w:val="1"/>
          <w:color w:val="auto"/>
        </w:rPr>
      </w:pPr>
    </w:p>
    <w:p>
      <w:pPr>
        <w:jc w:val="both"/>
        <w:ind w:left="-20" w:right="180" w:firstLine="656"/>
        <w:spacing w:after="0" w:line="312" w:lineRule="auto"/>
        <w:tabs>
          <w:tab w:leader="none" w:pos="1064" w:val="left"/>
        </w:tabs>
        <w:numPr>
          <w:ilvl w:val="0"/>
          <w:numId w:val="45"/>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Governing Law and Venue</w:t>
      </w:r>
      <w:r>
        <w:rPr>
          <w:rFonts w:ascii="Arial" w:cs="Arial" w:eastAsia="Arial" w:hAnsi="Arial"/>
          <w:sz w:val="16"/>
          <w:szCs w:val="16"/>
          <w:color w:val="auto"/>
        </w:rPr>
        <w:t>. This Agreement will be governed by the laws of the State of Minnesota. The Executive hereby agrees to submit to personal jurisdiction in the State of Minnesota and agrees that any action relating to this Agreement or otherwise to the Executive’s employment with the Company must be venued exclusively in Anoka County District Court or the United States District Court for the District of Minnesota.</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60" w:top="301" w:right="239" w:bottom="1440" w:gutter="0" w:footer="0" w:header="0"/>
        </w:sectPr>
      </w:pPr>
    </w:p>
    <w:bookmarkStart w:id="103" w:name="page104"/>
    <w:bookmarkEnd w:id="103"/>
    <w:p>
      <w:pPr>
        <w:ind w:firstLine="656"/>
        <w:spacing w:after="0" w:line="259" w:lineRule="auto"/>
        <w:tabs>
          <w:tab w:leader="none" w:pos="1034" w:val="left"/>
        </w:tabs>
        <w:numPr>
          <w:ilvl w:val="0"/>
          <w:numId w:val="46"/>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under this Agreement shall be in writing and hand-delivered or sent by registered or certified first-class mail, postage prepaid, and shall be effective upon delivery if hand-delivered, three (3) days after mailing if mailed or one (1) day after delivery to a commercial overnight delivery service, in each case to the addresses stated at the beginning of this Agreement. These addresses may be changed at any time by like notice.</w:t>
      </w:r>
    </w:p>
    <w:p>
      <w:pPr>
        <w:spacing w:after="0" w:line="240" w:lineRule="exact"/>
        <w:rPr>
          <w:rFonts w:ascii="Arial" w:cs="Arial" w:eastAsia="Arial" w:hAnsi="Arial"/>
          <w:sz w:val="18"/>
          <w:szCs w:val="18"/>
          <w:b w:val="1"/>
          <w:bCs w:val="1"/>
          <w:color w:val="auto"/>
        </w:rPr>
      </w:pPr>
    </w:p>
    <w:p>
      <w:pPr>
        <w:ind w:right="180" w:firstLine="656"/>
        <w:spacing w:after="0" w:line="277" w:lineRule="auto"/>
        <w:tabs>
          <w:tab w:leader="none" w:pos="1044" w:val="left"/>
        </w:tabs>
        <w:numPr>
          <w:ilvl w:val="0"/>
          <w:numId w:val="46"/>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so executed will be deemed to be an original, and such counterparts will together constitute but one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and the Executive have executed this Agreement as of the date first above written.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NORTHERN TECHNOLOGIES</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4860" w:type="dxa"/>
            <w:vAlign w:val="bottom"/>
            <w:gridSpan w:val="3"/>
          </w:tcPr>
          <w:p>
            <w:pPr>
              <w:spacing w:after="0"/>
              <w:rPr>
                <w:sz w:val="20"/>
                <w:szCs w:val="20"/>
                <w:color w:val="auto"/>
              </w:rPr>
            </w:pPr>
            <w:r>
              <w:rPr>
                <w:rFonts w:ascii="Arial" w:cs="Arial" w:eastAsia="Arial" w:hAnsi="Arial"/>
                <w:sz w:val="18"/>
                <w:szCs w:val="18"/>
                <w:color w:val="auto"/>
              </w:rPr>
              <w:t>INTERNATIONAL CORPORATION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rPr>
              <w:t>EXECUTIVE</w:t>
            </w:r>
          </w:p>
        </w:tc>
      </w:tr>
      <w:tr>
        <w:trPr>
          <w:trHeight w:val="608"/>
        </w:trPr>
        <w:tc>
          <w:tcPr>
            <w:tcW w:w="4860" w:type="dxa"/>
            <w:vAlign w:val="bottom"/>
            <w:gridSpan w:val="3"/>
          </w:tcPr>
          <w:p>
            <w:pPr>
              <w:spacing w:after="0"/>
              <w:rPr>
                <w:sz w:val="20"/>
                <w:szCs w:val="20"/>
                <w:color w:val="auto"/>
              </w:rPr>
            </w:pPr>
            <w:r>
              <w:rPr>
                <w:rFonts w:ascii="Arial" w:cs="Arial" w:eastAsia="Arial" w:hAnsi="Arial"/>
                <w:sz w:val="18"/>
                <w:szCs w:val="18"/>
                <w:color w:val="auto"/>
              </w:rPr>
              <w:t>By: /s/ Richard J. Nigon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rPr>
              <w:t>/s/ G. Patrick Lynch</w:t>
            </w:r>
          </w:p>
        </w:tc>
      </w:tr>
      <w:tr>
        <w:trPr>
          <w:trHeight w:val="237"/>
        </w:trPr>
        <w:tc>
          <w:tcPr>
            <w:tcW w:w="3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 Patrick Lynch</w:t>
            </w:r>
          </w:p>
        </w:tc>
        <w:tc>
          <w:tcPr>
            <w:tcW w:w="440" w:type="dxa"/>
            <w:vAlign w:val="bottom"/>
          </w:tcPr>
          <w:p>
            <w:pPr>
              <w:spacing w:after="0"/>
              <w:rPr>
                <w:sz w:val="20"/>
                <w:szCs w:val="20"/>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Name: Richard J. Nigon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w w:val="90"/>
              </w:rPr>
              <w:t>Date: November 18, 2011</w:t>
            </w: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Title: Chairman of Audit and Compensation Committee</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Date: November 18, 2011</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320"/>
          </w:cols>
          <w:pgMar w:left="240" w:top="30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INVENTIONS ASSIGNMENT, NONCOMPETITION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NON-SOLICITATION AGREEMENT</w:t>
      </w:r>
    </w:p>
    <w:p>
      <w:pPr>
        <w:spacing w:after="0" w:line="238"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This Agreement (together with Attachment A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this 18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2011, and is made by and between NORTHERN TECHNOLOGIES INTERNATIONAL CORPORATION, a Delaware corporation, on behalf of itself, its subsidiaries and affiliates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with its principal place of business at 4201 Woodland Road, Circle Pines, MN 55014, and G. PATRICK LYNCH, (the “</w:t>
      </w:r>
      <w:r>
        <w:rPr>
          <w:rFonts w:ascii="Arial" w:cs="Arial" w:eastAsia="Arial" w:hAnsi="Arial"/>
          <w:sz w:val="18"/>
          <w:szCs w:val="18"/>
          <w:u w:val="single" w:color="auto"/>
          <w:color w:val="auto"/>
        </w:rPr>
        <w:t>Executive</w:t>
      </w:r>
      <w:r>
        <w:rPr>
          <w:rFonts w:ascii="Arial" w:cs="Arial" w:eastAsia="Arial" w:hAnsi="Arial"/>
          <w:sz w:val="18"/>
          <w:szCs w:val="18"/>
          <w:color w:val="auto"/>
        </w:rPr>
        <w:t>”) (hereafter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is in the business of developing, producing and commercializing environmentally beneficial products and services in over fifty-five (55) countries either directly or through a network of joint ventures, independent distributors and agents.</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WHEREAS, the Company has expended considerable time, effort and resources in the development of its trade secrets, confidential information, and customer goodwill, and in the recruitment and training of its workforce. The success of the Company is dependent in large measure on the preservation of its trade secrets, confidential information, customer goodwill and workforce, and in the prevention of unfair competition.</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WHEREAS, the Executive will be performing services for the Company in a confidential capacity and will be entrusted by the Company with its valuable assets including proprietary information, trade secrets, customer goodwill and its workforce. The Executive recognizes the importance of protecting these Company assets.</w:t>
      </w:r>
    </w:p>
    <w:p>
      <w:pPr>
        <w:spacing w:after="0" w:line="20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WHEREAS, the Company requires the Executive to agree and the Executive hereby does agree, in exchange for the promise of continued at-will employment with the Company and benefits provided to the Executive under his Executive Employment Agreement, dated November 18, 2011, to reasonable restrictions on the Executive’s activities during and for a reasonable period of time after the Executive’s termination of employment, for the purpose of ensuring the preservation and protection of the Company’s assets, including its intellectual property, confidential information, trade secrets, physical assets, customer goodwill and its highly trained workforce.</w:t>
      </w:r>
    </w:p>
    <w:p>
      <w:pPr>
        <w:spacing w:after="0" w:line="21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WHEREAS, the Executive acknowledges and understands that this is an enforceable contract that the Executive must read and sign as a condition of employment with the Company. The Executive understands that this Agreement applies regardless of whether there are any changes in the Executive’s job duties, job title, and location of work or division assignment.</w:t>
      </w:r>
    </w:p>
    <w:p>
      <w:pPr>
        <w:spacing w:after="0" w:line="20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NOW THEREFORE, in consideration of the Executive’s continued at-will employment with the Company and benefits provided to the Executive under his Executive Employment Agreement, dated November 18, 2011, the sufficiency of which is hereby acknowledged, the Executive and the Company agrees as follows.</w:t>
      </w:r>
    </w:p>
    <w:p>
      <w:pPr>
        <w:spacing w:after="0" w:line="235"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definitions apply to this Agreement:</w:t>
      </w:r>
    </w:p>
    <w:p>
      <w:pPr>
        <w:spacing w:after="0" w:line="279" w:lineRule="exact"/>
        <w:rPr>
          <w:sz w:val="20"/>
          <w:szCs w:val="20"/>
          <w:color w:val="auto"/>
        </w:rPr>
      </w:pPr>
    </w:p>
    <w:p>
      <w:pPr>
        <w:ind w:right="240" w:firstLine="656"/>
        <w:spacing w:after="0" w:line="286" w:lineRule="auto"/>
        <w:tabs>
          <w:tab w:leader="none" w:pos="10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Product</w:t>
      </w:r>
      <w:r>
        <w:rPr>
          <w:rFonts w:ascii="Arial" w:cs="Arial" w:eastAsia="Arial" w:hAnsi="Arial"/>
          <w:sz w:val="17"/>
          <w:szCs w:val="17"/>
          <w:color w:val="auto"/>
        </w:rPr>
        <w:t>” means any product, product under development, product line, service, technology or product concept that the Company has investigated, studied, conceived, designed, developed (or is under development), manufactured, marketed, sold, or regarding which the Company has conducted or acquired research and development prior to or during the term of the Executive’s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ind w:left="-60" w:right="40" w:firstLine="656"/>
        <w:spacing w:after="0" w:line="264" w:lineRule="auto"/>
        <w:tabs>
          <w:tab w:leader="none" w:pos="10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Conflicting Product</w:t>
      </w:r>
      <w:r>
        <w:rPr>
          <w:rFonts w:ascii="Arial" w:cs="Arial" w:eastAsia="Arial" w:hAnsi="Arial"/>
          <w:sz w:val="18"/>
          <w:szCs w:val="18"/>
          <w:color w:val="auto"/>
        </w:rPr>
        <w:t>” means any product, product line, technology, product concept or service that is the same or similar, competes with, may be substituted for, replaces, resembles, performs any of the same or similar functions, is used or intended to be used for any of the same purposes as a Company Product.</w:t>
      </w:r>
    </w:p>
    <w:p>
      <w:pPr>
        <w:spacing w:after="0" w:line="235" w:lineRule="exact"/>
        <w:rPr>
          <w:rFonts w:ascii="Arial" w:cs="Arial" w:eastAsia="Arial" w:hAnsi="Arial"/>
          <w:sz w:val="18"/>
          <w:szCs w:val="18"/>
          <w:color w:val="auto"/>
        </w:rPr>
      </w:pPr>
    </w:p>
    <w:p>
      <w:pPr>
        <w:ind w:left="-60" w:right="20" w:firstLine="656"/>
        <w:spacing w:after="0" w:line="259" w:lineRule="auto"/>
        <w:tabs>
          <w:tab w:leader="none" w:pos="10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Conflicting Organization</w:t>
      </w:r>
      <w:r>
        <w:rPr>
          <w:rFonts w:ascii="Arial" w:cs="Arial" w:eastAsia="Arial" w:hAnsi="Arial"/>
          <w:sz w:val="18"/>
          <w:szCs w:val="18"/>
          <w:color w:val="auto"/>
        </w:rPr>
        <w:t>” means any person (including the Executive) or entity, and any parent, subsidiary, partner, or affiliate of any such person or entity, who or that engages in or is planning within one (1) year to become engaged in, the creation, development, design, production, manufacture, promotion, sale, marketing, support or service of a Conflicting Product anywhere in the world where the Company sells, markets or has implemented a plan to sell or market any of its products or services.</w:t>
      </w:r>
    </w:p>
    <w:p>
      <w:pPr>
        <w:spacing w:after="0" w:line="240" w:lineRule="exact"/>
        <w:rPr>
          <w:rFonts w:ascii="Arial" w:cs="Arial" w:eastAsia="Arial" w:hAnsi="Arial"/>
          <w:sz w:val="18"/>
          <w:szCs w:val="18"/>
          <w:color w:val="auto"/>
        </w:rPr>
      </w:pPr>
    </w:p>
    <w:p>
      <w:pPr>
        <w:jc w:val="both"/>
        <w:ind w:left="-60" w:right="100" w:firstLine="656"/>
        <w:spacing w:after="0" w:line="276" w:lineRule="auto"/>
        <w:tabs>
          <w:tab w:leader="none" w:pos="1014"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Invention</w:t>
      </w:r>
      <w:r>
        <w:rPr>
          <w:rFonts w:ascii="Arial" w:cs="Arial" w:eastAsia="Arial" w:hAnsi="Arial"/>
          <w:sz w:val="17"/>
          <w:szCs w:val="17"/>
          <w:color w:val="auto"/>
        </w:rPr>
        <w:t>” means any invention, discovery, improvement, technology, process, idea, design, concept, patent application, prototype, software code, documentation or work of authorship, whether or not in writing or reduced to practice and whether or not patentable or copyrightable, made, authored or conceived by the Executive whether by the Executive’s individual efforts or in connection with the efforts of others, and that (i) relates in any way to the Company’s business, products or processes, past, present, anticipated or under development, or (ii) results in any way from the Executive’s employment by the Company, or (iii) uses the Company’s equipment, supplies, facilities, trade secrets, or confidential information.</w:t>
      </w:r>
    </w:p>
    <w:p>
      <w:pPr>
        <w:spacing w:after="0" w:line="226" w:lineRule="exact"/>
        <w:rPr>
          <w:rFonts w:ascii="Arial" w:cs="Arial" w:eastAsia="Arial" w:hAnsi="Arial"/>
          <w:sz w:val="17"/>
          <w:szCs w:val="17"/>
          <w:color w:val="auto"/>
        </w:rPr>
      </w:pPr>
    </w:p>
    <w:p>
      <w:pPr>
        <w:ind w:left="-60" w:firstLine="656"/>
        <w:spacing w:after="0" w:line="257" w:lineRule="auto"/>
        <w:tabs>
          <w:tab w:leader="none" w:pos="10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w:t>
      </w:r>
      <w:r>
        <w:rPr>
          <w:rFonts w:ascii="Arial" w:cs="Arial" w:eastAsia="Arial" w:hAnsi="Arial"/>
          <w:sz w:val="18"/>
          <w:szCs w:val="18"/>
          <w:color w:val="auto"/>
        </w:rPr>
        <w:t>” means information that the Company uses in its business and that is the subject of reasonable efforts by the Company to maintain its secrecy, including without limitation, any formula, pattern, compilation, program, device, method, technique, process, concept, design, or idea that derives independent economic value, actual or potential, from not being generally known to and not being readily ascertainable by proper means by other persons who can obtain economic value from its disclosure or use, and is the subject of efforts that are reasonable under the circumstances to maintain its secrecy.</w:t>
      </w:r>
    </w:p>
    <w:p>
      <w:pPr>
        <w:spacing w:after="0" w:line="242" w:lineRule="exact"/>
        <w:rPr>
          <w:rFonts w:ascii="Arial" w:cs="Arial" w:eastAsia="Arial" w:hAnsi="Arial"/>
          <w:sz w:val="18"/>
          <w:szCs w:val="18"/>
          <w:color w:val="auto"/>
        </w:rPr>
      </w:pPr>
    </w:p>
    <w:p>
      <w:pPr>
        <w:jc w:val="both"/>
        <w:ind w:left="-60" w:right="60" w:firstLine="656"/>
        <w:spacing w:after="0" w:line="264" w:lineRule="auto"/>
        <w:tabs>
          <w:tab w:leader="none" w:pos="9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proprietary, confidential or competitively sensitive information and materials that are the property of or relate to the Company and which derives independent economic value from not being generally known or ascertainable by proper means but which does not constitute one or more Trade Secrets as described above, including without limitation:</w:t>
      </w:r>
    </w:p>
    <w:p>
      <w:pPr>
        <w:spacing w:after="0" w:line="235" w:lineRule="exact"/>
        <w:rPr>
          <w:rFonts w:ascii="Arial" w:cs="Arial" w:eastAsia="Arial" w:hAnsi="Arial"/>
          <w:sz w:val="18"/>
          <w:szCs w:val="18"/>
          <w:color w:val="auto"/>
        </w:rPr>
      </w:pPr>
    </w:p>
    <w:p>
      <w:pPr>
        <w:ind w:left="120" w:right="120" w:firstLine="1287"/>
        <w:spacing w:after="0" w:line="308" w:lineRule="auto"/>
        <w:tabs>
          <w:tab w:leader="none" w:pos="1802" w:val="left"/>
        </w:tabs>
        <w:numPr>
          <w:ilvl w:val="1"/>
          <w:numId w:val="49"/>
        </w:numPr>
        <w:rPr>
          <w:rFonts w:ascii="Arial" w:cs="Arial" w:eastAsia="Arial" w:hAnsi="Arial"/>
          <w:sz w:val="17"/>
          <w:szCs w:val="17"/>
          <w:color w:val="auto"/>
        </w:rPr>
      </w:pPr>
      <w:r>
        <w:rPr>
          <w:rFonts w:ascii="Arial" w:cs="Arial" w:eastAsia="Arial" w:hAnsi="Arial"/>
          <w:sz w:val="17"/>
          <w:szCs w:val="17"/>
          <w:color w:val="auto"/>
        </w:rPr>
        <w:t>inventions, designs, discoveries, works of authorship, improvements or ideas whether or not patentable or copyrightable, methods, processes, techniques, shop practices, formulae, compounds, or compositions developed or otherwise possessed by Company;</w:t>
      </w:r>
    </w:p>
    <w:p>
      <w:pPr>
        <w:spacing w:after="0" w:line="200" w:lineRule="exact"/>
        <w:rPr>
          <w:rFonts w:ascii="Arial" w:cs="Arial" w:eastAsia="Arial" w:hAnsi="Arial"/>
          <w:sz w:val="17"/>
          <w:szCs w:val="17"/>
          <w:color w:val="auto"/>
        </w:rPr>
      </w:pPr>
    </w:p>
    <w:p>
      <w:pPr>
        <w:ind w:left="120" w:right="400" w:firstLine="1287"/>
        <w:spacing w:after="0" w:line="308" w:lineRule="auto"/>
        <w:tabs>
          <w:tab w:leader="none" w:pos="1852"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subject matter of Company’s patents, design patents, copyrights, operating instructions and other industrial property to the extent that such information is unavailable to the public and/or is in incomplete stages of design or research and development;</w:t>
      </w:r>
    </w:p>
    <w:p>
      <w:pPr>
        <w:spacing w:after="0" w:line="200" w:lineRule="exact"/>
        <w:rPr>
          <w:rFonts w:ascii="Arial" w:cs="Arial" w:eastAsia="Arial" w:hAnsi="Arial"/>
          <w:sz w:val="17"/>
          <w:szCs w:val="17"/>
          <w:color w:val="auto"/>
        </w:rPr>
      </w:pPr>
    </w:p>
    <w:p>
      <w:pPr>
        <w:ind w:left="120" w:right="700" w:firstLine="1287"/>
        <w:spacing w:after="0" w:line="277" w:lineRule="auto"/>
        <w:tabs>
          <w:tab w:leader="none" w:pos="190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identity of the Company’s past, present and prospective customers, suppliers or business contacts, and all documents, information and materials that concern or relate to such customers, suppliers or business contacts;</w:t>
      </w:r>
    </w:p>
    <w:p>
      <w:pPr>
        <w:spacing w:after="0" w:line="224" w:lineRule="exact"/>
        <w:rPr>
          <w:rFonts w:ascii="Arial" w:cs="Arial" w:eastAsia="Arial" w:hAnsi="Arial"/>
          <w:sz w:val="18"/>
          <w:szCs w:val="18"/>
          <w:color w:val="auto"/>
        </w:rPr>
      </w:pPr>
    </w:p>
    <w:p>
      <w:pPr>
        <w:ind w:left="120" w:right="80" w:firstLine="1287"/>
        <w:spacing w:after="0" w:line="259" w:lineRule="auto"/>
        <w:tabs>
          <w:tab w:leader="none" w:pos="1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organizational and operational information such as marketing information, sales information, advertising information, techniques, strategies, business plans, product development information, delivery schedules, market research, forecasts, personnel and salary data, methods of operation, financial data, statements and projections, pricing information, costs, sales, budgets, profits and merger, acquisition, expansion or divestiture information;</w:t>
      </w:r>
    </w:p>
    <w:p>
      <w:pPr>
        <w:spacing w:after="0" w:line="240" w:lineRule="exact"/>
        <w:rPr>
          <w:rFonts w:ascii="Arial" w:cs="Arial" w:eastAsia="Arial" w:hAnsi="Arial"/>
          <w:sz w:val="18"/>
          <w:szCs w:val="18"/>
          <w:color w:val="auto"/>
        </w:rPr>
      </w:pPr>
    </w:p>
    <w:p>
      <w:pPr>
        <w:ind w:left="120" w:right="300" w:firstLine="1287"/>
        <w:spacing w:after="0" w:line="264" w:lineRule="auto"/>
        <w:tabs>
          <w:tab w:leader="none" w:pos="184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technical information including that relating to manufacturing processes, product preparation, presentation, packaging, delivery methods, quality control measures and processes, product specifications, improvements, discoveries, developments, designs, inventions, and other proprietary processes;</w:t>
      </w:r>
    </w:p>
    <w:p>
      <w:pPr>
        <w:spacing w:after="0" w:line="235" w:lineRule="exact"/>
        <w:rPr>
          <w:rFonts w:ascii="Arial" w:cs="Arial" w:eastAsia="Arial" w:hAnsi="Arial"/>
          <w:sz w:val="18"/>
          <w:szCs w:val="18"/>
          <w:color w:val="auto"/>
        </w:rPr>
      </w:pPr>
    </w:p>
    <w:p>
      <w:pPr>
        <w:ind w:left="1880" w:hanging="473"/>
        <w:spacing w:after="0"/>
        <w:tabs>
          <w:tab w:leader="none" w:pos="1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information disclosed to the Executive as part of any training process;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300" w:top="301" w:right="299" w:bottom="1440" w:gutter="0" w:footer="0" w:header="0"/>
        </w:sectPr>
      </w:pPr>
    </w:p>
    <w:bookmarkStart w:id="106" w:name="page107"/>
    <w:bookmarkEnd w:id="106"/>
    <w:p>
      <w:pPr>
        <w:ind w:left="180" w:right="40" w:firstLine="1287"/>
        <w:spacing w:after="0" w:line="264" w:lineRule="auto"/>
        <w:tabs>
          <w:tab w:leader="none" w:pos="200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document marked “Confidential,” or any information which the Executive has been told is confidential or which the Executive might reasonably expect Company would regard as confidential, or any information which has been given Company in confidence by customers, suppliers or other persons.</w:t>
      </w:r>
    </w:p>
    <w:p>
      <w:pPr>
        <w:spacing w:after="0" w:line="235" w:lineRule="exact"/>
        <w:rPr>
          <w:rFonts w:ascii="Arial" w:cs="Arial" w:eastAsia="Arial" w:hAnsi="Arial"/>
          <w:sz w:val="18"/>
          <w:szCs w:val="18"/>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COMPLIANCE WITH PRIOR AGREEMENTS AND DUTIES.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Executive represents and warrants to the Company that the Executive is not currently subject to a non-competition, confidentiality or other such agreement with a former employer which prohibits or restricts the Executive from working for the Company, or performing the services which the Company would like the Executive to perform. Further, the Executive represents and warrants to the Company that the Executive has not brought and will not bring to the Company any proprietary information, customer lists, trade secrets, confidential information, or any other property which belongs to any of the Executive’s former employers. The Executive agrees and understands that the Company does not want the Executive to utilize any such confidential or proprietary information, trade secrets, or property on the Company’s behalf. The Executive further agrees and understands that any misrepresentation, including, but not limited to a misrepresentation that the Executive is not subject to a non-competition, confidentiality or other such agreement with a former employer which prohibits or restricting the Executive from working for the Company, may result in the termination of the Executive’s employment with the Company, regardless of when the Company discovers such misrepresentation.</w:t>
      </w:r>
    </w:p>
    <w:p>
      <w:pPr>
        <w:spacing w:after="0" w:line="236"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PROTECTION OF TRADE SECRETS AND CONFIDENTIAL INFORMATION.</w:t>
      </w:r>
    </w:p>
    <w:p>
      <w:pPr>
        <w:spacing w:after="0" w:line="25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Executive agrees to hold the Company’s Trade Secrets and Confidential Information in the strictest confidence during the Executive’s employment with the Company and to the fullest extent permitted by law after the Executive’s employment relationship with the Company is voluntarily or involuntarily terminated. To this end:</w:t>
      </w:r>
    </w:p>
    <w:p>
      <w:pPr>
        <w:spacing w:after="0" w:line="235" w:lineRule="exact"/>
        <w:rPr>
          <w:sz w:val="20"/>
          <w:szCs w:val="20"/>
          <w:color w:val="auto"/>
        </w:rPr>
      </w:pPr>
    </w:p>
    <w:p>
      <w:pPr>
        <w:ind w:right="260" w:firstLine="656"/>
        <w:spacing w:after="0" w:line="277" w:lineRule="auto"/>
        <w:tabs>
          <w:tab w:leader="none" w:pos="10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Executive will not make or permit copies to be made of Trade Secrets and Confidential Information, except as necessary to carry out the Executive’s duties for the Company;</w:t>
      </w:r>
    </w:p>
    <w:p>
      <w:pPr>
        <w:spacing w:after="0" w:line="224" w:lineRule="exact"/>
        <w:rPr>
          <w:rFonts w:ascii="Arial" w:cs="Arial" w:eastAsia="Arial" w:hAnsi="Arial"/>
          <w:sz w:val="18"/>
          <w:szCs w:val="18"/>
          <w:color w:val="auto"/>
        </w:rPr>
      </w:pPr>
    </w:p>
    <w:p>
      <w:pPr>
        <w:ind w:right="260" w:firstLine="656"/>
        <w:spacing w:after="0" w:line="277" w:lineRule="auto"/>
        <w:tabs>
          <w:tab w:leader="none" w:pos="10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Executive will not disclose any Trade Secret or Confidential Information to any person except other Company employees with a need to know the information;</w:t>
      </w:r>
    </w:p>
    <w:p>
      <w:pPr>
        <w:spacing w:after="0" w:line="224" w:lineRule="exact"/>
        <w:rPr>
          <w:rFonts w:ascii="Arial" w:cs="Arial" w:eastAsia="Arial" w:hAnsi="Arial"/>
          <w:sz w:val="18"/>
          <w:szCs w:val="18"/>
          <w:color w:val="auto"/>
        </w:rPr>
      </w:pPr>
    </w:p>
    <w:p>
      <w:pPr>
        <w:ind w:right="260" w:firstLine="656"/>
        <w:spacing w:after="0" w:line="277" w:lineRule="auto"/>
        <w:tabs>
          <w:tab w:leader="none" w:pos="10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Executive will take all reasonable precautions to prevent the inadvertent disclosure of Trade Secrets and Confidential Information to any unauthorized person; and</w:t>
      </w:r>
    </w:p>
    <w:p>
      <w:pPr>
        <w:spacing w:after="0" w:line="224" w:lineRule="exact"/>
        <w:rPr>
          <w:rFonts w:ascii="Arial" w:cs="Arial" w:eastAsia="Arial" w:hAnsi="Arial"/>
          <w:sz w:val="18"/>
          <w:szCs w:val="18"/>
          <w:color w:val="auto"/>
        </w:rPr>
      </w:pPr>
    </w:p>
    <w:p>
      <w:pPr>
        <w:ind w:right="20" w:firstLine="656"/>
        <w:spacing w:after="0" w:line="277" w:lineRule="auto"/>
        <w:tabs>
          <w:tab w:leader="none" w:pos="10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Executive will acknowledge that the Company is the owner of the Company’s Trade Secrets and Confidential Information and agrees not to contest any such ownership rights of the Company, either during or after the Executive’s employment with the Company.</w:t>
      </w:r>
    </w:p>
    <w:p>
      <w:pPr>
        <w:spacing w:after="0" w:line="224" w:lineRule="exact"/>
        <w:rPr>
          <w:rFonts w:ascii="Arial" w:cs="Arial" w:eastAsia="Arial" w:hAnsi="Arial"/>
          <w:sz w:val="18"/>
          <w:szCs w:val="18"/>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ASSIGNMENT OF INVENTIONS.</w:t>
      </w:r>
    </w:p>
    <w:p>
      <w:pPr>
        <w:spacing w:after="0" w:line="279" w:lineRule="exact"/>
        <w:rPr>
          <w:rFonts w:ascii="Arial" w:cs="Arial" w:eastAsia="Arial" w:hAnsi="Arial"/>
          <w:sz w:val="18"/>
          <w:szCs w:val="18"/>
          <w:b w:val="1"/>
          <w:bCs w:val="1"/>
          <w:color w:val="auto"/>
        </w:rPr>
      </w:pPr>
    </w:p>
    <w:p>
      <w:pPr>
        <w:jc w:val="both"/>
        <w:ind w:right="20" w:firstLine="656"/>
        <w:spacing w:after="0" w:line="288" w:lineRule="auto"/>
        <w:tabs>
          <w:tab w:leader="none" w:pos="1064" w:val="left"/>
        </w:tabs>
        <w:numPr>
          <w:ilvl w:val="1"/>
          <w:numId w:val="54"/>
        </w:numPr>
        <w:rPr>
          <w:rFonts w:ascii="Arial" w:cs="Arial" w:eastAsia="Arial" w:hAnsi="Arial"/>
          <w:sz w:val="16"/>
          <w:szCs w:val="16"/>
          <w:color w:val="auto"/>
        </w:rPr>
      </w:pPr>
      <w:r>
        <w:rPr>
          <w:rFonts w:ascii="Arial" w:cs="Arial" w:eastAsia="Arial" w:hAnsi="Arial"/>
          <w:sz w:val="16"/>
          <w:szCs w:val="16"/>
          <w:color w:val="auto"/>
        </w:rPr>
        <w:t>During the period of employment and for the six (6) months thereafter, the Executive will promptly and fully disclose to the Company, and will hold in trust for the Company’s sole right and benefit, any Invention that the Executive makes, conceives or reduces to practice, or causes to made, conceived or reduced to practice, either alone or in conjunction with others, whether made during the working hours of the Company or on the Executive’s own time.</w:t>
      </w:r>
    </w:p>
    <w:p>
      <w:pPr>
        <w:spacing w:after="0" w:line="268" w:lineRule="auto"/>
        <w:rPr>
          <w:rFonts w:ascii="Arial" w:cs="Arial" w:eastAsia="Arial" w:hAnsi="Arial"/>
          <w:sz w:val="16"/>
          <w:szCs w:val="16"/>
          <w:color w:val="auto"/>
        </w:rPr>
      </w:pPr>
      <w:r>
        <w:rPr>
          <w:rFonts w:ascii="Arial" w:cs="Arial" w:eastAsia="Arial" w:hAnsi="Arial"/>
          <w:sz w:val="17"/>
          <w:szCs w:val="17"/>
          <w:color w:val="auto"/>
        </w:rPr>
        <w:t>The Executive will: (i) assign and hereby does assigns to the Company all of the Executive’s right, title and interest in and to all such Inventions, any applications for patents, copyrights or any other registration of intellectual property in any country covering or relating to any such Invention, and any patents, copyrights or other intellectual property registration granted to the Executive or the Company; and (ii) acknowledge and deliver promptly to the Company any written instruments, and perform any other acts necessary in the Company’s opinion to preserve property rights in any Invention against forfeiture, abandonment or loss, to obtain and maintain letters patent and/or copyrights or other registration of any intellectual property rights on any such Invention, and to vest the entire right and title to the Invention and related intellectual property in the Company. The Executive agrees to perform promptly (without charge to the Company but at the expense of the Company) all such acts as may be necessary in the Company’s opinion to preserve all patents and/or copyrights or other intellectual property covering the Inventions and to enable the Company to obtain the sole right, title and interest in all such Inventions, including without limitation the execution of assignments or patent prosecution documentation and appearing as a witness in any action brought in connection with this Agreement.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7" w:name="page108"/>
    <w:bookmarkEnd w:id="107"/>
    <w:p>
      <w:pPr>
        <w:ind w:right="40" w:firstLine="656"/>
        <w:spacing w:after="0" w:line="291" w:lineRule="auto"/>
        <w:tabs>
          <w:tab w:leader="none" w:pos="107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Parties agree that this Section 4 does not apply to any Invention for which no equipment, supplies, facility or trade secret information of the Company was used and which was developed entirely on the Executive’s own time, and that does not: (i) relate directly to the Company’s business or to the Company’s actual or demonstrably anticipated research or development, or (ii) result from any work the Executive performed for the Company. All inventions that the Executive has already conceived or reduced to practice that the Executive claims to be excluded from the scope of this Agreement are listed on Attachment A (if none, write “none”). The Executive represents that, except as disclosed on Attachment A to this Agreement, as of the date of this Agreement, the Executive has no rights under and will make no claims against the Company with respect to any inventions, discoveries, improvements, ideas or works of authorship which would be Inventions if made, conceived, authored or acquired by the Executive during the term of this Agreement.</w:t>
      </w:r>
    </w:p>
    <w:p>
      <w:pPr>
        <w:spacing w:after="0" w:line="221" w:lineRule="exact"/>
        <w:rPr>
          <w:rFonts w:ascii="Arial" w:cs="Arial" w:eastAsia="Arial" w:hAnsi="Arial"/>
          <w:sz w:val="16"/>
          <w:szCs w:val="16"/>
          <w:color w:val="auto"/>
        </w:rPr>
      </w:pPr>
    </w:p>
    <w:p>
      <w:pPr>
        <w:ind w:right="20" w:firstLine="656"/>
        <w:spacing w:after="0" w:line="255" w:lineRule="auto"/>
        <w:tabs>
          <w:tab w:leader="none" w:pos="10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Executive acknowledges that any documents, drawings, computer software or other work of authorship prepared by the Executive within the scope of the Executive’s employment is a “work made for hire” under U.S. copyright laws (17 U.S.C. § 101 (1976)), and that, accordingly, the Company exclusively owns all copyright rights in such works of authorship. For purposes of this Agreement, “scope of employment” means the work of authorship (i) relates to any subject matter pertaining to the Executive’s employment; (ii) relates to or is directly or indirectly connected with the existing or reasonably foreseeable business, products, projects or Trade Secrets or Confidential Information of the Company; or (iii) involves the use of any time, material or facility of the Company.</w:t>
      </w:r>
    </w:p>
    <w:p>
      <w:pPr>
        <w:spacing w:after="0" w:line="220" w:lineRule="exact"/>
        <w:rPr>
          <w:sz w:val="20"/>
          <w:szCs w:val="20"/>
          <w:color w:val="auto"/>
        </w:rPr>
      </w:pPr>
    </w:p>
    <w:p>
      <w:pPr>
        <w:ind w:left="820" w:right="220"/>
        <w:spacing w:after="0" w:line="259" w:lineRule="auto"/>
        <w:rPr>
          <w:sz w:val="20"/>
          <w:szCs w:val="20"/>
          <w:color w:val="auto"/>
        </w:rPr>
      </w:pPr>
      <w:r>
        <w:rPr>
          <w:rFonts w:ascii="Arial" w:cs="Arial" w:eastAsia="Arial" w:hAnsi="Arial"/>
          <w:sz w:val="18"/>
          <w:szCs w:val="18"/>
          <w:i w:val="1"/>
          <w:iCs w:val="1"/>
          <w:u w:val="single" w:color="auto"/>
          <w:color w:val="auto"/>
        </w:rPr>
        <w:t>Note</w:t>
      </w:r>
      <w:r>
        <w:rPr>
          <w:rFonts w:ascii="Arial" w:cs="Arial" w:eastAsia="Arial" w:hAnsi="Arial"/>
          <w:sz w:val="18"/>
          <w:szCs w:val="18"/>
          <w:color w:val="auto"/>
        </w:rPr>
        <w:t>. Pursuant to Minnesota Statute § 181.78, this Section 4 does not apply to an Invention for which no equipment, supplies, facility, or trade</w:t>
      </w:r>
      <w:r>
        <w:rPr>
          <w:rFonts w:ascii="Arial" w:cs="Arial" w:eastAsia="Arial" w:hAnsi="Arial"/>
          <w:sz w:val="18"/>
          <w:szCs w:val="18"/>
          <w:i w:val="1"/>
          <w:iCs w:val="1"/>
          <w:color w:val="auto"/>
        </w:rPr>
        <w:t xml:space="preserve"> </w:t>
      </w:r>
      <w:r>
        <w:rPr>
          <w:rFonts w:ascii="Arial" w:cs="Arial" w:eastAsia="Arial" w:hAnsi="Arial"/>
          <w:sz w:val="18"/>
          <w:szCs w:val="18"/>
          <w:color w:val="auto"/>
        </w:rPr>
        <w:t>secret information of the Company was used and which was developed entirely on the Executive’s own time, and (i) which does not relate (I) directly to the business of the Company or (II) to the Company’s actual or demonstrably anticipated research or development, or (ii) which does not result from any work performed by the Executive for the Company.</w:t>
      </w:r>
    </w:p>
    <w:p>
      <w:pPr>
        <w:spacing w:after="0" w:line="241" w:lineRule="exact"/>
        <w:rPr>
          <w:sz w:val="20"/>
          <w:szCs w:val="20"/>
          <w:color w:val="auto"/>
        </w:rPr>
      </w:pPr>
    </w:p>
    <w:p>
      <w:pPr>
        <w:ind w:right="200" w:firstLine="656"/>
        <w:spacing w:after="0" w:line="264" w:lineRule="auto"/>
        <w:tabs>
          <w:tab w:leader="none" w:pos="1074"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event of any dispute, arbitration or litigation concerning whether an invention, improvement or discovery made or conceived by the Executive is the property of the Company, such invention, improvement or discovery will be presumed the property of the Company and the Executive will bear the burden of establishing otherwise.</w:t>
      </w:r>
    </w:p>
    <w:p>
      <w:pPr>
        <w:spacing w:after="0" w:line="235" w:lineRule="exact"/>
        <w:rPr>
          <w:rFonts w:ascii="Arial" w:cs="Arial" w:eastAsia="Arial" w:hAnsi="Arial"/>
          <w:sz w:val="18"/>
          <w:szCs w:val="18"/>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NO CONFLICTING EMPLOYMENT OR CUSTOMER SOLICITATION.</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Executive’s employment with the Company and for a period of two (2) years after that employment ends, regardless of reason, whether voluntary by the Executive or involuntary:</w:t>
      </w:r>
    </w:p>
    <w:p>
      <w:pPr>
        <w:spacing w:after="0" w:line="224" w:lineRule="exact"/>
        <w:rPr>
          <w:sz w:val="20"/>
          <w:szCs w:val="20"/>
          <w:color w:val="auto"/>
        </w:rPr>
      </w:pPr>
    </w:p>
    <w:p>
      <w:pPr>
        <w:ind w:firstLine="656"/>
        <w:spacing w:after="0" w:line="264" w:lineRule="auto"/>
        <w:tabs>
          <w:tab w:leader="none" w:pos="10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will not work for, consult with, lend assistance to or otherwise render services to a Conflicting Organization in any capacity, directly or indirectly, alone or with another person or entity, whether as an the Executive, advisor, consultant, independent contractor, principal, agent, partner, officer, director, shareholder, or otherwise;</w:t>
      </w:r>
    </w:p>
    <w:p>
      <w:pPr>
        <w:spacing w:after="0" w:line="235" w:lineRule="exact"/>
        <w:rPr>
          <w:rFonts w:ascii="Arial" w:cs="Arial" w:eastAsia="Arial" w:hAnsi="Arial"/>
          <w:sz w:val="18"/>
          <w:szCs w:val="18"/>
          <w:color w:val="auto"/>
        </w:rPr>
      </w:pPr>
    </w:p>
    <w:p>
      <w:pPr>
        <w:ind w:right="160" w:firstLine="656"/>
        <w:spacing w:after="0" w:line="264" w:lineRule="auto"/>
        <w:tabs>
          <w:tab w:leader="none" w:pos="107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will not, directly or indirectly, alone or with another person or entity, solicit business from or have any business-related contact with any customer of the Company or any potential Company customer with whom or with which the Executive personally had contact during the last twenty-four (24) months of the Executive’s employment with the Company; and</w:t>
      </w:r>
    </w:p>
    <w:p>
      <w:pPr>
        <w:spacing w:after="0" w:line="23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Executive will not interfere with or impair the Company’s relationship with any of its employees, customers, vendors or suppliers.</w:t>
      </w:r>
    </w:p>
    <w:p>
      <w:pPr>
        <w:spacing w:after="0" w:line="26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restrictions contained in this Section 5 will not prevent the Executive from becoming employed with or providing consulting services to a large diversified organization with separate and distinct divisions that do not compete, directly or indirectly, with the Company, but only if: (i) the Company first receives written assurances from the prospective employer and from the Executive, satisfactory to the Company in its reasonable discretion, confirming that the Executive will render no services, directly or indirectly, to any divisions or business units that independently would qualify as a Conflicting Organization and (ii) the Chair of the Company’s Board of Directors gives written approval for the Executive to provide the proposed employment or consulting services. By signing this Agreement, the Executive acknowledges and agrees that should his employment with the Company end, the restrictions on the Executive’s activities referenced in this Agreement will not prevent the Executive from earning a living outside of a Conflicting Organization.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08" w:name="page109"/>
    <w:bookmarkEnd w:id="108"/>
    <w:p>
      <w:pPr>
        <w:ind w:left="360" w:hanging="352"/>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NON-INTERFERENCE WITH COMPANY EMPLOYEES.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Executive will not, either during the Executive’s employment with the Company or for a period of two (2) years after that employment with the Company ends, directly or indirectly, solicit, induce, recruit, or cause another person in the employ of the Company (on the date the Executive’s employment with the Company ends) to terminate employment with the Company. If during this two (2) year period the Executive is approached by one of the Company’s employees or former employees regarding potential employment at a new employer, the Executive will inform the employee or former employee of the non-solicitation obligation described above and refrain from engaging in any communication with the employee or former employee regarding potential employment, consultation or contract opportunities.</w:t>
      </w:r>
    </w:p>
    <w:p>
      <w:pPr>
        <w:spacing w:after="0" w:line="247"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E-MAIL MESSAGES/INTERNET USAGE.</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Executive acknowledges that all e-mail messages that the Executive produces, sends or receives while at Company facilities or using Company equipment are the property of the Company. The Executive also understands that the Company may monitor and inspect all such messages and may also monitor and control the communications that the Executive initiates or receives through the Internet while at Company facilities and while using Company equipment in any location. The Executive acknowledges that the Executive has no right to or expectation of privacy in such communications. The Executive agrees to cooperate with the Company in its implementation of such security and control measures as it may implement from time to time with respect to e-mail and Internet communications and shall take all reasonable precautions to ensure that the confidentiality of any such communications containing Trade Secret and Confidential Information is maintained. The Executive also agrees that the Internet may not be used for the transmission or intentional reception of obscene, scandalous, offensive or otherwise inappropriate materials, and that the Executive will comply with Company policies regarding appropriate use of the Internet and e-mail.</w:t>
      </w:r>
    </w:p>
    <w:p>
      <w:pPr>
        <w:spacing w:after="0" w:line="236"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REMEDIES.</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Executive understand that in the event of a violation of any provision of this Agreement, the Company has the right to seek injunctive relief, in addition to any other remedies provided by law including actual, incidental and consequential damages, without the requirement of posting bond. The Executive also agrees that the Company will be entitled to an accounting, and to the repayment of all profits, compensation, commissions, fees, royalties, or other financial rewards which the Executive or any other entity or person may realize as a result of the Executive’s violations of this Agreement. The Executive will reimburse the Company for all costs, expenses or damages that it incurs as a result of any violation by the Executive of any provision of this Agreement, including court costs, litigation expenses, and reasonable attorneys’ fees.</w:t>
      </w:r>
    </w:p>
    <w:p>
      <w:pPr>
        <w:spacing w:after="0" w:line="233"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MISCELLANEOUS.</w:t>
      </w:r>
    </w:p>
    <w:p>
      <w:pPr>
        <w:spacing w:after="0" w:line="279" w:lineRule="exact"/>
        <w:rPr>
          <w:rFonts w:ascii="Arial" w:cs="Arial" w:eastAsia="Arial" w:hAnsi="Arial"/>
          <w:sz w:val="18"/>
          <w:szCs w:val="18"/>
          <w:b w:val="1"/>
          <w:bCs w:val="1"/>
          <w:color w:val="auto"/>
        </w:rPr>
      </w:pPr>
    </w:p>
    <w:p>
      <w:pPr>
        <w:ind w:right="380" w:firstLine="656"/>
        <w:spacing w:after="0" w:line="277" w:lineRule="auto"/>
        <w:tabs>
          <w:tab w:leader="none" w:pos="106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promises in this Agreement benefit the Company and also its subsidiaries and affiliates and any successor or assignee of the Company’s business or operations.</w:t>
      </w:r>
    </w:p>
    <w:p>
      <w:pPr>
        <w:spacing w:after="0" w:line="224" w:lineRule="exact"/>
        <w:rPr>
          <w:rFonts w:ascii="Arial" w:cs="Arial" w:eastAsia="Arial" w:hAnsi="Arial"/>
          <w:sz w:val="18"/>
          <w:szCs w:val="18"/>
          <w:color w:val="auto"/>
        </w:rPr>
      </w:pPr>
    </w:p>
    <w:p>
      <w:pPr>
        <w:ind w:firstLine="656"/>
        <w:spacing w:after="0" w:line="312" w:lineRule="auto"/>
        <w:tabs>
          <w:tab w:leader="none" w:pos="107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Governing Law and Venue</w:t>
      </w:r>
      <w:r>
        <w:rPr>
          <w:rFonts w:ascii="Arial" w:cs="Arial" w:eastAsia="Arial" w:hAnsi="Arial"/>
          <w:sz w:val="16"/>
          <w:szCs w:val="16"/>
          <w:color w:val="auto"/>
        </w:rPr>
        <w:t>. This Agreement will be governed by the laws of the State of Minnesota. The Executive hereby agrees to submit to personal jurisdiction in the State of Minnesota and agrees that any action relating to this Agreement or otherwise to the Executive’s employment with the Company must be venued exclusively in Anoka County District Court or the United States District Court for the District of Minnesota.</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9" w:name="page110"/>
    <w:bookmarkEnd w:id="109"/>
    <w:p>
      <w:pPr>
        <w:ind w:left="-100" w:right="280" w:firstLine="656"/>
        <w:spacing w:after="0" w:line="264" w:lineRule="auto"/>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this Agreement is adjudicated to be invalid or unenforceable, the remaining provisions shall not be affected thereby, and a court of competent jurisdiction shall have the power to blue-line (amend, modify or delete) that portion thus adjudicated to be invalid or unenforceable.</w:t>
      </w:r>
    </w:p>
    <w:p>
      <w:pPr>
        <w:spacing w:after="0" w:line="235" w:lineRule="exact"/>
        <w:rPr>
          <w:rFonts w:ascii="Arial" w:cs="Arial" w:eastAsia="Arial" w:hAnsi="Arial"/>
          <w:sz w:val="18"/>
          <w:szCs w:val="18"/>
          <w:color w:val="auto"/>
        </w:rPr>
      </w:pPr>
    </w:p>
    <w:p>
      <w:pPr>
        <w:ind w:left="980" w:hanging="4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Executive’s obligations under Sections 3, 4, 5 and 6 will survive the termination of this Agreement.</w:t>
      </w:r>
    </w:p>
    <w:p>
      <w:pPr>
        <w:spacing w:after="0" w:line="279" w:lineRule="exact"/>
        <w:rPr>
          <w:rFonts w:ascii="Arial" w:cs="Arial" w:eastAsia="Arial" w:hAnsi="Arial"/>
          <w:sz w:val="18"/>
          <w:szCs w:val="18"/>
          <w:color w:val="auto"/>
        </w:rPr>
      </w:pPr>
    </w:p>
    <w:p>
      <w:pPr>
        <w:ind w:left="-100" w:right="140" w:firstLine="656"/>
        <w:spacing w:after="0" w:line="264" w:lineRule="auto"/>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is the entire agreement of the Parties relating to its subject matter and supersedes all previous and contemporaneous discussions, agreements, writings and understandings concerning the matters referenced in this Agreement. This Agreement may be modified only by a document manually signed both by the Executive and the Chair of the Company’s Board of Directors.</w:t>
      </w:r>
    </w:p>
    <w:p>
      <w:pPr>
        <w:spacing w:after="0" w:line="235" w:lineRule="exact"/>
        <w:rPr>
          <w:rFonts w:ascii="Arial" w:cs="Arial" w:eastAsia="Arial" w:hAnsi="Arial"/>
          <w:sz w:val="18"/>
          <w:szCs w:val="18"/>
          <w:color w:val="auto"/>
        </w:rPr>
      </w:pPr>
    </w:p>
    <w:p>
      <w:pPr>
        <w:ind w:left="-100" w:firstLine="656"/>
        <w:spacing w:after="0" w:line="257" w:lineRule="auto"/>
        <w:tabs>
          <w:tab w:leader="none" w:pos="9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The Executive acknowledges that the Company has advised the Executive to seek counsel regarding this Agreement, that the Executive is an employee “at will” (meaning that either the Executive or the Company may terminate the Executive’s employment, at any time and for any reason not prohibited by law), that the Executive has not executed this Agreement in reliance upon any representation or promise except those contained in this Agreement and the Executive Employment Agreement, and that the Executive has read and understands this Agreement and agrees to all its terms and conditions.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340" w:top="301"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IN WITNESS WHEREOF, the Company and the Executive have executed this Agreement as of the date first above written.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NORTHERN TECHNOLOGIES</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4860" w:type="dxa"/>
            <w:vAlign w:val="bottom"/>
            <w:gridSpan w:val="3"/>
          </w:tcPr>
          <w:p>
            <w:pPr>
              <w:spacing w:after="0"/>
              <w:rPr>
                <w:sz w:val="20"/>
                <w:szCs w:val="20"/>
                <w:color w:val="auto"/>
              </w:rPr>
            </w:pPr>
            <w:r>
              <w:rPr>
                <w:rFonts w:ascii="Arial" w:cs="Arial" w:eastAsia="Arial" w:hAnsi="Arial"/>
                <w:sz w:val="18"/>
                <w:szCs w:val="18"/>
                <w:color w:val="auto"/>
              </w:rPr>
              <w:t>INTERNATIONAL CORPORATION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rPr>
              <w:t>EXECUTIVE</w:t>
            </w:r>
          </w:p>
        </w:tc>
      </w:tr>
      <w:tr>
        <w:trPr>
          <w:trHeight w:val="608"/>
        </w:trPr>
        <w:tc>
          <w:tcPr>
            <w:tcW w:w="4860" w:type="dxa"/>
            <w:vAlign w:val="bottom"/>
            <w:gridSpan w:val="3"/>
          </w:tcPr>
          <w:p>
            <w:pPr>
              <w:spacing w:after="0"/>
              <w:rPr>
                <w:sz w:val="20"/>
                <w:szCs w:val="20"/>
                <w:color w:val="auto"/>
              </w:rPr>
            </w:pPr>
            <w:r>
              <w:rPr>
                <w:rFonts w:ascii="Arial" w:cs="Arial" w:eastAsia="Arial" w:hAnsi="Arial"/>
                <w:sz w:val="18"/>
                <w:szCs w:val="18"/>
                <w:color w:val="auto"/>
              </w:rPr>
              <w:t>By: /s/ Richard J. Nigon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rPr>
              <w:t>/s/ G. Patrick Lynch</w:t>
            </w:r>
          </w:p>
        </w:tc>
      </w:tr>
      <w:tr>
        <w:trPr>
          <w:trHeight w:val="237"/>
        </w:trPr>
        <w:tc>
          <w:tcPr>
            <w:tcW w:w="3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 Patrick Lynch</w:t>
            </w:r>
          </w:p>
        </w:tc>
        <w:tc>
          <w:tcPr>
            <w:tcW w:w="440" w:type="dxa"/>
            <w:vAlign w:val="bottom"/>
          </w:tcPr>
          <w:p>
            <w:pPr>
              <w:spacing w:after="0"/>
              <w:rPr>
                <w:sz w:val="20"/>
                <w:szCs w:val="20"/>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Name: Richard J. Nigon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w w:val="90"/>
              </w:rPr>
              <w:t>Date: November 18, 2011</w:t>
            </w: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Title: Chairman of Audit and Compensation Committee</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Date: November 18, 2011</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56"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This Executive Employment Agreement (together with any Exhibit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this 18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2011, and is made by and between NORTHERN TECHNOLOGIES INTERNATIONAL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its principal place of business at 4201 Woodland Road, Circle Pines, MN 55014, and MATTHEW C. WOLSFELD, an individual residing at 1691 Deephaven Drive, Woodbury, MN 55129 (the “</w:t>
      </w:r>
      <w:r>
        <w:rPr>
          <w:rFonts w:ascii="Arial" w:cs="Arial" w:eastAsia="Arial" w:hAnsi="Arial"/>
          <w:sz w:val="18"/>
          <w:szCs w:val="18"/>
          <w:u w:val="single" w:color="auto"/>
          <w:color w:val="auto"/>
        </w:rPr>
        <w:t>Executive</w:t>
      </w:r>
      <w:r>
        <w:rPr>
          <w:rFonts w:ascii="Arial" w:cs="Arial" w:eastAsia="Arial" w:hAnsi="Arial"/>
          <w:sz w:val="18"/>
          <w:szCs w:val="18"/>
          <w:color w:val="auto"/>
        </w:rPr>
        <w:t>”) (hereafter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the Parties wish to agree to terms of the Executive’s continued at-will employment as the Company’s Chief Financial Officer and Secretary on the terms set forth in this Agreement;</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WHEREAS, the Parties wish to define the terms of their employment relationship in a manner that will protect the Company’s business and other interests, protect the relevant interests of the Company, and protect the Executive in the event the Executive’s employment is terminated upon certain events, including without limitation, without cause or in connection with a change in control, and to define the essential terms of the Executive’s employment and post-employment obligations;</w:t>
      </w:r>
    </w:p>
    <w:p>
      <w:pPr>
        <w:spacing w:after="0" w:line="21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WHEREAS, the Company desires reasonable continued protection of its trade secrets and other technical and proprietary information that has been or will be acquired and is being or will be developed by the Company at substantial expense, and the Executive is willing to assign to the Company all right, title and interest in and to certain technical and proprietary information conceived or developed by the Executive during the Executive’s employment that relates to the business, products or processes of the Company, subject to the exceptions set forth herein; and</w:t>
      </w:r>
    </w:p>
    <w:p>
      <w:pPr>
        <w:spacing w:after="0" w:line="19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WHEREAS, the Company desires to continue to ensure reasonable protection against unfair competition from the Executive following termination of employment and to further protect against unfair use of its trade secrets and confidential business and technical information, and the Executive is willing to grant to the Company the benefits of confidentiality, non-competition, non-solicitation of employees and other covenants as set forth in this Agreement (including the Confidential Information, Inventions Assignment, Noncompetition and Non-Solicitation Agreement attached as Exhibit A) for these purposes.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acknowledged, the Company and the Executive each intending to be legally bound, agree as set forth in this Agreement.</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EMPLOYMENT.</w:t>
      </w:r>
    </w:p>
    <w:p>
      <w:pPr>
        <w:spacing w:after="0" w:line="25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Subject to all of the terms and conditions of this Agreement, the Company agrees to employ the Executive on an at-will basis as the Company’s Chief Financial Officer and Secretary and the Executive agrees to devote his full time and best efforts to, and make the best use of the Executive’s energy, knowledge and training in advancing the Company’s interests. The Executive will not render to others, services of any kind for compensation, or engage in any other business activity that would materially interfere with the performance of the Executive’s duties as a full time employee of the Company under this Agreement; provided, however, that nothing in this Agreement will prevent the Executive from serving on the board of directors or the board of trustees of any charitable or not-for-profit organization and, subject to the written approval of the Board of Directors of the Company, or a committee thereof (the “</w:t>
      </w:r>
      <w:r>
        <w:rPr>
          <w:rFonts w:ascii="Arial" w:cs="Arial" w:eastAsia="Arial" w:hAnsi="Arial"/>
          <w:sz w:val="17"/>
          <w:szCs w:val="17"/>
          <w:u w:val="single" w:color="auto"/>
          <w:color w:val="auto"/>
        </w:rPr>
        <w:t>Board</w:t>
      </w:r>
      <w:r>
        <w:rPr>
          <w:rFonts w:ascii="Arial" w:cs="Arial" w:eastAsia="Arial" w:hAnsi="Arial"/>
          <w:sz w:val="17"/>
          <w:szCs w:val="17"/>
          <w:color w:val="auto"/>
        </w:rPr>
        <w:t>”), to serve on the board of directors or an advisory board, of any other business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72504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ind w:left="220"/>
        <w:spacing w:after="0"/>
        <w:rPr>
          <w:sz w:val="20"/>
          <w:szCs w:val="20"/>
          <w:color w:val="auto"/>
        </w:rPr>
      </w:pPr>
      <w:r>
        <w:rPr>
          <w:rFonts w:ascii="Arial" w:cs="Arial" w:eastAsia="Arial" w:hAnsi="Arial"/>
          <w:sz w:val="18"/>
          <w:szCs w:val="18"/>
          <w:color w:val="auto"/>
        </w:rPr>
        <w:t>EMPLOYMENT PERIOD.</w:t>
      </w:r>
    </w:p>
    <w:p>
      <w:pPr>
        <w:spacing w:after="0" w:line="25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Executive is employed by the Company on an at-will basis, meaning that, subject to the terms and conditions stated herein, either the Company or the Executive may terminate the Executive’s employment at any time, with or without notice, for any reason not prohibited by law.</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COMPENSATION.</w:t>
      </w:r>
    </w:p>
    <w:p>
      <w:pPr>
        <w:spacing w:after="0" w:line="279" w:lineRule="exact"/>
        <w:rPr>
          <w:sz w:val="20"/>
          <w:szCs w:val="20"/>
          <w:color w:val="auto"/>
        </w:rPr>
      </w:pPr>
    </w:p>
    <w:p>
      <w:pPr>
        <w:ind w:right="300" w:firstLine="656"/>
        <w:spacing w:after="0" w:line="308" w:lineRule="auto"/>
        <w:tabs>
          <w:tab w:leader="none" w:pos="1074" w:val="left"/>
        </w:tabs>
        <w:numPr>
          <w:ilvl w:val="0"/>
          <w:numId w:val="64"/>
        </w:numPr>
        <w:rPr>
          <w:rFonts w:ascii="Arial" w:cs="Arial" w:eastAsia="Arial" w:hAnsi="Arial"/>
          <w:sz w:val="17"/>
          <w:szCs w:val="17"/>
          <w:b w:val="1"/>
          <w:bCs w:val="1"/>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receive an annualized base salary of $190,400, subject to change in the Board’s sole discretion (the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Salary</w:t>
      </w:r>
      <w:r>
        <w:rPr>
          <w:rFonts w:ascii="Arial" w:cs="Arial" w:eastAsia="Arial" w:hAnsi="Arial"/>
          <w:sz w:val="17"/>
          <w:szCs w:val="17"/>
          <w:color w:val="auto"/>
        </w:rPr>
        <w:t>”). The Base Salary will be payable in accordance with the Company’s normal payroll practices as are in effect from time to time.</w:t>
      </w:r>
    </w:p>
    <w:p>
      <w:pPr>
        <w:spacing w:after="0" w:line="200" w:lineRule="exact"/>
        <w:rPr>
          <w:rFonts w:ascii="Arial" w:cs="Arial" w:eastAsia="Arial" w:hAnsi="Arial"/>
          <w:sz w:val="17"/>
          <w:szCs w:val="17"/>
          <w:b w:val="1"/>
          <w:bCs w:val="1"/>
          <w:color w:val="auto"/>
        </w:rPr>
      </w:pPr>
    </w:p>
    <w:p>
      <w:pPr>
        <w:ind w:right="100" w:firstLine="656"/>
        <w:spacing w:after="0" w:line="279" w:lineRule="auto"/>
        <w:tabs>
          <w:tab w:leader="none" w:pos="1084" w:val="left"/>
        </w:tabs>
        <w:numPr>
          <w:ilvl w:val="0"/>
          <w:numId w:val="64"/>
        </w:numPr>
        <w:rPr>
          <w:rFonts w:ascii="Arial" w:cs="Arial" w:eastAsia="Arial" w:hAnsi="Arial"/>
          <w:sz w:val="17"/>
          <w:szCs w:val="17"/>
          <w:b w:val="1"/>
          <w:bCs w:val="1"/>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The Executive will be eligible to receive annual or other bonuses in such amounts and as paid from time to time in the Board’s sole discretion. Any bonuses awarded will be paid in cash, shares of the Company’s common stock and/or other stock incentive awards no later than March 15th of the year following the year in which the bonus is earned. Unless otherwise provided pursuant to the terms of the applicable bonus plan, payment of any bonus awarded to the Executive is contingent upon the Executive being employed by the Company on the date the bonus is paid.</w:t>
      </w:r>
    </w:p>
    <w:p>
      <w:pPr>
        <w:spacing w:after="0" w:line="225" w:lineRule="exact"/>
        <w:rPr>
          <w:rFonts w:ascii="Arial" w:cs="Arial" w:eastAsia="Arial" w:hAnsi="Arial"/>
          <w:sz w:val="17"/>
          <w:szCs w:val="17"/>
          <w:b w:val="1"/>
          <w:bCs w:val="1"/>
          <w:color w:val="auto"/>
        </w:rPr>
      </w:pPr>
    </w:p>
    <w:p>
      <w:pPr>
        <w:ind w:right="140" w:firstLine="656"/>
        <w:spacing w:after="0" w:line="277" w:lineRule="auto"/>
        <w:tabs>
          <w:tab w:leader="none" w:pos="1064" w:val="left"/>
        </w:tabs>
        <w:numPr>
          <w:ilvl w:val="0"/>
          <w:numId w:val="64"/>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Incentives</w:t>
      </w:r>
      <w:r>
        <w:rPr>
          <w:rFonts w:ascii="Arial" w:cs="Arial" w:eastAsia="Arial" w:hAnsi="Arial"/>
          <w:sz w:val="18"/>
          <w:szCs w:val="18"/>
          <w:color w:val="auto"/>
        </w:rPr>
        <w:t>. The Board may elect in its sole discretion to grant to the Executive from time to time stock incentive awards, such as stock options, pursuant to the terms and conditions of any stock incentive plans adopted by the Company.</w:t>
      </w:r>
    </w:p>
    <w:p>
      <w:pPr>
        <w:spacing w:after="0" w:line="224" w:lineRule="exact"/>
        <w:rPr>
          <w:rFonts w:ascii="Arial" w:cs="Arial" w:eastAsia="Arial" w:hAnsi="Arial"/>
          <w:sz w:val="18"/>
          <w:szCs w:val="18"/>
          <w:b w:val="1"/>
          <w:bCs w:val="1"/>
          <w:color w:val="auto"/>
        </w:rPr>
      </w:pPr>
    </w:p>
    <w:p>
      <w:pPr>
        <w:ind w:right="160" w:firstLine="656"/>
        <w:spacing w:after="0" w:line="277" w:lineRule="auto"/>
        <w:tabs>
          <w:tab w:leader="none" w:pos="1084" w:val="left"/>
        </w:tabs>
        <w:numPr>
          <w:ilvl w:val="0"/>
          <w:numId w:val="64"/>
        </w:numPr>
        <w:rPr>
          <w:rFonts w:ascii="Arial" w:cs="Arial" w:eastAsia="Arial" w:hAnsi="Arial"/>
          <w:sz w:val="18"/>
          <w:szCs w:val="18"/>
          <w:b w:val="1"/>
          <w:bCs w:val="1"/>
          <w:color w:val="auto"/>
        </w:rPr>
      </w:pPr>
      <w:r>
        <w:rPr>
          <w:rFonts w:ascii="Arial" w:cs="Arial" w:eastAsia="Arial" w:hAnsi="Arial"/>
          <w:sz w:val="18"/>
          <w:szCs w:val="18"/>
          <w:u w:val="single" w:color="auto"/>
          <w:color w:val="auto"/>
        </w:rPr>
        <w:t>Vacation/PTO</w:t>
      </w:r>
      <w:r>
        <w:rPr>
          <w:rFonts w:ascii="Arial" w:cs="Arial" w:eastAsia="Arial" w:hAnsi="Arial"/>
          <w:sz w:val="18"/>
          <w:szCs w:val="18"/>
          <w:color w:val="auto"/>
        </w:rPr>
        <w:t>. Vacation and paid time off will be provided to the Executive in accordance with Company’s policies and procedures, as such policies and procedures are in effect from time to time.</w:t>
      </w:r>
    </w:p>
    <w:p>
      <w:pPr>
        <w:spacing w:after="0" w:line="224" w:lineRule="exact"/>
        <w:rPr>
          <w:rFonts w:ascii="Arial" w:cs="Arial" w:eastAsia="Arial" w:hAnsi="Arial"/>
          <w:sz w:val="18"/>
          <w:szCs w:val="18"/>
          <w:b w:val="1"/>
          <w:bCs w:val="1"/>
          <w:color w:val="auto"/>
        </w:rPr>
      </w:pPr>
    </w:p>
    <w:p>
      <w:pPr>
        <w:jc w:val="both"/>
        <w:ind w:right="160" w:firstLine="656"/>
        <w:spacing w:after="0" w:line="264" w:lineRule="auto"/>
        <w:tabs>
          <w:tab w:leader="none" w:pos="1064" w:val="left"/>
        </w:tabs>
        <w:numPr>
          <w:ilvl w:val="0"/>
          <w:numId w:val="64"/>
        </w:numPr>
        <w:rPr>
          <w:rFonts w:ascii="Arial" w:cs="Arial" w:eastAsia="Arial" w:hAnsi="Arial"/>
          <w:sz w:val="18"/>
          <w:szCs w:val="18"/>
          <w:b w:val="1"/>
          <w:bCs w:val="1"/>
          <w:color w:val="auto"/>
        </w:rPr>
      </w:pPr>
      <w:r>
        <w:rPr>
          <w:rFonts w:ascii="Arial" w:cs="Arial" w:eastAsia="Arial" w:hAnsi="Arial"/>
          <w:sz w:val="18"/>
          <w:szCs w:val="18"/>
          <w:u w:val="single" w:color="auto"/>
          <w:color w:val="auto"/>
        </w:rPr>
        <w:t>Benefits and Perquisites</w:t>
      </w:r>
      <w:r>
        <w:rPr>
          <w:rFonts w:ascii="Arial" w:cs="Arial" w:eastAsia="Arial" w:hAnsi="Arial"/>
          <w:sz w:val="18"/>
          <w:szCs w:val="18"/>
          <w:color w:val="auto"/>
        </w:rPr>
        <w:t>. The Executive will be entitled to participate in the Company’s benefit plans and programs, and receive the benefits and perquisites, generally provided to full-time, salaried employees of the Company. Such benefits and perquisites may be modified or discontinued at the sole discretion of the Board.</w:t>
      </w:r>
    </w:p>
    <w:p>
      <w:pPr>
        <w:spacing w:after="0" w:line="235" w:lineRule="exact"/>
        <w:rPr>
          <w:rFonts w:ascii="Arial" w:cs="Arial" w:eastAsia="Arial" w:hAnsi="Arial"/>
          <w:sz w:val="18"/>
          <w:szCs w:val="18"/>
          <w:b w:val="1"/>
          <w:bCs w:val="1"/>
          <w:color w:val="auto"/>
        </w:rPr>
      </w:pPr>
    </w:p>
    <w:p>
      <w:pPr>
        <w:jc w:val="both"/>
        <w:ind w:firstLine="656"/>
        <w:spacing w:after="0" w:line="279" w:lineRule="auto"/>
        <w:tabs>
          <w:tab w:leader="none" w:pos="1044" w:val="left"/>
        </w:tabs>
        <w:numPr>
          <w:ilvl w:val="0"/>
          <w:numId w:val="64"/>
        </w:numPr>
        <w:rPr>
          <w:rFonts w:ascii="Arial" w:cs="Arial" w:eastAsia="Arial" w:hAnsi="Arial"/>
          <w:sz w:val="17"/>
          <w:szCs w:val="17"/>
          <w:b w:val="1"/>
          <w:bCs w:val="1"/>
          <w:color w:val="auto"/>
        </w:rPr>
      </w:pPr>
      <w:r>
        <w:rPr>
          <w:rFonts w:ascii="Arial" w:cs="Arial" w:eastAsia="Arial" w:hAnsi="Arial"/>
          <w:sz w:val="17"/>
          <w:szCs w:val="17"/>
          <w:u w:val="single" w:color="auto"/>
          <w:color w:val="auto"/>
        </w:rPr>
        <w:t>Reimbursement of Business Expenses</w:t>
      </w:r>
      <w:r>
        <w:rPr>
          <w:rFonts w:ascii="Arial" w:cs="Arial" w:eastAsia="Arial" w:hAnsi="Arial"/>
          <w:sz w:val="17"/>
          <w:szCs w:val="17"/>
          <w:color w:val="auto"/>
        </w:rPr>
        <w:t>. The Company will reimburse the Executive for all reasonable out-of-pocket business expenses incurred by the Executive on behalf of the Company, provided that the Executive properly accounts to the Company for all such expenses in accordance with the rules and regulations of the Internal Revenue Service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in accordance with the Company’s standard policies and procedures relating to reimbursement of business expenses incurred by its employees.</w:t>
      </w:r>
    </w:p>
    <w:p>
      <w:pPr>
        <w:spacing w:after="0" w:line="225" w:lineRule="exact"/>
        <w:rPr>
          <w:rFonts w:ascii="Arial" w:cs="Arial" w:eastAsia="Arial" w:hAnsi="Arial"/>
          <w:sz w:val="17"/>
          <w:szCs w:val="17"/>
          <w:b w:val="1"/>
          <w:bCs w:val="1"/>
          <w:color w:val="auto"/>
        </w:rPr>
      </w:pPr>
    </w:p>
    <w:p>
      <w:pPr>
        <w:ind w:right="540" w:firstLine="656"/>
        <w:spacing w:after="0" w:line="342" w:lineRule="auto"/>
        <w:tabs>
          <w:tab w:leader="none" w:pos="1074" w:val="left"/>
        </w:tabs>
        <w:numPr>
          <w:ilvl w:val="0"/>
          <w:numId w:val="64"/>
        </w:numPr>
        <w:rPr>
          <w:rFonts w:ascii="Arial" w:cs="Arial" w:eastAsia="Arial" w:hAnsi="Arial"/>
          <w:sz w:val="16"/>
          <w:szCs w:val="16"/>
          <w:b w:val="1"/>
          <w:bCs w:val="1"/>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All payments made under this Section 3, Section 5 or under any other provision of this Agreement, will be subject to withholding of such taxes and in such amounts as is requested by the Executive or as otherwise reasonably determined by the Company.</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TERMINATION OF EMPLOYMENT.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Executive’s at-will employment may be terminated at any time as described in this Section 4.</w:t>
      </w:r>
    </w:p>
    <w:p>
      <w:pPr>
        <w:spacing w:after="0" w:line="279"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b w:val="1"/>
          <w:bCs w:val="1"/>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will terminate automatically upon the Executive’s death.</w:t>
      </w:r>
    </w:p>
    <w:p>
      <w:pPr>
        <w:spacing w:after="0" w:line="279" w:lineRule="exact"/>
        <w:rPr>
          <w:rFonts w:ascii="Arial" w:cs="Arial" w:eastAsia="Arial" w:hAnsi="Arial"/>
          <w:sz w:val="18"/>
          <w:szCs w:val="18"/>
          <w:b w:val="1"/>
          <w:bCs w:val="1"/>
          <w:color w:val="auto"/>
        </w:rPr>
      </w:pPr>
    </w:p>
    <w:p>
      <w:pPr>
        <w:ind w:right="40" w:firstLine="656"/>
        <w:spacing w:after="0" w:line="253" w:lineRule="auto"/>
        <w:tabs>
          <w:tab w:leader="none" w:pos="1084" w:val="left"/>
        </w:tabs>
        <w:numPr>
          <w:ilvl w:val="0"/>
          <w:numId w:val="65"/>
        </w:numPr>
        <w:rPr>
          <w:rFonts w:ascii="Arial" w:cs="Arial" w:eastAsia="Arial" w:hAnsi="Arial"/>
          <w:sz w:val="18"/>
          <w:szCs w:val="18"/>
          <w:b w:val="1"/>
          <w:bCs w:val="1"/>
          <w:color w:val="auto"/>
        </w:rPr>
      </w:pPr>
      <w:r>
        <w:rPr>
          <w:rFonts w:ascii="Arial" w:cs="Arial" w:eastAsia="Arial" w:hAnsi="Arial"/>
          <w:sz w:val="18"/>
          <w:szCs w:val="18"/>
          <w:u w:val="single" w:color="auto"/>
          <w:color w:val="auto"/>
        </w:rPr>
        <w:t>Total Disability</w:t>
      </w:r>
      <w:r>
        <w:rPr>
          <w:rFonts w:ascii="Arial" w:cs="Arial" w:eastAsia="Arial" w:hAnsi="Arial"/>
          <w:sz w:val="18"/>
          <w:szCs w:val="18"/>
          <w:color w:val="auto"/>
        </w:rPr>
        <w:t>. The Company or the Executive may terminate the Executive’s employment with the Company at any time after the “</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Disability</w:t>
      </w:r>
      <w:r>
        <w:rPr>
          <w:rFonts w:ascii="Arial" w:cs="Arial" w:eastAsia="Arial" w:hAnsi="Arial"/>
          <w:sz w:val="18"/>
          <w:szCs w:val="18"/>
          <w:color w:val="auto"/>
        </w:rPr>
        <w:t>” of the Executive. For purposes of this Agreement, the Total Disability of the Executive will occur on the earlier of the date the Executive: (i) becomes entitled to receive disability benefits under the Company’s long-term disability plan, if any; or (ii) is unable to perform the essential functions of the Executive’s position, as contemplated by this Agreement, due to a physical or mental incapacity or impairment, for more than an aggregate of one hundred eighty (180) days during any continuous twelve (12) month period. If the Executive is a qualified person with a disability under the Americans With Disabilities Act or the Minnesota Human Rights Act, (or any other applicable statute), the Company will make reasonable accommodations to the known physical or mental limitations of the Executive, including but not limited to consideration of whether extending the 180-day period would constitute a reasonable accommodation. Termination of the Executive’s employment due to Total Disability will not affect the Executive’s rights, if any, under the Company’s long-term disability plan.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113" w:name="page114"/>
    <w:bookmarkEnd w:id="113"/>
    <w:p>
      <w:pPr>
        <w:ind w:right="1340" w:firstLine="656"/>
        <w:spacing w:after="0" w:line="277" w:lineRule="auto"/>
        <w:tabs>
          <w:tab w:leader="none" w:pos="1064" w:val="left"/>
        </w:tabs>
        <w:numPr>
          <w:ilvl w:val="0"/>
          <w:numId w:val="66"/>
        </w:numPr>
        <w:rPr>
          <w:rFonts w:ascii="Arial" w:cs="Arial" w:eastAsia="Arial" w:hAnsi="Arial"/>
          <w:sz w:val="18"/>
          <w:szCs w:val="18"/>
          <w:b w:val="1"/>
          <w:bCs w:val="1"/>
          <w:color w:val="auto"/>
        </w:rPr>
      </w:pPr>
      <w:r>
        <w:rPr>
          <w:rFonts w:ascii="Arial" w:cs="Arial" w:eastAsia="Arial" w:hAnsi="Arial"/>
          <w:sz w:val="18"/>
          <w:szCs w:val="18"/>
          <w:u w:val="single" w:color="auto"/>
          <w:color w:val="auto"/>
        </w:rPr>
        <w:t>With Cause</w:t>
      </w:r>
      <w:r>
        <w:rPr>
          <w:rFonts w:ascii="Arial" w:cs="Arial" w:eastAsia="Arial" w:hAnsi="Arial"/>
          <w:sz w:val="18"/>
          <w:szCs w:val="18"/>
          <w:color w:val="auto"/>
        </w:rPr>
        <w:t>. The Company may terminate the Executive’s employment at any time, with “Cause,” upon written notice to the Executive.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224" w:lineRule="exact"/>
        <w:rPr>
          <w:rFonts w:ascii="Arial" w:cs="Arial" w:eastAsia="Arial" w:hAnsi="Arial"/>
          <w:sz w:val="18"/>
          <w:szCs w:val="18"/>
          <w:b w:val="1"/>
          <w:bCs w:val="1"/>
          <w:color w:val="auto"/>
        </w:rPr>
      </w:pPr>
    </w:p>
    <w:p>
      <w:pPr>
        <w:jc w:val="both"/>
        <w:ind w:right="180" w:firstLine="1305"/>
        <w:spacing w:after="0" w:line="264" w:lineRule="auto"/>
        <w:tabs>
          <w:tab w:leader="none" w:pos="168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Executive’s material breach of any of the Executive’s obligations under this Agreement, or the Executive’s willful and continued failure or refusal to perform his duties, responsibilities and obligations as an executive officer of the Company, for reasons other than Total Disability, to the satisfaction of the Board;</w:t>
      </w:r>
    </w:p>
    <w:p>
      <w:pPr>
        <w:spacing w:after="0" w:line="235" w:lineRule="exact"/>
        <w:rPr>
          <w:rFonts w:ascii="Arial" w:cs="Arial" w:eastAsia="Arial" w:hAnsi="Arial"/>
          <w:sz w:val="18"/>
          <w:szCs w:val="18"/>
          <w:color w:val="auto"/>
        </w:rPr>
      </w:pPr>
    </w:p>
    <w:p>
      <w:pPr>
        <w:ind w:right="120" w:firstLine="1305"/>
        <w:spacing w:after="0" w:line="259" w:lineRule="auto"/>
        <w:tabs>
          <w:tab w:leader="none" w:pos="167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Executive’s commission of an act of dishonesty, fraud, embezzlement, misappropriation, or intentional and deliberate injury or material breach of fiduciary duty, or material breach of the duty of loyalty related to or against the Company or its business, or any unlawful or criminal activity of a serious nature involving any felony, or conviction by a court of competent jurisdiction of, or pleading guilty or nolo contendere to, any felony or any crime involving moral turpitude; or</w:t>
      </w:r>
    </w:p>
    <w:p>
      <w:pPr>
        <w:spacing w:after="0" w:line="240" w:lineRule="exact"/>
        <w:rPr>
          <w:rFonts w:ascii="Arial" w:cs="Arial" w:eastAsia="Arial" w:hAnsi="Arial"/>
          <w:sz w:val="18"/>
          <w:szCs w:val="18"/>
          <w:color w:val="auto"/>
        </w:rPr>
      </w:pPr>
    </w:p>
    <w:p>
      <w:pPr>
        <w:ind w:left="1680" w:hanging="375"/>
        <w:spacing w:after="0"/>
        <w:tabs>
          <w:tab w:leader="none" w:pos="16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existence of any court order or settlement agreement prohibiting the Executive’s continued employment with the Company.</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 material breach or other breach of duty will not constitute “Cause” unless the Company gives written notice to the Executive of the existence of such act or breach, and the Executive fails to cure, to the Board’s satisfaction, the act or breach within thirty (30) days after the notification.</w:t>
      </w:r>
    </w:p>
    <w:p>
      <w:pPr>
        <w:spacing w:after="0" w:line="201" w:lineRule="exact"/>
        <w:rPr>
          <w:sz w:val="20"/>
          <w:szCs w:val="20"/>
          <w:color w:val="auto"/>
        </w:rPr>
      </w:pPr>
    </w:p>
    <w:p>
      <w:pPr>
        <w:jc w:val="both"/>
        <w:ind w:right="20" w:firstLine="656"/>
        <w:spacing w:after="0" w:line="264" w:lineRule="auto"/>
        <w:tabs>
          <w:tab w:leader="none" w:pos="1084" w:val="left"/>
        </w:tabs>
        <w:numPr>
          <w:ilvl w:val="0"/>
          <w:numId w:val="67"/>
        </w:numPr>
        <w:rPr>
          <w:rFonts w:ascii="Arial" w:cs="Arial" w:eastAsia="Arial" w:hAnsi="Arial"/>
          <w:sz w:val="18"/>
          <w:szCs w:val="18"/>
          <w:b w:val="1"/>
          <w:bCs w:val="1"/>
          <w:color w:val="auto"/>
        </w:rPr>
      </w:pPr>
      <w:r>
        <w:rPr>
          <w:rFonts w:ascii="Arial" w:cs="Arial" w:eastAsia="Arial" w:hAnsi="Arial"/>
          <w:sz w:val="18"/>
          <w:szCs w:val="18"/>
          <w:u w:val="single" w:color="auto"/>
          <w:color w:val="auto"/>
        </w:rPr>
        <w:t>Without Cause</w:t>
      </w:r>
      <w:r>
        <w:rPr>
          <w:rFonts w:ascii="Arial" w:cs="Arial" w:eastAsia="Arial" w:hAnsi="Arial"/>
          <w:sz w:val="18"/>
          <w:szCs w:val="18"/>
          <w:color w:val="auto"/>
        </w:rPr>
        <w:t>. The Company may terminate the Executive’s employment at any time, without Cause, upon two (2) weeks prior written notice to the Executive. The Company may, in its sole discretion, opt not to have the Executive provide active employment services during some or all of the notice period, and place the Executive on a paid leave of absence for some or all of the notice period.</w:t>
      </w:r>
    </w:p>
    <w:p>
      <w:pPr>
        <w:spacing w:after="0" w:line="235" w:lineRule="exact"/>
        <w:rPr>
          <w:rFonts w:ascii="Arial" w:cs="Arial" w:eastAsia="Arial" w:hAnsi="Arial"/>
          <w:sz w:val="18"/>
          <w:szCs w:val="18"/>
          <w:b w:val="1"/>
          <w:bCs w:val="1"/>
          <w:color w:val="auto"/>
        </w:rPr>
      </w:pPr>
    </w:p>
    <w:p>
      <w:pPr>
        <w:ind w:right="80" w:firstLine="656"/>
        <w:spacing w:after="0" w:line="259" w:lineRule="auto"/>
        <w:tabs>
          <w:tab w:leader="none" w:pos="1064" w:val="left"/>
        </w:tabs>
        <w:numPr>
          <w:ilvl w:val="0"/>
          <w:numId w:val="67"/>
        </w:numPr>
        <w:rPr>
          <w:rFonts w:ascii="Arial" w:cs="Arial" w:eastAsia="Arial" w:hAnsi="Arial"/>
          <w:sz w:val="18"/>
          <w:szCs w:val="18"/>
          <w:b w:val="1"/>
          <w:bCs w:val="1"/>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Executive may, upon two (2) weeks prior written notice to the Company, terminate the Executive’s employment at any time and for any reason. Upon receiving such notice, the Company may, in its sole discretion, opt not to have the Executive provide active employment services during some or all of the notice period, and place the Executive on a paid leave of absence for some or all of the notice period. If the Company exercises this option, it shall not convert the resignation to a termination by the Company.</w:t>
      </w:r>
    </w:p>
    <w:p>
      <w:pPr>
        <w:spacing w:after="0" w:line="240" w:lineRule="exact"/>
        <w:rPr>
          <w:rFonts w:ascii="Arial" w:cs="Arial" w:eastAsia="Arial" w:hAnsi="Arial"/>
          <w:sz w:val="18"/>
          <w:szCs w:val="18"/>
          <w:b w:val="1"/>
          <w:bCs w:val="1"/>
          <w:color w:val="auto"/>
        </w:rPr>
      </w:pPr>
    </w:p>
    <w:p>
      <w:pPr>
        <w:ind w:right="320" w:firstLine="656"/>
        <w:spacing w:after="0" w:line="291" w:lineRule="auto"/>
        <w:tabs>
          <w:tab w:leader="none" w:pos="1044" w:val="left"/>
        </w:tabs>
        <w:numPr>
          <w:ilvl w:val="0"/>
          <w:numId w:val="67"/>
        </w:numPr>
        <w:rPr>
          <w:rFonts w:ascii="Arial" w:cs="Arial" w:eastAsia="Arial" w:hAnsi="Arial"/>
          <w:sz w:val="16"/>
          <w:szCs w:val="16"/>
          <w:b w:val="1"/>
          <w:bCs w:val="1"/>
          <w:color w:val="auto"/>
        </w:rPr>
      </w:pPr>
      <w:r>
        <w:rPr>
          <w:rFonts w:ascii="Arial" w:cs="Arial" w:eastAsia="Arial" w:hAnsi="Arial"/>
          <w:sz w:val="16"/>
          <w:szCs w:val="16"/>
          <w:u w:val="single" w:color="auto"/>
          <w:color w:val="auto"/>
        </w:rPr>
        <w:t>For Good Reason</w:t>
      </w:r>
      <w:r>
        <w:rPr>
          <w:rFonts w:ascii="Arial" w:cs="Arial" w:eastAsia="Arial" w:hAnsi="Arial"/>
          <w:sz w:val="16"/>
          <w:szCs w:val="16"/>
          <w:color w:val="auto"/>
        </w:rPr>
        <w:t>. The Executive may, within six (6) months of the initial existence of the event giving rise to Good Reason (as hereinafter defined) and upon thirty (30) days prior written notice to the Company, terminate the Executive’s employment under this Agreement for Good</w:t>
      </w:r>
    </w:p>
    <w:p>
      <w:pPr>
        <w:spacing w:after="0"/>
        <w:rPr>
          <w:rFonts w:ascii="Arial" w:cs="Arial" w:eastAsia="Arial" w:hAnsi="Arial"/>
          <w:sz w:val="16"/>
          <w:szCs w:val="16"/>
          <w:b w:val="1"/>
          <w:bCs w:val="1"/>
          <w:color w:val="auto"/>
        </w:rPr>
      </w:pPr>
      <w:r>
        <w:rPr>
          <w:rFonts w:ascii="Arial" w:cs="Arial" w:eastAsia="Arial" w:hAnsi="Arial"/>
          <w:sz w:val="18"/>
          <w:szCs w:val="18"/>
          <w:color w:val="auto"/>
        </w:rPr>
        <w:t>Reason. “</w:t>
      </w:r>
      <w:r>
        <w:rPr>
          <w:rFonts w:ascii="Arial" w:cs="Arial" w:eastAsia="Arial" w:hAnsi="Arial"/>
          <w:sz w:val="18"/>
          <w:szCs w:val="18"/>
          <w:u w:val="single" w:color="auto"/>
          <w:color w:val="auto"/>
        </w:rPr>
        <w:t>Good Reason</w:t>
      </w:r>
      <w:r>
        <w:rPr>
          <w:rFonts w:ascii="Arial" w:cs="Arial" w:eastAsia="Arial" w:hAnsi="Arial"/>
          <w:sz w:val="18"/>
          <w:szCs w:val="18"/>
          <w:color w:val="auto"/>
        </w:rPr>
        <w:t>” means:</w:t>
      </w:r>
    </w:p>
    <w:p>
      <w:pPr>
        <w:spacing w:after="0" w:line="264" w:lineRule="exact"/>
        <w:rPr>
          <w:rFonts w:ascii="Arial" w:cs="Arial" w:eastAsia="Arial" w:hAnsi="Arial"/>
          <w:sz w:val="16"/>
          <w:szCs w:val="16"/>
          <w:b w:val="1"/>
          <w:bCs w:val="1"/>
          <w:color w:val="auto"/>
        </w:rPr>
      </w:pPr>
    </w:p>
    <w:p>
      <w:pPr>
        <w:ind w:left="1700" w:hanging="395"/>
        <w:spacing w:after="0"/>
        <w:tabs>
          <w:tab w:leader="none" w:pos="1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279" w:lineRule="exact"/>
        <w:rPr>
          <w:rFonts w:ascii="Arial" w:cs="Arial" w:eastAsia="Arial" w:hAnsi="Arial"/>
          <w:sz w:val="18"/>
          <w:szCs w:val="18"/>
          <w:color w:val="auto"/>
        </w:rPr>
      </w:pPr>
    </w:p>
    <w:p>
      <w:pPr>
        <w:ind w:left="1680" w:hanging="375"/>
        <w:spacing w:after="0"/>
        <w:tabs>
          <w:tab w:leader="none" w:pos="16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material diminution in the Executive’s Base Salary;</w:t>
      </w:r>
    </w:p>
    <w:p>
      <w:pPr>
        <w:spacing w:after="0" w:line="279" w:lineRule="exact"/>
        <w:rPr>
          <w:rFonts w:ascii="Arial" w:cs="Arial" w:eastAsia="Arial" w:hAnsi="Arial"/>
          <w:sz w:val="18"/>
          <w:szCs w:val="18"/>
          <w:color w:val="auto"/>
        </w:rPr>
      </w:pPr>
    </w:p>
    <w:p>
      <w:pPr>
        <w:ind w:right="540" w:firstLine="1305"/>
        <w:spacing w:after="0" w:line="277" w:lineRule="auto"/>
        <w:tabs>
          <w:tab w:leader="none" w:pos="167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Company requires the Executive to provide services, except for travel reasonably required in the performance of the Executive’s responsibilities; or</w:t>
      </w:r>
    </w:p>
    <w:p>
      <w:pPr>
        <w:spacing w:after="0" w:line="224" w:lineRule="exact"/>
        <w:rPr>
          <w:rFonts w:ascii="Arial" w:cs="Arial" w:eastAsia="Arial" w:hAnsi="Arial"/>
          <w:sz w:val="18"/>
          <w:szCs w:val="18"/>
          <w:color w:val="auto"/>
        </w:rPr>
      </w:pPr>
    </w:p>
    <w:p>
      <w:pPr>
        <w:ind w:left="1700" w:hanging="395"/>
        <w:spacing w:after="0"/>
        <w:tabs>
          <w:tab w:leader="none" w:pos="1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action or inaction that constitutes a material breach by the Company of this Agreement.</w:t>
      </w:r>
    </w:p>
    <w:p>
      <w:pPr>
        <w:spacing w:after="0" w:line="25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An act or omission will not constitute a “Good Reason” unless the Executive gives written notice to the Company of the existence of such act or omission within ninety (90) days of its initial existence and the Company fails to cure the act or omission within thirty (30) days after the notification.</w:t>
      </w:r>
    </w:p>
    <w:p>
      <w:pPr>
        <w:spacing w:after="0" w:line="178" w:lineRule="exact"/>
        <w:rPr>
          <w:sz w:val="20"/>
          <w:szCs w:val="20"/>
          <w:color w:val="auto"/>
        </w:rPr>
      </w:pPr>
    </w:p>
    <w:p>
      <w:pPr>
        <w:ind w:right="20" w:firstLine="656"/>
        <w:spacing w:after="0" w:line="257" w:lineRule="auto"/>
        <w:tabs>
          <w:tab w:leader="none" w:pos="1074" w:val="left"/>
        </w:tabs>
        <w:numPr>
          <w:ilvl w:val="0"/>
          <w:numId w:val="68"/>
        </w:numPr>
        <w:rPr>
          <w:rFonts w:ascii="Arial" w:cs="Arial" w:eastAsia="Arial" w:hAnsi="Arial"/>
          <w:sz w:val="18"/>
          <w:szCs w:val="18"/>
          <w:b w:val="1"/>
          <w:bCs w:val="1"/>
          <w:color w:val="auto"/>
        </w:rPr>
      </w:pP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A “</w:t>
      </w: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means, during a period of twenty-four (24) months following a Change in Control (as hereinafter defined), any termination by the Executive for Good Reason or any involuntary termination of the Executive’s employment by the Company (or its successor), other than for Cause or on account of death or Total Disability. A “</w:t>
      </w:r>
      <w:r>
        <w:rPr>
          <w:rFonts w:ascii="Arial" w:cs="Arial" w:eastAsia="Arial" w:hAnsi="Arial"/>
          <w:sz w:val="18"/>
          <w:szCs w:val="18"/>
          <w:u w:val="single" w:color="auto"/>
          <w:color w:val="auto"/>
        </w:rPr>
        <w:t>Change in Control</w:t>
      </w:r>
      <w:r>
        <w:rPr>
          <w:rFonts w:ascii="Arial" w:cs="Arial" w:eastAsia="Arial" w:hAnsi="Arial"/>
          <w:sz w:val="18"/>
          <w:szCs w:val="18"/>
          <w:color w:val="auto"/>
        </w:rPr>
        <w:t>” will have the meaning assigned to such term in the Company’s stock incentive plan as in effect from time to time to the extent such change in control is a “change of control event” as defined under Code Section 409A and applicable Internal Revenue Service regulations.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4" w:name="page115"/>
    <w:bookmarkEnd w:id="114"/>
    <w:p>
      <w:pPr>
        <w:ind w:right="60" w:firstLine="656"/>
        <w:spacing w:after="0" w:line="290" w:lineRule="auto"/>
        <w:tabs>
          <w:tab w:leader="none" w:pos="1084" w:val="left"/>
        </w:tabs>
        <w:numPr>
          <w:ilvl w:val="0"/>
          <w:numId w:val="69"/>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term “termination of employment” when used in this Agreement, means a termination of the Executive’s employment relationship with the Company and all its affiliates (within the meaning of Code Section 409A) or such other change in the Executive’s employment relationship with the Company and all of its affiliates that would be considered a “separation from service” under Code Section 409A. The Executive’s employment relationship will be treated as remaining intact while the Executive is on a military leave, a sick leave or other bona fide leave of absence (pursuant to which there is a reasonable expectation that the Employee will return to perform services for the Company or an affiliate) but only if the period of such leave does not exceed six (6) months, or if longer, so long as the Executive retains a right to reemployment by the Company or an affiliate under applicable statute or by contract. In all cases, the Executive’s termination of employment must constitute a “separation from service” under Code Section 409A and any “separation from service” under Code Section 409A will be treated as a termination of employment.</w:t>
      </w:r>
    </w:p>
    <w:p>
      <w:pPr>
        <w:spacing w:after="0" w:line="220" w:lineRule="exact"/>
        <w:rPr>
          <w:rFonts w:ascii="Arial" w:cs="Arial" w:eastAsia="Arial" w:hAnsi="Arial"/>
          <w:sz w:val="16"/>
          <w:szCs w:val="16"/>
          <w:b w:val="1"/>
          <w:bCs w:val="1"/>
          <w:color w:val="auto"/>
        </w:rPr>
      </w:pPr>
    </w:p>
    <w:p>
      <w:pPr>
        <w:ind w:right="460" w:firstLine="656"/>
        <w:spacing w:after="0" w:line="264" w:lineRule="auto"/>
        <w:tabs>
          <w:tab w:leader="none" w:pos="1034" w:val="left"/>
        </w:tabs>
        <w:numPr>
          <w:ilvl w:val="0"/>
          <w:numId w:val="69"/>
        </w:numPr>
        <w:rPr>
          <w:rFonts w:ascii="Arial" w:cs="Arial" w:eastAsia="Arial" w:hAnsi="Arial"/>
          <w:sz w:val="18"/>
          <w:szCs w:val="18"/>
          <w:b w:val="1"/>
          <w:bCs w:val="1"/>
          <w:color w:val="auto"/>
        </w:rPr>
      </w:pPr>
      <w:r>
        <w:rPr>
          <w:rFonts w:ascii="Arial" w:cs="Arial" w:eastAsia="Arial" w:hAnsi="Arial"/>
          <w:sz w:val="18"/>
          <w:szCs w:val="18"/>
          <w:u w:val="single" w:color="auto"/>
          <w:color w:val="auto"/>
        </w:rPr>
        <w:t>Resignation as Director/Officer</w:t>
      </w:r>
      <w:r>
        <w:rPr>
          <w:rFonts w:ascii="Arial" w:cs="Arial" w:eastAsia="Arial" w:hAnsi="Arial"/>
          <w:sz w:val="18"/>
          <w:szCs w:val="18"/>
          <w:color w:val="auto"/>
        </w:rPr>
        <w:t>. Immediately upon termination of the Executive’s employment with the Company for any reason, the Executive will resign from any and all positions then held as a director or officer of the Company and of any subsidiary, parent or affiliated entity of the Company.</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PAYMENTS AND BENEFITS UPON TERMINATION OF EMPLOYMENT.</w:t>
      </w:r>
    </w:p>
    <w:p>
      <w:pPr>
        <w:spacing w:after="0" w:line="279" w:lineRule="exact"/>
        <w:rPr>
          <w:sz w:val="20"/>
          <w:szCs w:val="20"/>
          <w:color w:val="auto"/>
        </w:rPr>
      </w:pPr>
    </w:p>
    <w:p>
      <w:pPr>
        <w:ind w:firstLine="656"/>
        <w:spacing w:after="0" w:line="286" w:lineRule="auto"/>
        <w:tabs>
          <w:tab w:leader="none" w:pos="1074" w:val="left"/>
        </w:tabs>
        <w:numPr>
          <w:ilvl w:val="1"/>
          <w:numId w:val="70"/>
        </w:numPr>
        <w:rPr>
          <w:rFonts w:ascii="Arial" w:cs="Arial" w:eastAsia="Arial" w:hAnsi="Arial"/>
          <w:sz w:val="16"/>
          <w:szCs w:val="16"/>
          <w:b w:val="1"/>
          <w:bCs w:val="1"/>
          <w:color w:val="auto"/>
        </w:rPr>
      </w:pPr>
      <w:r>
        <w:rPr>
          <w:rFonts w:ascii="Arial" w:cs="Arial" w:eastAsia="Arial" w:hAnsi="Arial"/>
          <w:sz w:val="16"/>
          <w:szCs w:val="16"/>
          <w:u w:val="single" w:color="auto"/>
          <w:color w:val="auto"/>
        </w:rPr>
        <w:t>Total Disability.</w:t>
      </w:r>
      <w:r>
        <w:rPr>
          <w:rFonts w:ascii="Arial" w:cs="Arial" w:eastAsia="Arial" w:hAnsi="Arial"/>
          <w:sz w:val="16"/>
          <w:szCs w:val="16"/>
          <w:color w:val="auto"/>
        </w:rPr>
        <w:t xml:space="preserve"> If the Executive’s employment is terminated due to the Total Disability of the Executive, regardless of the date of termination, the Executive will be paid (i) the Executive’s Base Salary, prorated through the date of termination; (ii) a pro rata portion of the target bonus that the Executive otherwise would have been eligible to receive under the Company’s bonus plan for the fiscal year during which the Executive’s employment is terminated, with such pro rata portion based on the number of complete months during the fiscal year that the Executive was employed with the Company;</w:t>
      </w:r>
    </w:p>
    <w:p>
      <w:pPr>
        <w:spacing w:after="0" w:line="1" w:lineRule="exact"/>
        <w:rPr>
          <w:rFonts w:ascii="Arial" w:cs="Arial" w:eastAsia="Arial" w:hAnsi="Arial"/>
          <w:sz w:val="16"/>
          <w:szCs w:val="16"/>
          <w:b w:val="1"/>
          <w:bCs w:val="1"/>
          <w:color w:val="auto"/>
        </w:rPr>
      </w:pPr>
    </w:p>
    <w:p>
      <w:pPr>
        <w:ind w:right="200" w:firstLine="8"/>
        <w:spacing w:after="0" w:line="290" w:lineRule="auto"/>
        <w:tabs>
          <w:tab w:leader="none" w:pos="3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benefits payable under any disability insurance policy maintained by the Company for the benefit of the Executive at the time of the termination of employment, subject to the terms and conditions of such policies; (iv) the Executive’s accrued but unpaid PTO or vacation, prorated through the date of termination; (v) any unpaid expense reimbursement; and (vi) the Executive’s other accrued and vested benefits, if any, under any of the Company’s other employee benefit plans (</w:t>
      </w:r>
      <w:r>
        <w:rPr>
          <w:rFonts w:ascii="Arial" w:cs="Arial" w:eastAsia="Arial" w:hAnsi="Arial"/>
          <w:sz w:val="16"/>
          <w:szCs w:val="16"/>
          <w:i w:val="1"/>
          <w:iCs w:val="1"/>
          <w:color w:val="auto"/>
        </w:rPr>
        <w:t>e.g</w:t>
      </w:r>
      <w:r>
        <w:rPr>
          <w:rFonts w:ascii="Arial" w:cs="Arial" w:eastAsia="Arial" w:hAnsi="Arial"/>
          <w:sz w:val="16"/>
          <w:szCs w:val="16"/>
          <w:color w:val="auto"/>
        </w:rPr>
        <w:t>., 401(k) plan), subject to the terms and conditions of such plans. Payment of the pro rata portion of the target bonus calculated pursuant to clause (ii), less payroll deductions and withholdings as reasonably determined by the Company, will be paid to the Executive in installment payments over an eighteen (18) month period in accordance with the Company’s normal payroll practices, subject to paragraph (f), as follows:</w:t>
      </w:r>
    </w:p>
    <w:p>
      <w:pPr>
        <w:spacing w:after="0" w:line="218" w:lineRule="exact"/>
        <w:rPr>
          <w:sz w:val="20"/>
          <w:szCs w:val="20"/>
          <w:color w:val="auto"/>
        </w:rPr>
      </w:pPr>
    </w:p>
    <w:p>
      <w:pPr>
        <w:ind w:right="60" w:firstLine="2161"/>
        <w:spacing w:after="0" w:line="342" w:lineRule="auto"/>
        <w:rPr>
          <w:sz w:val="20"/>
          <w:szCs w:val="20"/>
          <w:color w:val="auto"/>
        </w:rPr>
      </w:pPr>
      <w:r>
        <w:rPr>
          <w:rFonts w:ascii="Arial" w:cs="Arial" w:eastAsia="Arial" w:hAnsi="Arial"/>
          <w:sz w:val="16"/>
          <w:szCs w:val="16"/>
          <w:color w:val="auto"/>
        </w:rPr>
        <w:t>a payment equal to one-ninth (1/9) of the pro rata portion of the target bonus calculated pursuant to clause (ii), less payroll deductions and withholdings as reasonably determined by the Company, on the sixtieth (60th) day following the Executive’s termination of employment; and</w:t>
      </w:r>
    </w:p>
    <w:p>
      <w:pPr>
        <w:spacing w:after="0" w:line="178"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regularly scheduled payments in as nearly equal amounts as possible for the balance of the pro rata target bonus payment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65" w:lineRule="exact"/>
        <w:rPr>
          <w:sz w:val="20"/>
          <w:szCs w:val="20"/>
          <w:color w:val="auto"/>
        </w:rPr>
      </w:pPr>
    </w:p>
    <w:p>
      <w:pPr>
        <w:ind w:right="60" w:firstLine="656"/>
        <w:spacing w:after="0" w:line="288" w:lineRule="auto"/>
        <w:tabs>
          <w:tab w:leader="none" w:pos="1084" w:val="left"/>
        </w:tabs>
        <w:numPr>
          <w:ilvl w:val="0"/>
          <w:numId w:val="72"/>
        </w:numPr>
        <w:rPr>
          <w:rFonts w:ascii="Arial" w:cs="Arial" w:eastAsia="Arial" w:hAnsi="Arial"/>
          <w:sz w:val="16"/>
          <w:szCs w:val="16"/>
          <w:b w:val="1"/>
          <w:bCs w:val="1"/>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xml:space="preserve"> If the Executive’s employment is terminated due to the death of the Executive, regardless of the date of termination, the Executive’s estate or heirs, as appropriate, will be paid (i) the Executive’s Base Salary, prorated through the date of termination; (ii) a pro rata portion of the target bonus that the Executive otherwise would have been eligible to receive under the Company’s bonus plan for the fiscal year during which the Executive’s death occurs, with such pro rata portion based on the number of complete months during the fiscal year that the Executive was employed with the Company (such amount paid to the Executive’s estate or heirs, as appropriate, less payroll deductions and withholdings as reasonably determined by the Company, in a single lump sum payment within sixty (60) days following the Executive’s date of death); (iii) any benefits payable under any group life insurance policy, key person life insurance policy and any other life insurance policy maintained by the Company for the benefit of the Executive at the time of the termination of employment, subject to the terms and conditions of such policies; (iv) the Executive’s accrued but unpaid PTO or vacation, prorated through the date of termination; (v) any unpaid expense reimbursement; and (vi) the Executive’s other accrued and vested benefits, if any, under any of the Company’s other employee benefit plans (</w:t>
      </w:r>
      <w:r>
        <w:rPr>
          <w:rFonts w:ascii="Arial" w:cs="Arial" w:eastAsia="Arial" w:hAnsi="Arial"/>
          <w:sz w:val="16"/>
          <w:szCs w:val="16"/>
          <w:i w:val="1"/>
          <w:iCs w:val="1"/>
          <w:color w:val="auto"/>
        </w:rPr>
        <w:t>e.g</w:t>
      </w:r>
      <w:r>
        <w:rPr>
          <w:rFonts w:ascii="Arial" w:cs="Arial" w:eastAsia="Arial" w:hAnsi="Arial"/>
          <w:sz w:val="16"/>
          <w:szCs w:val="16"/>
          <w:color w:val="auto"/>
        </w:rPr>
        <w:t>., 401(k) plan), subject to the terms and conditions of such plans.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15" w:name="page116"/>
    <w:bookmarkEnd w:id="115"/>
    <w:p>
      <w:pPr>
        <w:ind w:firstLine="656"/>
        <w:spacing w:after="0" w:line="302" w:lineRule="auto"/>
        <w:tabs>
          <w:tab w:leader="none" w:pos="1064" w:val="left"/>
        </w:tabs>
        <w:numPr>
          <w:ilvl w:val="0"/>
          <w:numId w:val="73"/>
        </w:numPr>
        <w:rPr>
          <w:rFonts w:ascii="Arial" w:cs="Arial" w:eastAsia="Arial" w:hAnsi="Arial"/>
          <w:sz w:val="16"/>
          <w:szCs w:val="16"/>
          <w:b w:val="1"/>
          <w:bCs w:val="1"/>
          <w:color w:val="auto"/>
        </w:rPr>
      </w:pPr>
      <w:r>
        <w:rPr>
          <w:rFonts w:ascii="Arial" w:cs="Arial" w:eastAsia="Arial" w:hAnsi="Arial"/>
          <w:sz w:val="16"/>
          <w:szCs w:val="16"/>
          <w:u w:val="single" w:color="auto"/>
          <w:color w:val="auto"/>
        </w:rPr>
        <w:t>For Cause Termination or Resignation</w:t>
      </w:r>
      <w:r>
        <w:rPr>
          <w:rFonts w:ascii="Arial" w:cs="Arial" w:eastAsia="Arial" w:hAnsi="Arial"/>
          <w:sz w:val="16"/>
          <w:szCs w:val="16"/>
          <w:color w:val="auto"/>
        </w:rPr>
        <w:t>. If the Company terminates the Executive’s employment for Cause, or if the Executive resigns, regardless of the date of termination, the Executive will be paid (i) the Executive’s Base Salary, prorated through the date of termination; (ii) the Executive’s accrued but unpaid PTO or vacation, prorated through the date of termination; (iii) any unpaid expense reimbursement; and (iv) the Executive’s other accrued and vested benefits, if any, under any of the Company’s other employee benefit plans (</w:t>
      </w:r>
      <w:r>
        <w:rPr>
          <w:rFonts w:ascii="Arial" w:cs="Arial" w:eastAsia="Arial" w:hAnsi="Arial"/>
          <w:sz w:val="16"/>
          <w:szCs w:val="16"/>
          <w:i w:val="1"/>
          <w:iCs w:val="1"/>
          <w:color w:val="auto"/>
        </w:rPr>
        <w:t>e.g</w:t>
      </w:r>
      <w:r>
        <w:rPr>
          <w:rFonts w:ascii="Arial" w:cs="Arial" w:eastAsia="Arial" w:hAnsi="Arial"/>
          <w:sz w:val="16"/>
          <w:szCs w:val="16"/>
          <w:color w:val="auto"/>
        </w:rPr>
        <w:t>., 401(k) plan), subject to the terms and conditions of such plans.</w:t>
      </w:r>
    </w:p>
    <w:p>
      <w:pPr>
        <w:spacing w:after="0" w:line="208" w:lineRule="exact"/>
        <w:rPr>
          <w:rFonts w:ascii="Arial" w:cs="Arial" w:eastAsia="Arial" w:hAnsi="Arial"/>
          <w:sz w:val="16"/>
          <w:szCs w:val="16"/>
          <w:b w:val="1"/>
          <w:bCs w:val="1"/>
          <w:color w:val="auto"/>
        </w:rPr>
      </w:pPr>
    </w:p>
    <w:p>
      <w:pPr>
        <w:ind w:right="160" w:firstLine="656"/>
        <w:spacing w:after="0" w:line="312" w:lineRule="auto"/>
        <w:tabs>
          <w:tab w:leader="none" w:pos="1084" w:val="left"/>
        </w:tabs>
        <w:numPr>
          <w:ilvl w:val="0"/>
          <w:numId w:val="73"/>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by the Company Without Cause or by the Executive for Good Reason</w:t>
      </w:r>
      <w:r>
        <w:rPr>
          <w:rFonts w:ascii="Arial" w:cs="Arial" w:eastAsia="Arial" w:hAnsi="Arial"/>
          <w:sz w:val="16"/>
          <w:szCs w:val="16"/>
          <w:color w:val="auto"/>
        </w:rPr>
        <w:t>. If the Company terminates the Executive’s employment other than for Cause or on account of death or Total Disability or the Executive resigns for Good Reason and such termination is not a Change in Control Termination, then the Executive will be entitled to the benefits described in this Section 5(d), in addition to the benefits described in Section 5(c).</w:t>
      </w:r>
    </w:p>
    <w:p>
      <w:pPr>
        <w:spacing w:after="0" w:line="201" w:lineRule="exact"/>
        <w:rPr>
          <w:sz w:val="20"/>
          <w:szCs w:val="20"/>
          <w:color w:val="auto"/>
        </w:rPr>
      </w:pPr>
    </w:p>
    <w:p>
      <w:pPr>
        <w:ind w:left="1700" w:hanging="395"/>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Cash payments from the Company in an aggregate amount equal to:</w:t>
      </w:r>
    </w:p>
    <w:p>
      <w:pPr>
        <w:spacing w:after="0" w:line="27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One and one-half (1½) times the Executive’s average total annual compensation for the two (2) most recently completed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 plus</w:t>
      </w:r>
    </w:p>
    <w:p>
      <w:pPr>
        <w:spacing w:after="0" w:line="265" w:lineRule="exact"/>
        <w:rPr>
          <w:sz w:val="20"/>
          <w:szCs w:val="20"/>
          <w:color w:val="auto"/>
        </w:rPr>
      </w:pPr>
    </w:p>
    <w:p>
      <w:pPr>
        <w:jc w:val="both"/>
        <w:ind w:right="220" w:firstLine="2161"/>
        <w:spacing w:after="0" w:line="264" w:lineRule="auto"/>
        <w:rPr>
          <w:sz w:val="20"/>
          <w:szCs w:val="20"/>
          <w:color w:val="auto"/>
        </w:rPr>
      </w:pPr>
      <w:r>
        <w:rPr>
          <w:rFonts w:ascii="Arial" w:cs="Arial" w:eastAsia="Arial" w:hAnsi="Arial"/>
          <w:sz w:val="18"/>
          <w:szCs w:val="18"/>
          <w:color w:val="auto"/>
        </w:rPr>
        <w:t>a pro rata portion of the target bonus that the Executive otherwise would have been eligible to receive under the Company’s bonus plan for the fiscal year during which the Executive’s employment is terminated, with such pro rata portion based on the number of complete months during the fiscal year that the Executive was employed with the Company.</w:t>
      </w:r>
    </w:p>
    <w:p>
      <w:pPr>
        <w:spacing w:after="0" w:line="20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Such aggregate amount, less payroll deductions and withholdings as reasonably determined by the Company, will be paid to the Executive in installment payments over an eighteen (18) month period in the form of salary continuation in accordance with the Company’s normal payroll practices, subject to paragraph (f), as follows:</w:t>
      </w:r>
    </w:p>
    <w:p>
      <w:pPr>
        <w:spacing w:after="0" w:line="222" w:lineRule="exact"/>
        <w:rPr>
          <w:sz w:val="20"/>
          <w:szCs w:val="20"/>
          <w:color w:val="auto"/>
        </w:rPr>
      </w:pPr>
    </w:p>
    <w:p>
      <w:pPr>
        <w:ind w:right="280" w:firstLine="1953"/>
        <w:spacing w:after="0" w:line="223" w:lineRule="auto"/>
        <w:tabs>
          <w:tab w:leader="none" w:pos="24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payment on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Executive’s termination of employment equal to the amount of salary continuation payments accruing during the sixty (60) day period following the Executive’s termination of employment; and</w:t>
      </w:r>
    </w:p>
    <w:p>
      <w:pPr>
        <w:spacing w:after="0" w:line="256"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18"/>
          <w:szCs w:val="18"/>
          <w:color w:val="auto"/>
        </w:rPr>
        <w:t>(IV)</w:t>
        <w:tab/>
        <w:t>regularly scheduled payroll payments for the balance of the salary continuation period.</w:t>
      </w:r>
    </w:p>
    <w:p>
      <w:pPr>
        <w:spacing w:after="0" w:line="279" w:lineRule="exact"/>
        <w:rPr>
          <w:sz w:val="20"/>
          <w:szCs w:val="20"/>
          <w:color w:val="auto"/>
        </w:rPr>
      </w:pPr>
    </w:p>
    <w:p>
      <w:pPr>
        <w:ind w:right="80" w:firstLine="1305"/>
        <w:spacing w:after="0" w:line="257" w:lineRule="auto"/>
        <w:tabs>
          <w:tab w:leader="none" w:pos="16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Executive is eligible for and timely elects continued coverage under the Company’s group medical plan, group dental plan and/or group vision plan (the “</w:t>
      </w:r>
      <w:r>
        <w:rPr>
          <w:rFonts w:ascii="Arial" w:cs="Arial" w:eastAsia="Arial" w:hAnsi="Arial"/>
          <w:sz w:val="18"/>
          <w:szCs w:val="18"/>
          <w:u w:val="single" w:color="auto"/>
          <w:color w:val="auto"/>
        </w:rPr>
        <w:t>Group Health Plans</w:t>
      </w:r>
      <w:r>
        <w:rPr>
          <w:rFonts w:ascii="Arial" w:cs="Arial" w:eastAsia="Arial" w:hAnsi="Arial"/>
          <w:sz w:val="18"/>
          <w:szCs w:val="18"/>
          <w:color w:val="auto"/>
        </w:rPr>
        <w:t>”) pursuant to Code Section 4980B (“</w:t>
      </w:r>
      <w:r>
        <w:rPr>
          <w:rFonts w:ascii="Arial" w:cs="Arial" w:eastAsia="Arial" w:hAnsi="Arial"/>
          <w:sz w:val="18"/>
          <w:szCs w:val="18"/>
          <w:u w:val="single" w:color="auto"/>
          <w:color w:val="auto"/>
        </w:rPr>
        <w:t>COBRA</w:t>
      </w:r>
      <w:r>
        <w:rPr>
          <w:rFonts w:ascii="Arial" w:cs="Arial" w:eastAsia="Arial" w:hAnsi="Arial"/>
          <w:sz w:val="18"/>
          <w:szCs w:val="18"/>
          <w:color w:val="auto"/>
        </w:rPr>
        <w:t>”), for each of the first eighteen (18) months of the COBRA continuation period, the Company will reimburse the Executive in an amount equal to the difference between the amount the Executive pays for such COBRA continuation coverage each month and the amount paid by a full-time active employee each month for the same level of coverage elected by the Executive.</w:t>
      </w:r>
    </w:p>
    <w:p>
      <w:pPr>
        <w:spacing w:after="0" w:line="242" w:lineRule="exact"/>
        <w:rPr>
          <w:rFonts w:ascii="Arial" w:cs="Arial" w:eastAsia="Arial" w:hAnsi="Arial"/>
          <w:sz w:val="18"/>
          <w:szCs w:val="18"/>
          <w:color w:val="auto"/>
        </w:rPr>
      </w:pPr>
    </w:p>
    <w:p>
      <w:pPr>
        <w:ind w:right="40" w:firstLine="1305"/>
        <w:spacing w:after="0" w:line="277" w:lineRule="auto"/>
        <w:tabs>
          <w:tab w:leader="none" w:pos="16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outstanding and unvested options to purchase shares of the Company’s common stock and other stock incentive awards granted to the Executive under the Company’s stock incentive plan will become immediately vested and exercisable.</w:t>
      </w:r>
    </w:p>
    <w:p>
      <w:pPr>
        <w:spacing w:after="0" w:line="19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Within ten (10) business days after the Executive’s termination of employment the Company will provide the Executive with a Separation Agreement and Release. As a condition to receiving the payments and benefits under this Section 5(d), the Executive must, within forty-five (45) days following receipt of the Separation Agreement and Release, sign the Separation Agreement and Release, and not revoke the Release. No amounts will be paid pursuant to this Section 5(d) if the Executive does not sign the Separation Agreement and Release within the forty-five (45) day period or revokes the Release.</w:t>
      </w:r>
    </w:p>
    <w:p>
      <w:pPr>
        <w:spacing w:after="0" w:line="21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payments and benefits to be provided to the Executive as set forth in this Section 5(d) are in lieu of any and all benefits otherwise provided under Section 5(e) of this Agreement or under any other agreement with the Executive or under any severance pay or change in control policy, plan or program maintained from time to time by the Company for its employees.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116" w:name="page117"/>
    <w:bookmarkEnd w:id="116"/>
    <w:p>
      <w:pPr>
        <w:ind w:right="500" w:firstLine="656"/>
        <w:spacing w:after="0" w:line="277" w:lineRule="auto"/>
        <w:tabs>
          <w:tab w:leader="none" w:pos="1064" w:val="left"/>
        </w:tabs>
        <w:numPr>
          <w:ilvl w:val="0"/>
          <w:numId w:val="77"/>
        </w:numPr>
        <w:rPr>
          <w:rFonts w:ascii="Arial" w:cs="Arial" w:eastAsia="Arial" w:hAnsi="Arial"/>
          <w:sz w:val="18"/>
          <w:szCs w:val="18"/>
          <w:b w:val="1"/>
          <w:bCs w:val="1"/>
          <w:color w:val="auto"/>
        </w:rPr>
      </w:pP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If the Executive experiences a Change in Control Termination, then the Executive will be entitled to the benefits described in this Section 5(e), in addition to the benefits described in Section 5(c).</w:t>
      </w:r>
    </w:p>
    <w:p>
      <w:pPr>
        <w:spacing w:after="0" w:line="224" w:lineRule="exact"/>
        <w:rPr>
          <w:rFonts w:ascii="Arial" w:cs="Arial" w:eastAsia="Arial" w:hAnsi="Arial"/>
          <w:sz w:val="18"/>
          <w:szCs w:val="18"/>
          <w:b w:val="1"/>
          <w:bCs w:val="1"/>
          <w:color w:val="auto"/>
        </w:rPr>
      </w:pPr>
    </w:p>
    <w:p>
      <w:pPr>
        <w:ind w:left="1700" w:hanging="395"/>
        <w:spacing w:after="0"/>
        <w:tabs>
          <w:tab w:leader="none" w:pos="1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Cash payments from the Company in an aggregate amount equal to:</w:t>
      </w:r>
    </w:p>
    <w:p>
      <w:pPr>
        <w:spacing w:after="0" w:line="279"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One and one-half (1½) times the Executive’s average total annual compensation for the two (2) most recently completed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 plus</w:t>
      </w:r>
    </w:p>
    <w:p>
      <w:pPr>
        <w:spacing w:after="0" w:line="265" w:lineRule="exact"/>
        <w:rPr>
          <w:sz w:val="20"/>
          <w:szCs w:val="20"/>
          <w:color w:val="auto"/>
        </w:rPr>
      </w:pPr>
    </w:p>
    <w:p>
      <w:pPr>
        <w:jc w:val="both"/>
        <w:ind w:right="280" w:firstLine="2161"/>
        <w:spacing w:after="0" w:line="264" w:lineRule="auto"/>
        <w:rPr>
          <w:sz w:val="20"/>
          <w:szCs w:val="20"/>
          <w:color w:val="auto"/>
        </w:rPr>
      </w:pPr>
      <w:r>
        <w:rPr>
          <w:rFonts w:ascii="Arial" w:cs="Arial" w:eastAsia="Arial" w:hAnsi="Arial"/>
          <w:sz w:val="18"/>
          <w:szCs w:val="18"/>
          <w:color w:val="auto"/>
        </w:rPr>
        <w:t>a pro rata portion of the target bonus that the Executive otherwise would have been eligible to receive under the Company’s bonus plan for the fiscal year during which the Executive’s employment is terminated, with such pro rata portion based on the number of complete months during the fiscal year that the Executive was employed with the Company.</w:t>
      </w:r>
    </w:p>
    <w:p>
      <w:pPr>
        <w:spacing w:after="0" w:line="20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Such aggregate amount, less payroll deductions and withholdings as reasonably determined by the Company, will be paid, subject to paragraph (e), to the Executive in a single lump sum payment on the sixtieth (60th) day following the Executive’s termination of employment.</w:t>
      </w:r>
    </w:p>
    <w:p>
      <w:pPr>
        <w:spacing w:after="0" w:line="224" w:lineRule="exact"/>
        <w:rPr>
          <w:sz w:val="20"/>
          <w:szCs w:val="20"/>
          <w:color w:val="auto"/>
        </w:rPr>
      </w:pPr>
    </w:p>
    <w:p>
      <w:pPr>
        <w:ind w:firstLine="1305"/>
        <w:spacing w:after="0" w:line="259" w:lineRule="auto"/>
        <w:tabs>
          <w:tab w:leader="none" w:pos="16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Executive is eligible for and timely elects continued coverage under the Company’s Group Health Plans pursuant to COBRA, for each of the first eighteen (18) months of the COBRA continuation period, the Company will reimburse the Executive in an amount equal to the difference between the amount the Executive pays for such COBRA continuation coverage each month and the amount paid by a full-time active employee each month for the same level of coverage elected by the Executive.</w:t>
      </w:r>
    </w:p>
    <w:p>
      <w:pPr>
        <w:spacing w:after="0" w:line="240" w:lineRule="exact"/>
        <w:rPr>
          <w:rFonts w:ascii="Arial" w:cs="Arial" w:eastAsia="Arial" w:hAnsi="Arial"/>
          <w:sz w:val="18"/>
          <w:szCs w:val="18"/>
          <w:color w:val="auto"/>
        </w:rPr>
      </w:pPr>
    </w:p>
    <w:p>
      <w:pPr>
        <w:ind w:right="100" w:firstLine="1305"/>
        <w:spacing w:after="0" w:line="277" w:lineRule="auto"/>
        <w:tabs>
          <w:tab w:leader="none" w:pos="16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outstanding and unvested options to purchase shares of the Company’s common stock and other stock incentive awards granted to the Executive under the Company’s stock incentive plan will become immediately vested and exercisable.</w:t>
      </w:r>
    </w:p>
    <w:p>
      <w:pPr>
        <w:spacing w:after="0" w:line="19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Within ten (10) business days after the Executive’s termination of employment the Company will provide the Executive with a Separation Agreement and Release. As a condition to receiving the payments and benefits under this Section 5(e), the Executive must, within forty-five (45) days following receipt of the Separation Agreement and Release, sign the Separation Agreement and Release, and not revoke the Release. No amounts will be paid pursuant to this Section 5(e) if the Executive does not sign the Separation Agreement and Release within the forty-five (45) day period or revokes the Release.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payments and benefits to be provided to the Executive as set forth in this Section 5(e) are in lieu of any and all benefits otherwise provided under Section 5(d) of this Agreement or under any other agreement with the Executive or under any severance pay or change in control policy, plan or program maintained from time to time by the Company for its employees.</w:t>
      </w:r>
    </w:p>
    <w:p>
      <w:pPr>
        <w:spacing w:after="0" w:line="235" w:lineRule="exact"/>
        <w:rPr>
          <w:sz w:val="20"/>
          <w:szCs w:val="20"/>
          <w:color w:val="auto"/>
        </w:rPr>
      </w:pPr>
    </w:p>
    <w:p>
      <w:pPr>
        <w:ind w:firstLine="656"/>
        <w:spacing w:after="0" w:line="269" w:lineRule="auto"/>
        <w:tabs>
          <w:tab w:leader="none" w:pos="1044" w:val="left"/>
        </w:tabs>
        <w:numPr>
          <w:ilvl w:val="0"/>
          <w:numId w:val="79"/>
        </w:numPr>
        <w:rPr>
          <w:rFonts w:ascii="Arial" w:cs="Arial" w:eastAsia="Arial" w:hAnsi="Arial"/>
          <w:sz w:val="17"/>
          <w:szCs w:val="17"/>
          <w:b w:val="1"/>
          <w:bCs w:val="1"/>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The Company and the Executive intend that the benefits provided under this Agreement will comply, in form and operation, with an exception to or exclusion from the requirements of Code Section 409A and applicable Internal Revenue Service regulations and this Agreement will be construed and administered in a manner that is consistent with and gives effect to such intention;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any payment is or becomes subject to the requirements of Code Section 409A, this Agreement as it relates to such payment is intended to comply with the requirements of Code Section 409A and if, at the time of the Executive’s termination of employment, the Executive is a “specified employee” within the meaning of Code Section 409A, then any payment of an amount that is deferred compensation under Code Section 409A that is payable on account of a separation from service shall be suspended and not made until the first day of the calendar month following the end of the six (6) month period following the Executive’s termination of employment. For purposes of the limitations under Code Section 409A, each payment under this Agreement shall be treated as a separate payment. In no event may the Executive, directly or indirectly, designate the calendar year of any payment to be made under this Agreement. The payments to be made under Section 5 are intended to be exempt from the requirements of Code Section 409A because they are (i) non-taxable benefits, (ii) welfare benefits within the meaning of Treas. Reg. Sec. 1.409A-1(a)(5), (iii) short-term deferrals under Treas. Reg. Sec. 1.409A-1(b)(4), or (iv) payments under a separation pay plan within the meaning of Treas. Reg. Sec. 1.409A-1(b)(9).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7" w:name="page118"/>
    <w:bookmarkEnd w:id="117"/>
    <w:p>
      <w:pPr>
        <w:ind w:firstLine="656"/>
        <w:spacing w:after="0" w:line="269" w:lineRule="auto"/>
        <w:tabs>
          <w:tab w:leader="none" w:pos="1074" w:val="left"/>
        </w:tabs>
        <w:numPr>
          <w:ilvl w:val="0"/>
          <w:numId w:val="80"/>
        </w:numPr>
        <w:rPr>
          <w:rFonts w:ascii="Arial" w:cs="Arial" w:eastAsia="Arial" w:hAnsi="Arial"/>
          <w:sz w:val="17"/>
          <w:szCs w:val="17"/>
          <w:b w:val="1"/>
          <w:bCs w:val="1"/>
          <w:color w:val="auto"/>
        </w:rPr>
      </w:pPr>
      <w:r>
        <w:rPr>
          <w:rFonts w:ascii="Arial" w:cs="Arial" w:eastAsia="Arial" w:hAnsi="Arial"/>
          <w:sz w:val="17"/>
          <w:szCs w:val="17"/>
          <w:u w:val="single" w:color="auto"/>
          <w:color w:val="auto"/>
        </w:rPr>
        <w:t>Excess Parachute Payments Under Code Section 280G</w:t>
      </w:r>
      <w:r>
        <w:rPr>
          <w:rFonts w:ascii="Arial" w:cs="Arial" w:eastAsia="Arial" w:hAnsi="Arial"/>
          <w:sz w:val="17"/>
          <w:szCs w:val="17"/>
          <w:color w:val="auto"/>
        </w:rPr>
        <w:t xml:space="preserve">. Notwithstanding any other provisions of this Agreement or any other agreement, contract or understanding heretofore or hereafter entered into between the Executive and the Company, if any “payments” (including, without limitation, any benefits or transfers of property or the acceleration of the vesting of any benefits) in the nature of compensation under any arrangement that is considered contingent on a Change in Control for purposes of Code Section 280G, together with any other payments that the Executive has the right to receive from the Company or any corporation that is a member of an “affiliated group” (as defined in Code Section 1504(a) without regard to Code Section 1504(b)) of which the Company is a member, would constitute a “parachute payment” (as defined in Code Section 280G(b)(2)), such “payments” will be reduced to the largest amount as will result in no portion of such “payments” being subject to the excise tax imposed by Code Section 4999;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reduction will be made only if the aggregate amount of the payments after such reduction exceeds the difference between (i) the amount of such payments absent such reduction minus (ii) the aggregate amount of the excise tax imposed under Code Section 4999 attributable to any such excess parachute payments. The parachute payments to be reduced under this Section 5(g) will be reduced in the following order: lump sum cash severance, health plan benefits, and option acceleration.</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PROTECTION OF THE COMPANY INTERESTS.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Parties agree that the terms and conditions of the Confidential Information, Inventions Assignment, Noncompetition and Non-Solicitation Agreement (attached as Exhibit A) will apply throughout Executive’s term of employment with the Company, and will continue to apply thereafter even if the Executive’s employment is terminated, regardless of the reason for or timing of the termination, and the termination of this Agreement. If the Executive violates his obligations under this Agreement (including his obligations under the Separation Agreement and Release and Confidential Information, Inventions Assignment, Noncompetition and Non-Solicitation Agreement), the Executive is not entitled to the compensation and benefits described in Sections 5(d) and 5(e) and must repay the Company for any such amounts he has received.</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CONFLICT OF INTEREST.</w:t>
      </w:r>
    </w:p>
    <w:p>
      <w:pPr>
        <w:spacing w:after="0" w:line="2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Executive agrees not to engage in any conduct which might result in, or create the appearance of using the Executive’s position for private gain, or otherwise create a conflict of interest or the appearance of a conflict of interest with the Company. Such conduct includes without limitation having an undisclosed financial interest in any vendor or supplier of the Company, accepting payments of any kind or gifts other than of a nominal value from vendors, customers or suppliers, or having an undisclosed relationship with a family member or other individual who is employed by any entity in active or potential competition with the Company, and which creates a conflict of interest. While still employed at the Company, the Executive must not establish, operate, participate in advise or assist to establish in an manner whatsoever any business, which could or would be in competition with the Company’s business, and the Executive must not take any preliminary or preparatory steps toward establishing or operating such a business. Notwithstanding the foregoing, the Executive may own less than two percent (2%) of any class of stock or security of any company which competes with the Company listed on a national securities exchange.</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RETURN OF COMPANY PROPERTY.</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the date that the Executive’s employment with the Company ends, or at any prior time at the Company’s request, the Executive will deliver to the Company all documents, electronic and other data, manuals, pricing lists, notes, writings, customer and product lists, identification cards, access cards, keys, credit cards, computer programs and all other documents or tangible materials whatsoever, including all copies or duplicates, concerning any part of the Company’s activities or concerning any activities as a Company employee. The Executive acknowledges and agrees that all such documents and tangible materials, and copies or duplicates thereof, including the Executive’s own notes, are the Company’s property which is only entrusted to the Executive on a temporary basis. After returning these documents, data, and other property, the Executive will immediately permanently delete from any electronic media in the Executive’s possession, custody, or control (such as computers, cell phones, hand-held devices, back-up devices, zip drives, MP3 players, PDAs, etc.) or to which the Executive has access (such as remote e-mail exchange servers, back-up servers, off-site storage, etc.), all Company documents or electronically stored images, and other data or data compilations stored in any medium from which such information can be obtained. The Executive also agrees to provide the Company with list of any documents that the Executive created or is otherwise aware that are password-protected and the password(s) necessary to access such password-protected documents.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18" w:name="page119"/>
    <w:bookmarkEnd w:id="118"/>
    <w:p>
      <w:pPr>
        <w:ind w:left="200"/>
        <w:spacing w:after="0"/>
        <w:rPr>
          <w:sz w:val="20"/>
          <w:szCs w:val="20"/>
          <w:color w:val="auto"/>
        </w:rPr>
      </w:pPr>
      <w:r>
        <w:rPr>
          <w:rFonts w:ascii="Arial" w:cs="Arial" w:eastAsia="Arial" w:hAnsi="Arial"/>
          <w:sz w:val="18"/>
          <w:szCs w:val="18"/>
          <w:color w:val="auto"/>
        </w:rPr>
        <w:t>MISCELLANEOUS.</w:t>
      </w:r>
    </w:p>
    <w:p>
      <w:pPr>
        <w:spacing w:after="0" w:line="279" w:lineRule="exact"/>
        <w:rPr>
          <w:sz w:val="20"/>
          <w:szCs w:val="20"/>
          <w:color w:val="auto"/>
        </w:rPr>
      </w:pPr>
    </w:p>
    <w:p>
      <w:pPr>
        <w:ind w:left="-20" w:right="100" w:firstLine="656"/>
        <w:spacing w:after="0" w:line="277" w:lineRule="auto"/>
        <w:tabs>
          <w:tab w:leader="none" w:pos="105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Clawback Forfeiture and Recoupment</w:t>
      </w:r>
      <w:r>
        <w:rPr>
          <w:rFonts w:ascii="Arial" w:cs="Arial" w:eastAsia="Arial" w:hAnsi="Arial"/>
          <w:sz w:val="18"/>
          <w:szCs w:val="18"/>
          <w:color w:val="auto"/>
        </w:rPr>
        <w:t>. Any amounts paid to the Executive under this Agreement will be subject to any “clawback,” forfeiture or recoupment policy adopted by the Company either prior to or after the date of this Agreement.</w:t>
      </w:r>
    </w:p>
    <w:p>
      <w:pPr>
        <w:spacing w:after="0" w:line="224" w:lineRule="exact"/>
        <w:rPr>
          <w:rFonts w:ascii="Arial" w:cs="Arial" w:eastAsia="Arial" w:hAnsi="Arial"/>
          <w:sz w:val="18"/>
          <w:szCs w:val="18"/>
          <w:b w:val="1"/>
          <w:bCs w:val="1"/>
          <w:color w:val="auto"/>
        </w:rPr>
      </w:pPr>
    </w:p>
    <w:p>
      <w:pPr>
        <w:ind w:left="-20" w:right="20" w:firstLine="656"/>
        <w:spacing w:after="0" w:line="264" w:lineRule="auto"/>
        <w:tabs>
          <w:tab w:leader="none" w:pos="106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Compliance with Policies and Procedures</w:t>
      </w:r>
      <w:r>
        <w:rPr>
          <w:rFonts w:ascii="Arial" w:cs="Arial" w:eastAsia="Arial" w:hAnsi="Arial"/>
          <w:sz w:val="18"/>
          <w:szCs w:val="18"/>
          <w:color w:val="auto"/>
        </w:rPr>
        <w:t>. The Executive agrees to comply in all respects with the Company’s policies and procedures applicable to the Executive as such policies and procedures are amended from time to time, including without limitation the Company’s insider trading policy, code of ethics and Foreign Corrupt Practices Act Anti-Bribery Code of Compliance.</w:t>
      </w:r>
    </w:p>
    <w:p>
      <w:pPr>
        <w:spacing w:after="0" w:line="235" w:lineRule="exact"/>
        <w:rPr>
          <w:rFonts w:ascii="Arial" w:cs="Arial" w:eastAsia="Arial" w:hAnsi="Arial"/>
          <w:sz w:val="18"/>
          <w:szCs w:val="18"/>
          <w:b w:val="1"/>
          <w:bCs w:val="1"/>
          <w:color w:val="auto"/>
        </w:rPr>
      </w:pPr>
    </w:p>
    <w:p>
      <w:pPr>
        <w:ind w:left="-20" w:right="40" w:firstLine="656"/>
        <w:spacing w:after="0" w:line="259" w:lineRule="auto"/>
        <w:tabs>
          <w:tab w:leader="none" w:pos="104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Assignment and Transfer</w:t>
      </w:r>
      <w:r>
        <w:rPr>
          <w:rFonts w:ascii="Arial" w:cs="Arial" w:eastAsia="Arial" w:hAnsi="Arial"/>
          <w:sz w:val="18"/>
          <w:szCs w:val="18"/>
          <w:color w:val="auto"/>
        </w:rPr>
        <w:t>. The Company’s rights and obligations under this Agreement may be assigned by the Company without the consent of the Executive. This Agreement will be binding upon and inure to the benefit of, and be enforceable by, the successors, legal representatives, and assigns of the Company. The Executive’s rights and obligations under this Agreement will not be transferable by the Executive by assignment or otherwise, and any purported assignment or transfer thereof will be void.</w:t>
      </w:r>
    </w:p>
    <w:p>
      <w:pPr>
        <w:spacing w:after="0" w:line="240" w:lineRule="exact"/>
        <w:rPr>
          <w:rFonts w:ascii="Arial" w:cs="Arial" w:eastAsia="Arial" w:hAnsi="Arial"/>
          <w:sz w:val="18"/>
          <w:szCs w:val="18"/>
          <w:b w:val="1"/>
          <w:bCs w:val="1"/>
          <w:color w:val="auto"/>
        </w:rPr>
      </w:pPr>
    </w:p>
    <w:p>
      <w:pPr>
        <w:ind w:left="-20" w:right="400" w:firstLine="656"/>
        <w:spacing w:after="0" w:line="264" w:lineRule="auto"/>
        <w:tabs>
          <w:tab w:leader="none" w:pos="106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of the provisions of this Agreement, or the application of any such provisions to the Executive or the Company with respect to obligations hereunder, is held to be unlawful or unenforceable by any court, then the remaining portions of this Agreement will remain in full force and effect and will not be invalidated or impaired in any manner.</w:t>
      </w:r>
    </w:p>
    <w:p>
      <w:pPr>
        <w:spacing w:after="0" w:line="235" w:lineRule="exact"/>
        <w:rPr>
          <w:rFonts w:ascii="Arial" w:cs="Arial" w:eastAsia="Arial" w:hAnsi="Arial"/>
          <w:sz w:val="18"/>
          <w:szCs w:val="18"/>
          <w:b w:val="1"/>
          <w:bCs w:val="1"/>
          <w:color w:val="auto"/>
        </w:rPr>
      </w:pPr>
    </w:p>
    <w:p>
      <w:pPr>
        <w:ind w:left="-20" w:right="140" w:firstLine="656"/>
        <w:spacing w:after="0" w:line="259" w:lineRule="auto"/>
        <w:tabs>
          <w:tab w:leader="none" w:pos="104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Neither any course of dealing nor any failure or neglect of either party in any instance to exercise any right, power or privilege under this Agreement or law will constitute a waiver of any other right, power or privilege or of the same right, power or privilege in any other instance. All waivers by either Party must be contained in a written instrument signed by the party to be charged and, in the case of the Company, by its duly authorized officer.</w:t>
      </w:r>
    </w:p>
    <w:p>
      <w:pPr>
        <w:spacing w:after="0" w:line="240" w:lineRule="exact"/>
        <w:rPr>
          <w:rFonts w:ascii="Arial" w:cs="Arial" w:eastAsia="Arial" w:hAnsi="Arial"/>
          <w:sz w:val="18"/>
          <w:szCs w:val="18"/>
          <w:b w:val="1"/>
          <w:bCs w:val="1"/>
          <w:color w:val="auto"/>
        </w:rPr>
      </w:pPr>
    </w:p>
    <w:p>
      <w:pPr>
        <w:ind w:left="-20" w:firstLine="656"/>
        <w:spacing w:after="0" w:line="264" w:lineRule="auto"/>
        <w:tabs>
          <w:tab w:leader="none" w:pos="102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contains the entire agreement between the Executive and the Company with respect to the subject matter of this Agreement, and supersedes any and all prior agreements and understandings, oral or written, between the Executive and the Company with respect to the subject matter of this Agreement.</w:t>
      </w:r>
    </w:p>
    <w:p>
      <w:pPr>
        <w:spacing w:after="0" w:line="235" w:lineRule="exact"/>
        <w:rPr>
          <w:rFonts w:ascii="Arial" w:cs="Arial" w:eastAsia="Arial" w:hAnsi="Arial"/>
          <w:sz w:val="18"/>
          <w:szCs w:val="18"/>
          <w:b w:val="1"/>
          <w:bCs w:val="1"/>
          <w:color w:val="auto"/>
        </w:rPr>
      </w:pPr>
    </w:p>
    <w:p>
      <w:pPr>
        <w:ind w:left="-20" w:right="660" w:firstLine="656"/>
        <w:spacing w:after="0" w:line="277" w:lineRule="auto"/>
        <w:tabs>
          <w:tab w:leader="none" w:pos="105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an agreement in writing manually signed by the Executive and an authorized representative of the Company (other than the Executive).</w:t>
      </w:r>
    </w:p>
    <w:p>
      <w:pPr>
        <w:spacing w:after="0" w:line="224" w:lineRule="exact"/>
        <w:rPr>
          <w:rFonts w:ascii="Arial" w:cs="Arial" w:eastAsia="Arial" w:hAnsi="Arial"/>
          <w:sz w:val="18"/>
          <w:szCs w:val="18"/>
          <w:b w:val="1"/>
          <w:bCs w:val="1"/>
          <w:color w:val="auto"/>
        </w:rPr>
      </w:pPr>
    </w:p>
    <w:p>
      <w:pPr>
        <w:jc w:val="both"/>
        <w:ind w:left="-20" w:right="180" w:firstLine="656"/>
        <w:spacing w:after="0" w:line="312" w:lineRule="auto"/>
        <w:tabs>
          <w:tab w:leader="none" w:pos="1064" w:val="left"/>
        </w:tabs>
        <w:numPr>
          <w:ilvl w:val="0"/>
          <w:numId w:val="81"/>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Governing Law and Venue</w:t>
      </w:r>
      <w:r>
        <w:rPr>
          <w:rFonts w:ascii="Arial" w:cs="Arial" w:eastAsia="Arial" w:hAnsi="Arial"/>
          <w:sz w:val="16"/>
          <w:szCs w:val="16"/>
          <w:color w:val="auto"/>
        </w:rPr>
        <w:t>. This Agreement will be governed by the laws of the State of Minnesota. The Executive hereby agrees to submit to personal jurisdiction in the State of Minnesota and agrees that any action relating to this Agreement or otherwise to the Executive’s employment with the Company must be venued exclusively in Anoka County District Court or the United States District Court for the District of Minnesota.</w:t>
      </w:r>
    </w:p>
    <w:p>
      <w:pPr>
        <w:spacing w:after="0" w:line="200" w:lineRule="exact"/>
        <w:rPr>
          <w:rFonts w:ascii="Arial" w:cs="Arial" w:eastAsia="Arial" w:hAnsi="Arial"/>
          <w:sz w:val="16"/>
          <w:szCs w:val="16"/>
          <w:b w:val="1"/>
          <w:bCs w:val="1"/>
          <w:color w:val="auto"/>
        </w:rPr>
      </w:pPr>
    </w:p>
    <w:p>
      <w:pPr>
        <w:ind w:left="-20" w:right="100" w:firstLine="656"/>
        <w:spacing w:after="0" w:line="259" w:lineRule="auto"/>
        <w:tabs>
          <w:tab w:leader="none" w:pos="101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under this Agreement shall be in writing and hand-delivered or sent by registered or certified first-class mail, postage prepaid, and shall be effective upon delivery if hand-delivered, three (3) days after mailing if mailed or one (1) day after delivery to a commercial overnight delivery service, in each case to the addresses stated at the beginning of this Agreement. These addresses may be changed at any time by like notice.</w:t>
      </w:r>
    </w:p>
    <w:p>
      <w:pPr>
        <w:spacing w:after="0" w:line="240" w:lineRule="exact"/>
        <w:rPr>
          <w:rFonts w:ascii="Arial" w:cs="Arial" w:eastAsia="Arial" w:hAnsi="Arial"/>
          <w:sz w:val="18"/>
          <w:szCs w:val="18"/>
          <w:b w:val="1"/>
          <w:bCs w:val="1"/>
          <w:color w:val="auto"/>
        </w:rPr>
      </w:pPr>
    </w:p>
    <w:p>
      <w:pPr>
        <w:ind w:left="-20" w:right="280" w:firstLine="656"/>
        <w:spacing w:after="0" w:line="277" w:lineRule="auto"/>
        <w:tabs>
          <w:tab w:leader="none" w:pos="1024"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so executed will be deemed to be an original, and such counterparts will together constitute but one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60" w:top="301" w:right="2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t>IN WITNESS WHEREOF, the Company and the Executive have executed this Agreement as of the date first above written.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NORTHERN TECHNOLOGIES</w:t>
            </w:r>
          </w:p>
        </w:tc>
        <w:tc>
          <w:tcPr>
            <w:tcW w:w="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860" w:type="dxa"/>
            <w:vAlign w:val="bottom"/>
            <w:gridSpan w:val="3"/>
          </w:tcPr>
          <w:p>
            <w:pPr>
              <w:spacing w:after="0"/>
              <w:rPr>
                <w:sz w:val="20"/>
                <w:szCs w:val="20"/>
                <w:color w:val="auto"/>
              </w:rPr>
            </w:pPr>
            <w:r>
              <w:rPr>
                <w:rFonts w:ascii="Arial" w:cs="Arial" w:eastAsia="Arial" w:hAnsi="Arial"/>
                <w:sz w:val="18"/>
                <w:szCs w:val="18"/>
                <w:color w:val="auto"/>
              </w:rPr>
              <w:t>INTERNATIONAL CORPORATION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rPr>
              <w:t>EXECUTIVE</w:t>
            </w:r>
          </w:p>
        </w:tc>
      </w:tr>
      <w:tr>
        <w:trPr>
          <w:trHeight w:val="608"/>
        </w:trPr>
        <w:tc>
          <w:tcPr>
            <w:tcW w:w="4860" w:type="dxa"/>
            <w:vAlign w:val="bottom"/>
            <w:gridSpan w:val="3"/>
          </w:tcPr>
          <w:p>
            <w:pPr>
              <w:spacing w:after="0"/>
              <w:rPr>
                <w:sz w:val="20"/>
                <w:szCs w:val="20"/>
                <w:color w:val="auto"/>
              </w:rPr>
            </w:pPr>
            <w:r>
              <w:rPr>
                <w:rFonts w:ascii="Arial" w:cs="Arial" w:eastAsia="Arial" w:hAnsi="Arial"/>
                <w:sz w:val="18"/>
                <w:szCs w:val="18"/>
                <w:color w:val="auto"/>
              </w:rPr>
              <w:t>By: /s/ Richard J. Nigon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rPr>
              <w:t>/s/ Matthew C Wolsfeld</w:t>
            </w:r>
          </w:p>
        </w:tc>
      </w:tr>
      <w:tr>
        <w:trPr>
          <w:trHeight w:val="237"/>
        </w:trPr>
        <w:tc>
          <w:tcPr>
            <w:tcW w:w="3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w:t>
            </w:r>
          </w:p>
        </w:tc>
        <w:tc>
          <w:tcPr>
            <w:tcW w:w="160" w:type="dxa"/>
            <w:vAlign w:val="bottom"/>
          </w:tcPr>
          <w:p>
            <w:pPr>
              <w:spacing w:after="0"/>
              <w:rPr>
                <w:sz w:val="20"/>
                <w:szCs w:val="20"/>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Name: Richard J. Nigon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w w:val="90"/>
              </w:rPr>
              <w:t>Date: November 18, 2011</w:t>
            </w: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Title: Chairman of Audit and Compensation Committee</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Date: November 18, 2011</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INFORMATION, INVENTIONS ASSIGNMENT, NONCOMPETITION AND NON-SOLICITATION AGREEMENT</w:t>
      </w:r>
    </w:p>
    <w:p>
      <w:pPr>
        <w:spacing w:after="0" w:line="200" w:lineRule="exact"/>
        <w:rPr>
          <w:sz w:val="20"/>
          <w:szCs w:val="20"/>
          <w:color w:val="auto"/>
        </w:rPr>
      </w:pPr>
    </w:p>
    <w:p>
      <w:pPr>
        <w:spacing w:after="0" w:line="299"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This Agreement (together with Attachment A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this 18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2011, and is made by and between NORTHERN TECHNOLOGIES INTERNATIONAL CORPORATION, a Delaware corporation, on behalf of itself, its subsidiaries and affiliates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with its principal place of business at 4201 Woodland Road, Circle Pines, MN 55014, and MATTHEW C. WOLSFELD, (the “</w:t>
      </w:r>
      <w:r>
        <w:rPr>
          <w:rFonts w:ascii="Arial" w:cs="Arial" w:eastAsia="Arial" w:hAnsi="Arial"/>
          <w:sz w:val="18"/>
          <w:szCs w:val="18"/>
          <w:u w:val="single" w:color="auto"/>
          <w:color w:val="auto"/>
        </w:rPr>
        <w:t>Executive</w:t>
      </w:r>
      <w:r>
        <w:rPr>
          <w:rFonts w:ascii="Arial" w:cs="Arial" w:eastAsia="Arial" w:hAnsi="Arial"/>
          <w:sz w:val="18"/>
          <w:szCs w:val="18"/>
          <w:color w:val="auto"/>
        </w:rPr>
        <w:t>”) (hereafter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is in the business of developing, producing and commercializing environmentally beneficial products and services in over fifty-five (55) countries either directly or through a network of joint ventures, independent distributors and agents.</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WHEREAS, the Company has expended considerable time, effort and resources in the development of its trade secrets, confidential information, and customer goodwill, and in the recruitment and training of its workforce. The success of the Company is dependent in large measure on the preservation of its trade secrets, confidential information, customer goodwill and workforce, and in the prevention of unfair competition.</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WHEREAS, the Executive will be performing services for the Company in a confidential capacity and will be entrusted by the Company with its valuable assets including proprietary information, trade secrets, customer goodwill and its workforce. The Executive recognizes the importance of protecting these Company assets.</w:t>
      </w:r>
    </w:p>
    <w:p>
      <w:pPr>
        <w:spacing w:after="0" w:line="20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WHEREAS, the Company requires the Executive to agree and the Executive hereby does agree, in exchange for the promise of continued at-will employment with the Company and benefits provided to the Executive under his Executive Employment Agreement, dated November 18, 2011, to reasonable restrictions on the Executive’s activities during and for a reasonable period of time after the Executive’s termination of employment, for the purpose of ensuring the preservation and protection of the Company’s assets, including its intellectual property, confidential information, trade secrets, physical assets, customer goodwill and its highly trained workforce.</w:t>
      </w:r>
    </w:p>
    <w:p>
      <w:pPr>
        <w:spacing w:after="0" w:line="21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WHEREAS, the Executive acknowledges and understands that this is an enforceable contract that the Executive must read and sign as a condition of employment with the Company. The Executive understands that this Agreement applies regardless of whether there are any changes in the Executive’s job duties, job title, and location of work or division assignment.</w:t>
      </w:r>
    </w:p>
    <w:p>
      <w:pPr>
        <w:spacing w:after="0" w:line="20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NOW THEREFORE, in consideration of the Executive’s continued at-will employment with the Company and benefits provided to the Executive under his Executive Employment Agreement, dated November 18, 2011, the sufficiency of which is hereby acknowledged, the Executive and the Company agrees as follows.</w:t>
      </w:r>
    </w:p>
    <w:p>
      <w:pPr>
        <w:spacing w:after="0" w:line="235"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definitions apply to this Agreement:</w:t>
      </w:r>
    </w:p>
    <w:p>
      <w:pPr>
        <w:spacing w:after="0" w:line="279" w:lineRule="exact"/>
        <w:rPr>
          <w:sz w:val="20"/>
          <w:szCs w:val="20"/>
          <w:color w:val="auto"/>
        </w:rPr>
      </w:pPr>
    </w:p>
    <w:p>
      <w:pPr>
        <w:ind w:right="240" w:firstLine="656"/>
        <w:spacing w:after="0" w:line="286" w:lineRule="auto"/>
        <w:tabs>
          <w:tab w:leader="none" w:pos="1064"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Product</w:t>
      </w:r>
      <w:r>
        <w:rPr>
          <w:rFonts w:ascii="Arial" w:cs="Arial" w:eastAsia="Arial" w:hAnsi="Arial"/>
          <w:sz w:val="17"/>
          <w:szCs w:val="17"/>
          <w:color w:val="auto"/>
        </w:rPr>
        <w:t>” means any product, product under development, product line, service, technology or product concept that the Company has investigated, studied, conceived, designed, developed (or is under development), manufactured, marketed, sold, or regarding which the Company has conducted or acquired research and development prior to or during the term of the Executive’s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ind w:left="-60" w:right="40" w:firstLine="656"/>
        <w:spacing w:after="0" w:line="264" w:lineRule="auto"/>
        <w:tabs>
          <w:tab w:leader="none" w:pos="10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Conflicting Product</w:t>
      </w:r>
      <w:r>
        <w:rPr>
          <w:rFonts w:ascii="Arial" w:cs="Arial" w:eastAsia="Arial" w:hAnsi="Arial"/>
          <w:sz w:val="18"/>
          <w:szCs w:val="18"/>
          <w:color w:val="auto"/>
        </w:rPr>
        <w:t>” means any product, product line, technology, product concept or service that is the same or similar, competes with, may be substituted for, replaces, resembles, performs any of the same or similar functions, is used or intended to be used for any of the same purposes as a Company Product.</w:t>
      </w:r>
    </w:p>
    <w:p>
      <w:pPr>
        <w:spacing w:after="0" w:line="235" w:lineRule="exact"/>
        <w:rPr>
          <w:rFonts w:ascii="Arial" w:cs="Arial" w:eastAsia="Arial" w:hAnsi="Arial"/>
          <w:sz w:val="18"/>
          <w:szCs w:val="18"/>
          <w:color w:val="auto"/>
        </w:rPr>
      </w:pPr>
    </w:p>
    <w:p>
      <w:pPr>
        <w:ind w:left="-60" w:right="20" w:firstLine="656"/>
        <w:spacing w:after="0" w:line="259" w:lineRule="auto"/>
        <w:tabs>
          <w:tab w:leader="none" w:pos="10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Conflicting Organization</w:t>
      </w:r>
      <w:r>
        <w:rPr>
          <w:rFonts w:ascii="Arial" w:cs="Arial" w:eastAsia="Arial" w:hAnsi="Arial"/>
          <w:sz w:val="18"/>
          <w:szCs w:val="18"/>
          <w:color w:val="auto"/>
        </w:rPr>
        <w:t>” means any person (including the Executive) or entity, and any parent, subsidiary, partner, or affiliate of any such person or entity, who or that engages in or is planning within one (1) year to become engaged in, the creation, development, design, production, manufacture, promotion, sale, marketing, support or service of a Conflicting Product anywhere in the world where the Company sells, markets or has implemented a plan to sell or market any of its products or services.</w:t>
      </w:r>
    </w:p>
    <w:p>
      <w:pPr>
        <w:spacing w:after="0" w:line="240" w:lineRule="exact"/>
        <w:rPr>
          <w:rFonts w:ascii="Arial" w:cs="Arial" w:eastAsia="Arial" w:hAnsi="Arial"/>
          <w:sz w:val="18"/>
          <w:szCs w:val="18"/>
          <w:color w:val="auto"/>
        </w:rPr>
      </w:pPr>
    </w:p>
    <w:p>
      <w:pPr>
        <w:jc w:val="both"/>
        <w:ind w:left="-60" w:right="100" w:firstLine="656"/>
        <w:spacing w:after="0" w:line="276" w:lineRule="auto"/>
        <w:tabs>
          <w:tab w:leader="none" w:pos="1014"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Invention</w:t>
      </w:r>
      <w:r>
        <w:rPr>
          <w:rFonts w:ascii="Arial" w:cs="Arial" w:eastAsia="Arial" w:hAnsi="Arial"/>
          <w:sz w:val="17"/>
          <w:szCs w:val="17"/>
          <w:color w:val="auto"/>
        </w:rPr>
        <w:t>” means any invention, discovery, improvement, technology, process, idea, design, concept, patent application, prototype, software code, documentation or work of authorship, whether or not in writing or reduced to practice and whether or not patentable or copyrightable, made, authored or conceived by the Executive whether by the Executive’s individual efforts or in connection with the efforts of others, and that (i) relates in any way to the Company’s business, products or processes, past, present, anticipated or under development, or (ii) results in any way from the Executive’s employment by the Company, or (iii) uses the Company’s equipment, supplies, facilities, trade secrets, or confidential information.</w:t>
      </w:r>
    </w:p>
    <w:p>
      <w:pPr>
        <w:spacing w:after="0" w:line="226" w:lineRule="exact"/>
        <w:rPr>
          <w:rFonts w:ascii="Arial" w:cs="Arial" w:eastAsia="Arial" w:hAnsi="Arial"/>
          <w:sz w:val="17"/>
          <w:szCs w:val="17"/>
          <w:color w:val="auto"/>
        </w:rPr>
      </w:pPr>
    </w:p>
    <w:p>
      <w:pPr>
        <w:ind w:left="-60" w:firstLine="656"/>
        <w:spacing w:after="0" w:line="257" w:lineRule="auto"/>
        <w:tabs>
          <w:tab w:leader="none" w:pos="10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w:t>
      </w:r>
      <w:r>
        <w:rPr>
          <w:rFonts w:ascii="Arial" w:cs="Arial" w:eastAsia="Arial" w:hAnsi="Arial"/>
          <w:sz w:val="18"/>
          <w:szCs w:val="18"/>
          <w:color w:val="auto"/>
        </w:rPr>
        <w:t>” means information that the Company uses in its business and that is the subject of reasonable efforts by the Company to maintain its secrecy, including without limitation, any formula, pattern, compilation, program, device, method, technique, process, concept, design, or idea that derives independent economic value, actual or potential, from not being generally known to and not being readily ascertainable by proper means by other persons who can obtain economic value from its disclosure or use, and is the subject of efforts that are reasonable under the circumstances to maintain its secrecy.</w:t>
      </w:r>
    </w:p>
    <w:p>
      <w:pPr>
        <w:spacing w:after="0" w:line="242" w:lineRule="exact"/>
        <w:rPr>
          <w:rFonts w:ascii="Arial" w:cs="Arial" w:eastAsia="Arial" w:hAnsi="Arial"/>
          <w:sz w:val="18"/>
          <w:szCs w:val="18"/>
          <w:color w:val="auto"/>
        </w:rPr>
      </w:pPr>
    </w:p>
    <w:p>
      <w:pPr>
        <w:jc w:val="both"/>
        <w:ind w:left="-60" w:right="60" w:firstLine="656"/>
        <w:spacing w:after="0" w:line="264" w:lineRule="auto"/>
        <w:tabs>
          <w:tab w:leader="none" w:pos="9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proprietary, confidential or competitively sensitive information and materials that are the property of or relate to the Company and which derives independent economic value from not being generally known or ascertainable by proper means but which does not constitute one or more Trade Secrets as described above, including without limitation:</w:t>
      </w:r>
    </w:p>
    <w:p>
      <w:pPr>
        <w:spacing w:after="0" w:line="235" w:lineRule="exact"/>
        <w:rPr>
          <w:rFonts w:ascii="Arial" w:cs="Arial" w:eastAsia="Arial" w:hAnsi="Arial"/>
          <w:sz w:val="18"/>
          <w:szCs w:val="18"/>
          <w:color w:val="auto"/>
        </w:rPr>
      </w:pPr>
    </w:p>
    <w:p>
      <w:pPr>
        <w:ind w:left="120" w:right="120" w:firstLine="1287"/>
        <w:spacing w:after="0" w:line="308" w:lineRule="auto"/>
        <w:tabs>
          <w:tab w:leader="none" w:pos="1802"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inventions, designs, discoveries, works of authorship, improvements or ideas whether or not patentable or copyrightable, methods, processes, techniques, shop practices, formulae, compounds, or compositions developed or otherwise possessed by Company;</w:t>
      </w:r>
    </w:p>
    <w:p>
      <w:pPr>
        <w:spacing w:after="0" w:line="200" w:lineRule="exact"/>
        <w:rPr>
          <w:rFonts w:ascii="Arial" w:cs="Arial" w:eastAsia="Arial" w:hAnsi="Arial"/>
          <w:sz w:val="17"/>
          <w:szCs w:val="17"/>
          <w:color w:val="auto"/>
        </w:rPr>
      </w:pPr>
    </w:p>
    <w:p>
      <w:pPr>
        <w:ind w:left="120" w:right="400" w:firstLine="1287"/>
        <w:spacing w:after="0" w:line="308" w:lineRule="auto"/>
        <w:tabs>
          <w:tab w:leader="none" w:pos="1852"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subject matter of Company’s patents, design patents, copyrights, operating instructions and other industrial property to the extent that such information is unavailable to the public and/or is in incomplete stages of design or research and development;</w:t>
      </w:r>
    </w:p>
    <w:p>
      <w:pPr>
        <w:spacing w:after="0" w:line="200" w:lineRule="exact"/>
        <w:rPr>
          <w:rFonts w:ascii="Arial" w:cs="Arial" w:eastAsia="Arial" w:hAnsi="Arial"/>
          <w:sz w:val="17"/>
          <w:szCs w:val="17"/>
          <w:color w:val="auto"/>
        </w:rPr>
      </w:pPr>
    </w:p>
    <w:p>
      <w:pPr>
        <w:ind w:left="120" w:right="700" w:firstLine="1287"/>
        <w:spacing w:after="0" w:line="277" w:lineRule="auto"/>
        <w:tabs>
          <w:tab w:leader="none" w:pos="190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identity of the Company’s past, present and prospective customers, suppliers or business contacts, and all documents, information and materials that concern or relate to such customers, suppliers or business contacts;</w:t>
      </w:r>
    </w:p>
    <w:p>
      <w:pPr>
        <w:spacing w:after="0" w:line="224" w:lineRule="exact"/>
        <w:rPr>
          <w:rFonts w:ascii="Arial" w:cs="Arial" w:eastAsia="Arial" w:hAnsi="Arial"/>
          <w:sz w:val="18"/>
          <w:szCs w:val="18"/>
          <w:color w:val="auto"/>
        </w:rPr>
      </w:pPr>
    </w:p>
    <w:p>
      <w:pPr>
        <w:ind w:left="120" w:right="80" w:firstLine="1287"/>
        <w:spacing w:after="0" w:line="259" w:lineRule="auto"/>
        <w:tabs>
          <w:tab w:leader="none" w:pos="1892" w:val="left"/>
        </w:tabs>
        <w:numPr>
          <w:ilvl w:val="1"/>
          <w:numId w:val="84"/>
        </w:numPr>
        <w:rPr>
          <w:rFonts w:ascii="Arial" w:cs="Arial" w:eastAsia="Arial" w:hAnsi="Arial"/>
          <w:sz w:val="18"/>
          <w:szCs w:val="18"/>
          <w:color w:val="auto"/>
        </w:rPr>
      </w:pPr>
      <w:r>
        <w:rPr>
          <w:rFonts w:ascii="Arial" w:cs="Arial" w:eastAsia="Arial" w:hAnsi="Arial"/>
          <w:sz w:val="18"/>
          <w:szCs w:val="18"/>
          <w:color w:val="auto"/>
        </w:rPr>
        <w:t>organizational and operational information such as marketing information, sales information, advertising information, techniques, strategies, business plans, product development information, delivery schedules, market research, forecasts, personnel and salary data, methods of operation, financial data, statements and projections, pricing information, costs, sales, budgets, profits and merger, acquisition, expansion or divestiture information;</w:t>
      </w:r>
    </w:p>
    <w:p>
      <w:pPr>
        <w:spacing w:after="0" w:line="240" w:lineRule="exact"/>
        <w:rPr>
          <w:rFonts w:ascii="Arial" w:cs="Arial" w:eastAsia="Arial" w:hAnsi="Arial"/>
          <w:sz w:val="18"/>
          <w:szCs w:val="18"/>
          <w:color w:val="auto"/>
        </w:rPr>
      </w:pPr>
    </w:p>
    <w:p>
      <w:pPr>
        <w:ind w:left="120" w:right="300" w:firstLine="1287"/>
        <w:spacing w:after="0" w:line="264" w:lineRule="auto"/>
        <w:tabs>
          <w:tab w:leader="none" w:pos="184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technical information including that relating to manufacturing processes, product preparation, presentation, packaging, delivery methods, quality control measures and processes, product specifications, improvements, discoveries, developments, designs, inventions, and other proprietary processes;</w:t>
      </w:r>
    </w:p>
    <w:p>
      <w:pPr>
        <w:spacing w:after="0" w:line="235" w:lineRule="exact"/>
        <w:rPr>
          <w:rFonts w:ascii="Arial" w:cs="Arial" w:eastAsia="Arial" w:hAnsi="Arial"/>
          <w:sz w:val="18"/>
          <w:szCs w:val="18"/>
          <w:color w:val="auto"/>
        </w:rPr>
      </w:pPr>
    </w:p>
    <w:p>
      <w:pPr>
        <w:ind w:left="1880" w:hanging="473"/>
        <w:spacing w:after="0"/>
        <w:tabs>
          <w:tab w:leader="none" w:pos="1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information disclosed to the Executive as part of any training process;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300" w:top="301" w:right="299" w:bottom="1440" w:gutter="0" w:footer="0" w:header="0"/>
        </w:sectPr>
      </w:pPr>
    </w:p>
    <w:bookmarkStart w:id="122" w:name="page123"/>
    <w:bookmarkEnd w:id="122"/>
    <w:p>
      <w:pPr>
        <w:ind w:left="180" w:right="40" w:firstLine="1287"/>
        <w:spacing w:after="0" w:line="264" w:lineRule="auto"/>
        <w:tabs>
          <w:tab w:leader="none" w:pos="200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document marked “Confidential,” or any information which the Executive has been told is confidential or which the Executive might reasonably expect Company would regard as confidential, or any information which has been given Company in confidence by customers, suppliers or other persons.</w:t>
      </w:r>
    </w:p>
    <w:p>
      <w:pPr>
        <w:spacing w:after="0" w:line="235" w:lineRule="exact"/>
        <w:rPr>
          <w:rFonts w:ascii="Arial" w:cs="Arial" w:eastAsia="Arial" w:hAnsi="Arial"/>
          <w:sz w:val="18"/>
          <w:szCs w:val="18"/>
          <w:color w:val="auto"/>
        </w:rPr>
      </w:pPr>
    </w:p>
    <w:p>
      <w:pPr>
        <w:ind w:left="360" w:hanging="352"/>
        <w:spacing w:after="0"/>
        <w:tabs>
          <w:tab w:leader="none" w:pos="36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COMPLIANCE WITH PRIOR AGREEMENTS AND DUTIES.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Executive represents and warrants to the Company that the Executive is not currently subject to a non-competition, confidentiality or other such agreement with a former employer which prohibits or restricts the Executive from working for the Company, or performing the services which the Company would like the Executive to perform. Further, the Executive represents and warrants to the Company that the Executive has not brought and will not bring to the Company any proprietary information, customer lists, trade secrets, confidential information, or any other property which belongs to any of the Executive’s former employers. The Executive agrees and understands that the Company does not want the Executive to utilize any such confidential or proprietary information, trade secrets, or property on the Company’s behalf. The Executive further agrees and understands that any misrepresentation, including, but not limited to a misrepresentation that the Executive is not subject to a non-competition, confidentiality or other such agreement with a former employer which prohibits or restricting the Executive from working for the Company, may result in the termination of the Executive’s employment with the Company, regardless of when the Company discovers such misrepresentation.</w:t>
      </w:r>
    </w:p>
    <w:p>
      <w:pPr>
        <w:spacing w:after="0" w:line="236" w:lineRule="exact"/>
        <w:rPr>
          <w:sz w:val="20"/>
          <w:szCs w:val="20"/>
          <w:color w:val="auto"/>
        </w:rPr>
      </w:pPr>
    </w:p>
    <w:p>
      <w:pPr>
        <w:ind w:left="360" w:hanging="352"/>
        <w:spacing w:after="0"/>
        <w:tabs>
          <w:tab w:leader="none" w:pos="3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PROTECTION OF TRADE SECRETS AND CONFIDENTIAL INFORMATION.</w:t>
      </w:r>
    </w:p>
    <w:p>
      <w:pPr>
        <w:spacing w:after="0" w:line="25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Executive agrees to hold the Company’s Trade Secrets and Confidential Information in the strictest confidence during the Executive’s employment with the Company and to the fullest extent permitted by law after the Executive’s employment relationship with the Company is voluntarily or involuntarily terminated. To this end:</w:t>
      </w:r>
    </w:p>
    <w:p>
      <w:pPr>
        <w:spacing w:after="0" w:line="235" w:lineRule="exact"/>
        <w:rPr>
          <w:sz w:val="20"/>
          <w:szCs w:val="20"/>
          <w:color w:val="auto"/>
        </w:rPr>
      </w:pPr>
    </w:p>
    <w:p>
      <w:pPr>
        <w:ind w:right="260" w:firstLine="656"/>
        <w:spacing w:after="0" w:line="277" w:lineRule="auto"/>
        <w:tabs>
          <w:tab w:leader="none" w:pos="106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Executive will not make or permit copies to be made of Trade Secrets and Confidential Information, except as necessary to carry out the Executive’s duties for the Company;</w:t>
      </w:r>
    </w:p>
    <w:p>
      <w:pPr>
        <w:spacing w:after="0" w:line="224" w:lineRule="exact"/>
        <w:rPr>
          <w:rFonts w:ascii="Arial" w:cs="Arial" w:eastAsia="Arial" w:hAnsi="Arial"/>
          <w:sz w:val="18"/>
          <w:szCs w:val="18"/>
          <w:color w:val="auto"/>
        </w:rPr>
      </w:pPr>
    </w:p>
    <w:p>
      <w:pPr>
        <w:ind w:right="260" w:firstLine="656"/>
        <w:spacing w:after="0" w:line="277" w:lineRule="auto"/>
        <w:tabs>
          <w:tab w:leader="none" w:pos="107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Executive will not disclose any Trade Secret or Confidential Information to any person except other Company employees with a need to know the information;</w:t>
      </w:r>
    </w:p>
    <w:p>
      <w:pPr>
        <w:spacing w:after="0" w:line="224" w:lineRule="exact"/>
        <w:rPr>
          <w:rFonts w:ascii="Arial" w:cs="Arial" w:eastAsia="Arial" w:hAnsi="Arial"/>
          <w:sz w:val="18"/>
          <w:szCs w:val="18"/>
          <w:color w:val="auto"/>
        </w:rPr>
      </w:pPr>
    </w:p>
    <w:p>
      <w:pPr>
        <w:ind w:right="260" w:firstLine="656"/>
        <w:spacing w:after="0" w:line="277" w:lineRule="auto"/>
        <w:tabs>
          <w:tab w:leader="none" w:pos="106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Executive will take all reasonable precautions to prevent the inadvertent disclosure of Trade Secrets and Confidential Information to any unauthorized person; and</w:t>
      </w:r>
    </w:p>
    <w:p>
      <w:pPr>
        <w:spacing w:after="0" w:line="224" w:lineRule="exact"/>
        <w:rPr>
          <w:rFonts w:ascii="Arial" w:cs="Arial" w:eastAsia="Arial" w:hAnsi="Arial"/>
          <w:sz w:val="18"/>
          <w:szCs w:val="18"/>
          <w:color w:val="auto"/>
        </w:rPr>
      </w:pPr>
    </w:p>
    <w:p>
      <w:pPr>
        <w:ind w:right="20" w:firstLine="656"/>
        <w:spacing w:after="0" w:line="277" w:lineRule="auto"/>
        <w:tabs>
          <w:tab w:leader="none" w:pos="107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Executive will acknowledge that the Company is the owner of the Company’s Trade Secrets and Confidential Information and agrees not to contest any such ownership rights of the Company, either during or after the Executive’s employment with the Company.</w:t>
      </w:r>
    </w:p>
    <w:p>
      <w:pPr>
        <w:spacing w:after="0" w:line="224" w:lineRule="exact"/>
        <w:rPr>
          <w:rFonts w:ascii="Arial" w:cs="Arial" w:eastAsia="Arial" w:hAnsi="Arial"/>
          <w:sz w:val="18"/>
          <w:szCs w:val="18"/>
          <w:color w:val="auto"/>
        </w:rPr>
      </w:pPr>
    </w:p>
    <w:p>
      <w:pPr>
        <w:ind w:left="360" w:hanging="352"/>
        <w:spacing w:after="0"/>
        <w:tabs>
          <w:tab w:leader="none" w:pos="3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ASSIGNMENT OF INVENTIONS.</w:t>
      </w:r>
    </w:p>
    <w:p>
      <w:pPr>
        <w:spacing w:after="0" w:line="279" w:lineRule="exact"/>
        <w:rPr>
          <w:rFonts w:ascii="Arial" w:cs="Arial" w:eastAsia="Arial" w:hAnsi="Arial"/>
          <w:sz w:val="18"/>
          <w:szCs w:val="18"/>
          <w:b w:val="1"/>
          <w:bCs w:val="1"/>
          <w:color w:val="auto"/>
        </w:rPr>
      </w:pPr>
    </w:p>
    <w:p>
      <w:pPr>
        <w:jc w:val="both"/>
        <w:ind w:right="20" w:firstLine="656"/>
        <w:spacing w:after="0" w:line="288" w:lineRule="auto"/>
        <w:tabs>
          <w:tab w:leader="none" w:pos="1064" w:val="left"/>
        </w:tabs>
        <w:numPr>
          <w:ilvl w:val="1"/>
          <w:numId w:val="89"/>
        </w:numPr>
        <w:rPr>
          <w:rFonts w:ascii="Arial" w:cs="Arial" w:eastAsia="Arial" w:hAnsi="Arial"/>
          <w:sz w:val="16"/>
          <w:szCs w:val="16"/>
          <w:color w:val="auto"/>
        </w:rPr>
      </w:pPr>
      <w:r>
        <w:rPr>
          <w:rFonts w:ascii="Arial" w:cs="Arial" w:eastAsia="Arial" w:hAnsi="Arial"/>
          <w:sz w:val="16"/>
          <w:szCs w:val="16"/>
          <w:color w:val="auto"/>
        </w:rPr>
        <w:t>During the period of employment and for the six (6) months thereafter, the Executive will promptly and fully disclose to the Company, and will hold in trust for the Company’s sole right and benefit, any Invention that the Executive makes, conceives or reduces to practice, or causes to made, conceived or reduced to practice, either alone or in conjunction with others, whether made during the working hours of the Company or on the Executive’s own time.</w:t>
      </w:r>
    </w:p>
    <w:p>
      <w:pPr>
        <w:spacing w:after="0" w:line="268" w:lineRule="auto"/>
        <w:rPr>
          <w:rFonts w:ascii="Arial" w:cs="Arial" w:eastAsia="Arial" w:hAnsi="Arial"/>
          <w:sz w:val="16"/>
          <w:szCs w:val="16"/>
          <w:color w:val="auto"/>
        </w:rPr>
      </w:pPr>
      <w:r>
        <w:rPr>
          <w:rFonts w:ascii="Arial" w:cs="Arial" w:eastAsia="Arial" w:hAnsi="Arial"/>
          <w:sz w:val="17"/>
          <w:szCs w:val="17"/>
          <w:color w:val="auto"/>
        </w:rPr>
        <w:t>The Executive will: (i) assign and hereby does assigns to the Company all of the Executive’s right, title and interest in and to all such Inventions, any applications for patents, copyrights or any other registration of intellectual property in any country covering or relating to any such Invention, and any patents, copyrights or other intellectual property registration granted to the Executive or the Company; and (ii) acknowledge and deliver promptly to the Company any written instruments, and perform any other acts necessary in the Company’s opinion to preserve property rights in any Invention against forfeiture, abandonment or loss, to obtain and maintain letters patent and/or copyrights or other registration of any intellectual property rights on any such Invention, and to vest the entire right and title to the Invention and related intellectual property in the Company. The Executive agrees to perform promptly (without charge to the Company but at the expense of the Company) all such acts as may be necessary in the Company’s opinion to preserve all patents and/or copyrights or other intellectual property covering the Inventions and to enable the Company to obtain the sole right, title and interest in all such Inventions, including without limitation the execution of assignments or patent prosecution documentation and appearing as a witness in any action brought in connection with this Agreement.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23" w:name="page124"/>
    <w:bookmarkEnd w:id="123"/>
    <w:p>
      <w:pPr>
        <w:ind w:right="40" w:firstLine="656"/>
        <w:spacing w:after="0" w:line="291" w:lineRule="auto"/>
        <w:tabs>
          <w:tab w:leader="none" w:pos="107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Parties agree that this Section 4 does not apply to any Invention for which no equipment, supplies, facility or trade secret information of the Company was used and which was developed entirely on the Executive’s own time, and that does not: (i) relate directly to the Company’s business or to the Company’s actual or demonstrably anticipated research or development, or (ii) result from any work the Executive performed for the Company. All inventions that the Executive has already conceived or reduced to practice that the Executive claims to be excluded from the scope of this Agreement are listed on Attachment A (if none, write “none”). The Executive represents that, except as disclosed on Attachment A to this Agreement, as of the date of this Agreement, the Executive has no rights under and will make no claims against the Company with respect to any inventions, discoveries, improvements, ideas or works of authorship which would be Inventions if made, conceived, authored or acquired by the Executive during the term of this Agreement.</w:t>
      </w:r>
    </w:p>
    <w:p>
      <w:pPr>
        <w:spacing w:after="0" w:line="221" w:lineRule="exact"/>
        <w:rPr>
          <w:rFonts w:ascii="Arial" w:cs="Arial" w:eastAsia="Arial" w:hAnsi="Arial"/>
          <w:sz w:val="16"/>
          <w:szCs w:val="16"/>
          <w:color w:val="auto"/>
        </w:rPr>
      </w:pPr>
    </w:p>
    <w:p>
      <w:pPr>
        <w:ind w:right="20" w:firstLine="656"/>
        <w:spacing w:after="0" w:line="255" w:lineRule="auto"/>
        <w:tabs>
          <w:tab w:leader="none" w:pos="10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Executive acknowledges that any documents, drawings, computer software or other work of authorship prepared by the Executive within the scope of the Executive’s employment is a “work made for hire” under U.S. copyright laws (17 U.S.C. § 101 (1976)), and that, accordingly, the Company exclusively owns all copyright rights in such works of authorship. For purposes of this Agreement, “scope of employment” means the work of authorship (i) relates to any subject matter pertaining to the Executive’s employment; (ii) relates to or is directly or indirectly connected with the existing or reasonably foreseeable business, products, projects or Trade Secrets or Confidential Information of the Company; or (iii) involves the use of any time, material or facility of the Company.</w:t>
      </w:r>
    </w:p>
    <w:p>
      <w:pPr>
        <w:spacing w:after="0" w:line="220" w:lineRule="exact"/>
        <w:rPr>
          <w:sz w:val="20"/>
          <w:szCs w:val="20"/>
          <w:color w:val="auto"/>
        </w:rPr>
      </w:pPr>
    </w:p>
    <w:p>
      <w:pPr>
        <w:ind w:left="820" w:right="220"/>
        <w:spacing w:after="0" w:line="259" w:lineRule="auto"/>
        <w:rPr>
          <w:sz w:val="20"/>
          <w:szCs w:val="20"/>
          <w:color w:val="auto"/>
        </w:rPr>
      </w:pPr>
      <w:r>
        <w:rPr>
          <w:rFonts w:ascii="Arial" w:cs="Arial" w:eastAsia="Arial" w:hAnsi="Arial"/>
          <w:sz w:val="18"/>
          <w:szCs w:val="18"/>
          <w:i w:val="1"/>
          <w:iCs w:val="1"/>
          <w:u w:val="single" w:color="auto"/>
          <w:color w:val="auto"/>
        </w:rPr>
        <w:t>Note</w:t>
      </w:r>
      <w:r>
        <w:rPr>
          <w:rFonts w:ascii="Arial" w:cs="Arial" w:eastAsia="Arial" w:hAnsi="Arial"/>
          <w:sz w:val="18"/>
          <w:szCs w:val="18"/>
          <w:color w:val="auto"/>
        </w:rPr>
        <w:t>. Pursuant to Minnesota Statute § 181.78, this Section 4 does not apply to an Invention for which no equipment, supplies, facility, or trade</w:t>
      </w:r>
      <w:r>
        <w:rPr>
          <w:rFonts w:ascii="Arial" w:cs="Arial" w:eastAsia="Arial" w:hAnsi="Arial"/>
          <w:sz w:val="18"/>
          <w:szCs w:val="18"/>
          <w:i w:val="1"/>
          <w:iCs w:val="1"/>
          <w:color w:val="auto"/>
        </w:rPr>
        <w:t xml:space="preserve"> </w:t>
      </w:r>
      <w:r>
        <w:rPr>
          <w:rFonts w:ascii="Arial" w:cs="Arial" w:eastAsia="Arial" w:hAnsi="Arial"/>
          <w:sz w:val="18"/>
          <w:szCs w:val="18"/>
          <w:color w:val="auto"/>
        </w:rPr>
        <w:t>secret information of the Company was used and which was developed entirely on the Executive’s own time, and (i) which does not relate (I) directly to the business of the Company or (II) to the Company’s actual or demonstrably anticipated research or development, or (ii) which does not result from any work performed by the Executive for the Company.</w:t>
      </w:r>
    </w:p>
    <w:p>
      <w:pPr>
        <w:spacing w:after="0" w:line="241" w:lineRule="exact"/>
        <w:rPr>
          <w:sz w:val="20"/>
          <w:szCs w:val="20"/>
          <w:color w:val="auto"/>
        </w:rPr>
      </w:pPr>
    </w:p>
    <w:p>
      <w:pPr>
        <w:ind w:right="200" w:firstLine="656"/>
        <w:spacing w:after="0" w:line="264" w:lineRule="auto"/>
        <w:tabs>
          <w:tab w:leader="none" w:pos="1074"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event of any dispute, arbitration or litigation concerning whether an invention, improvement or discovery made or conceived by the Executive is the property of the Company, such invention, improvement or discovery will be presumed the property of the Company and the Executive will bear the burden of establishing otherwise.</w:t>
      </w:r>
    </w:p>
    <w:p>
      <w:pPr>
        <w:spacing w:after="0" w:line="235"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NO CONFLICTING EMPLOYMENT OR CUSTOMER SOLICITATION.</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Executive’s employment with the Company and for a period of two (2) years after that employment ends, regardless of reason, whether voluntary by the Executive or involuntary:</w:t>
      </w:r>
    </w:p>
    <w:p>
      <w:pPr>
        <w:spacing w:after="0" w:line="224" w:lineRule="exact"/>
        <w:rPr>
          <w:sz w:val="20"/>
          <w:szCs w:val="20"/>
          <w:color w:val="auto"/>
        </w:rPr>
      </w:pPr>
    </w:p>
    <w:p>
      <w:pPr>
        <w:ind w:firstLine="656"/>
        <w:spacing w:after="0" w:line="264" w:lineRule="auto"/>
        <w:tabs>
          <w:tab w:leader="none" w:pos="10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Executive will not work for, consult with, lend assistance to or otherwise render services to a Conflicting Organization in any capacity, directly or indirectly, alone or with another person or entity, whether as an the Executive, advisor, consultant, independent contractor, principal, agent, partner, officer, director, shareholder, or otherwise;</w:t>
      </w:r>
    </w:p>
    <w:p>
      <w:pPr>
        <w:spacing w:after="0" w:line="235" w:lineRule="exact"/>
        <w:rPr>
          <w:rFonts w:ascii="Arial" w:cs="Arial" w:eastAsia="Arial" w:hAnsi="Arial"/>
          <w:sz w:val="18"/>
          <w:szCs w:val="18"/>
          <w:color w:val="auto"/>
        </w:rPr>
      </w:pPr>
    </w:p>
    <w:p>
      <w:pPr>
        <w:ind w:right="160" w:firstLine="656"/>
        <w:spacing w:after="0" w:line="264" w:lineRule="auto"/>
        <w:tabs>
          <w:tab w:leader="none" w:pos="10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Executive will not, directly or indirectly, alone or with another person or entity, solicit business from or have any business-related contact with any customer of the Company or any potential Company customer with whom or with which the Executive personally had contact during the last twenty-four (24) months of the Executive’s employment with the Company; and</w:t>
      </w:r>
    </w:p>
    <w:p>
      <w:pPr>
        <w:spacing w:after="0" w:line="23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Executive will not interfere with or impair the Company’s relationship with any of its employees, customers, vendors or suppliers.</w:t>
      </w:r>
    </w:p>
    <w:p>
      <w:pPr>
        <w:spacing w:after="0" w:line="26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restrictions contained in this Section 5 will not prevent the Executive from becoming employed with or providing consulting services to a large diversified organization with separate and distinct divisions that do not compete, directly or indirectly, with the Company, but only if: (i) the Company first receives written assurances from the prospective employer and from the Executive, satisfactory to the Company in its reasonable discretion, confirming that the Executive will render no services, directly or indirectly, to any divisions or business units that independently would qualify as a Conflicting Organization and (ii) the Chair of the Company’s Board of Directors gives written approval for the Executive to provide the proposed employment or consulting services. By signing this Agreement, the Executive acknowledges and agrees that should his employment with the Company end, the restrictions on the Executive’s activities referenced in this Agreement will not prevent the Executive from earning a living outside of a Conflicting Organization.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24" w:name="page125"/>
    <w:bookmarkEnd w:id="124"/>
    <w:p>
      <w:pPr>
        <w:ind w:left="360" w:hanging="352"/>
        <w:spacing w:after="0"/>
        <w:tabs>
          <w:tab w:leader="none" w:pos="36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NON-INTERFERENCE WITH COMPANY EMPLOYEES.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Executive will not, either during the Executive’s employment with the Company or for a period of two (2) years after that employment with the Company ends, directly or indirectly, solicit, induce, recruit, or cause another person in the employ of the Company (on the date the Executive’s employment with the Company ends) to terminate employment with the Company. If during this two (2) year period the Executive is approached by one of the Company’s employees or former employees regarding potential employment at a new employer, the Executive will inform the employee or former employee of the non-solicitation obligation described above and refrain from engaging in any communication with the employee or former employee regarding potential employment, consultation or contract opportunities.</w:t>
      </w:r>
    </w:p>
    <w:p>
      <w:pPr>
        <w:spacing w:after="0" w:line="247" w:lineRule="exact"/>
        <w:rPr>
          <w:sz w:val="20"/>
          <w:szCs w:val="20"/>
          <w:color w:val="auto"/>
        </w:rPr>
      </w:pPr>
    </w:p>
    <w:p>
      <w:pPr>
        <w:ind w:left="360" w:hanging="352"/>
        <w:spacing w:after="0"/>
        <w:tabs>
          <w:tab w:leader="none" w:pos="3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E-MAIL MESSAGES/INTERNET USAGE.</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Executive acknowledges that all e-mail messages that the Executive produces, sends or receives while at Company facilities or using Company equipment are the property of the Company. The Executive also understands that the Company may monitor and inspect all such messages and may also monitor and control the communications that the Executive initiates or receives through the Internet while at Company facilities and while using Company equipment in any location. The Executive acknowledges that the Executive has no right to or expectation of privacy in such communications. The Executive agrees to cooperate with the Company in its implementation of such security and control measures as it may implement from time to time with respect to e-mail and Internet communications and shall take all reasonable precautions to ensure that the confidentiality of any such communications containing Trade Secret and Confidential Information is maintained. The Executive also agrees that the Internet may not be used for the transmission or intentional reception of obscene, scandalous, offensive or otherwise inappropriate materials, and that the Executive will comply with Company policies regarding appropriate use of the Internet and e-mail.</w:t>
      </w:r>
    </w:p>
    <w:p>
      <w:pPr>
        <w:spacing w:after="0" w:line="236"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REMEDIES.</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Executive understand that in the event of a violation of any provision of this Agreement, the Company has the right to seek injunctive relief, in addition to any other remedies provided by law including actual, incidental and consequential damages, without the requirement of posting bond. The Executive also agrees that the Company will be entitled to an accounting, and to the repayment of all profits, compensation, commissions, fees, royalties, or other financial rewards which the Executive or any other entity or person may realize as a result of the Executive’s violations of this Agreement. The Executive will reimburse the Company for all costs, expenses or damages that it incurs as a result of any violation by the Executive of any provision of this Agreement, including court costs, litigation expenses, and reasonable attorneys’ fees.</w:t>
      </w:r>
    </w:p>
    <w:p>
      <w:pPr>
        <w:spacing w:after="0" w:line="233" w:lineRule="exact"/>
        <w:rPr>
          <w:sz w:val="20"/>
          <w:szCs w:val="20"/>
          <w:color w:val="auto"/>
        </w:rPr>
      </w:pPr>
    </w:p>
    <w:p>
      <w:pPr>
        <w:ind w:left="360" w:hanging="352"/>
        <w:spacing w:after="0"/>
        <w:tabs>
          <w:tab w:leader="none" w:pos="36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MISCELLANEOUS.</w:t>
      </w:r>
    </w:p>
    <w:p>
      <w:pPr>
        <w:spacing w:after="0" w:line="279" w:lineRule="exact"/>
        <w:rPr>
          <w:rFonts w:ascii="Arial" w:cs="Arial" w:eastAsia="Arial" w:hAnsi="Arial"/>
          <w:sz w:val="18"/>
          <w:szCs w:val="18"/>
          <w:b w:val="1"/>
          <w:bCs w:val="1"/>
          <w:color w:val="auto"/>
        </w:rPr>
      </w:pPr>
    </w:p>
    <w:p>
      <w:pPr>
        <w:ind w:right="380" w:firstLine="656"/>
        <w:spacing w:after="0" w:line="277" w:lineRule="auto"/>
        <w:tabs>
          <w:tab w:leader="none" w:pos="1064"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promises in this Agreement benefit the Company and also its subsidiaries and affiliates and any successor or assignee of the Company’s business or operations.</w:t>
      </w:r>
    </w:p>
    <w:p>
      <w:pPr>
        <w:spacing w:after="0" w:line="224" w:lineRule="exact"/>
        <w:rPr>
          <w:rFonts w:ascii="Arial" w:cs="Arial" w:eastAsia="Arial" w:hAnsi="Arial"/>
          <w:sz w:val="18"/>
          <w:szCs w:val="18"/>
          <w:color w:val="auto"/>
        </w:rPr>
      </w:pPr>
    </w:p>
    <w:p>
      <w:pPr>
        <w:ind w:firstLine="656"/>
        <w:spacing w:after="0" w:line="312" w:lineRule="auto"/>
        <w:tabs>
          <w:tab w:leader="none" w:pos="1074"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Governing Law and Venue</w:t>
      </w:r>
      <w:r>
        <w:rPr>
          <w:rFonts w:ascii="Arial" w:cs="Arial" w:eastAsia="Arial" w:hAnsi="Arial"/>
          <w:sz w:val="16"/>
          <w:szCs w:val="16"/>
          <w:color w:val="auto"/>
        </w:rPr>
        <w:t>. This Agreement will be governed by the laws of the State of Minnesota. The Executive hereby agrees to submit to personal jurisdiction in the State of Minnesota and agrees that any action relating to this Agreement or otherwise to the Executive’s employment with the Company must be venued exclusively in Anoka County District Court or the United States District Court for the District of Minnesota.</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25" w:name="page126"/>
    <w:bookmarkEnd w:id="125"/>
    <w:p>
      <w:pPr>
        <w:ind w:left="-100" w:right="280" w:firstLine="656"/>
        <w:spacing w:after="0" w:line="264" w:lineRule="auto"/>
        <w:tabs>
          <w:tab w:leader="none" w:pos="96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this Agreement is adjudicated to be invalid or unenforceable, the remaining provisions shall not be affected thereby, and a court of competent jurisdiction shall have the power to blue-line (amend, modify or delete) that portion thus adjudicated to be invalid or unenforceable.</w:t>
      </w:r>
    </w:p>
    <w:p>
      <w:pPr>
        <w:spacing w:after="0" w:line="235" w:lineRule="exact"/>
        <w:rPr>
          <w:rFonts w:ascii="Arial" w:cs="Arial" w:eastAsia="Arial" w:hAnsi="Arial"/>
          <w:sz w:val="18"/>
          <w:szCs w:val="18"/>
          <w:color w:val="auto"/>
        </w:rPr>
      </w:pPr>
    </w:p>
    <w:p>
      <w:pPr>
        <w:ind w:left="980" w:hanging="4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Executive’s obligations under Sections 3, 4, 5 and 6 will survive the termination of this Agreement.</w:t>
      </w:r>
    </w:p>
    <w:p>
      <w:pPr>
        <w:spacing w:after="0" w:line="279" w:lineRule="exact"/>
        <w:rPr>
          <w:rFonts w:ascii="Arial" w:cs="Arial" w:eastAsia="Arial" w:hAnsi="Arial"/>
          <w:sz w:val="18"/>
          <w:szCs w:val="18"/>
          <w:color w:val="auto"/>
        </w:rPr>
      </w:pPr>
    </w:p>
    <w:p>
      <w:pPr>
        <w:ind w:left="-100" w:right="140" w:firstLine="656"/>
        <w:spacing w:after="0" w:line="264" w:lineRule="auto"/>
        <w:tabs>
          <w:tab w:leader="none" w:pos="96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is the entire agreement of the Parties relating to its subject matter and supersedes all previous and contemporaneous discussions, agreements, writings and understandings concerning the matters referenced in this Agreement. This Agreement may be modified only by a document manually signed both by the Executive and the Chair of the Company’s Board of Directors.</w:t>
      </w:r>
    </w:p>
    <w:p>
      <w:pPr>
        <w:spacing w:after="0" w:line="235" w:lineRule="exact"/>
        <w:rPr>
          <w:rFonts w:ascii="Arial" w:cs="Arial" w:eastAsia="Arial" w:hAnsi="Arial"/>
          <w:sz w:val="18"/>
          <w:szCs w:val="18"/>
          <w:color w:val="auto"/>
        </w:rPr>
      </w:pPr>
    </w:p>
    <w:p>
      <w:pPr>
        <w:ind w:left="-100" w:firstLine="656"/>
        <w:spacing w:after="0" w:line="257" w:lineRule="auto"/>
        <w:tabs>
          <w:tab w:leader="none" w:pos="94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The Executive acknowledges that the Company has advised the Executive to seek counsel regarding this Agreement, that the Executive is an employee “at will” (meaning that either the Executive or the Company may terminate the Executive’s employment, at any time and for any reason not prohibited by law), that the Executive has not executed this Agreement in reliance upon any representation or promise except those contained in this Agreement and the Executive Employment Agreement, and that the Executive has read and understands this Agreement and agrees to all its terms and conditions.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340" w:top="301"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IN WITNESS WHEREOF, the Company and the Executive have executed this Agreement as of the date first above written.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NORTHERN TECHNOLOGIES</w:t>
            </w:r>
          </w:p>
        </w:tc>
        <w:tc>
          <w:tcPr>
            <w:tcW w:w="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860" w:type="dxa"/>
            <w:vAlign w:val="bottom"/>
            <w:gridSpan w:val="3"/>
          </w:tcPr>
          <w:p>
            <w:pPr>
              <w:spacing w:after="0"/>
              <w:rPr>
                <w:sz w:val="20"/>
                <w:szCs w:val="20"/>
                <w:color w:val="auto"/>
              </w:rPr>
            </w:pPr>
            <w:r>
              <w:rPr>
                <w:rFonts w:ascii="Arial" w:cs="Arial" w:eastAsia="Arial" w:hAnsi="Arial"/>
                <w:sz w:val="18"/>
                <w:szCs w:val="18"/>
                <w:color w:val="auto"/>
              </w:rPr>
              <w:t>INTERNATIONAL CORPORATION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rPr>
              <w:t>EXECUTIVE</w:t>
            </w:r>
          </w:p>
        </w:tc>
      </w:tr>
      <w:tr>
        <w:trPr>
          <w:trHeight w:val="608"/>
        </w:trPr>
        <w:tc>
          <w:tcPr>
            <w:tcW w:w="4860" w:type="dxa"/>
            <w:vAlign w:val="bottom"/>
            <w:gridSpan w:val="3"/>
          </w:tcPr>
          <w:p>
            <w:pPr>
              <w:spacing w:after="0"/>
              <w:rPr>
                <w:sz w:val="20"/>
                <w:szCs w:val="20"/>
                <w:color w:val="auto"/>
              </w:rPr>
            </w:pPr>
            <w:r>
              <w:rPr>
                <w:rFonts w:ascii="Arial" w:cs="Arial" w:eastAsia="Arial" w:hAnsi="Arial"/>
                <w:sz w:val="18"/>
                <w:szCs w:val="18"/>
                <w:color w:val="auto"/>
              </w:rPr>
              <w:t>By: /s/ Richard J. Nigon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rPr>
              <w:t>/s/ Matthew C Wolsfeld</w:t>
            </w:r>
          </w:p>
        </w:tc>
      </w:tr>
      <w:tr>
        <w:trPr>
          <w:trHeight w:val="237"/>
        </w:trPr>
        <w:tc>
          <w:tcPr>
            <w:tcW w:w="3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w:t>
            </w:r>
          </w:p>
        </w:tc>
        <w:tc>
          <w:tcPr>
            <w:tcW w:w="160" w:type="dxa"/>
            <w:vAlign w:val="bottom"/>
          </w:tcPr>
          <w:p>
            <w:pPr>
              <w:spacing w:after="0"/>
              <w:rPr>
                <w:sz w:val="20"/>
                <w:szCs w:val="20"/>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Name: Richard J. Nigon</w:t>
            </w:r>
          </w:p>
        </w:tc>
        <w:tc>
          <w:tcPr>
            <w:tcW w:w="2720" w:type="dxa"/>
            <w:vAlign w:val="bottom"/>
            <w:gridSpan w:val="3"/>
          </w:tcPr>
          <w:p>
            <w:pPr>
              <w:ind w:left="840"/>
              <w:spacing w:after="0"/>
              <w:rPr>
                <w:sz w:val="20"/>
                <w:szCs w:val="20"/>
                <w:color w:val="auto"/>
              </w:rPr>
            </w:pPr>
            <w:r>
              <w:rPr>
                <w:rFonts w:ascii="Arial" w:cs="Arial" w:eastAsia="Arial" w:hAnsi="Arial"/>
                <w:sz w:val="18"/>
                <w:szCs w:val="18"/>
                <w:color w:val="auto"/>
                <w:w w:val="90"/>
              </w:rPr>
              <w:t>Date: November 18, 2011</w:t>
            </w: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Title: Chairman of Audit and Compensation Committee</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Date: November 18, 2011</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ind w:left="1780"/>
              <w:spacing w:after="0"/>
              <w:rPr>
                <w:sz w:val="20"/>
                <w:szCs w:val="20"/>
                <w:color w:val="auto"/>
              </w:rPr>
            </w:pPr>
            <w:r>
              <w:rPr>
                <w:rFonts w:ascii="Arial" w:cs="Arial" w:eastAsia="Arial" w:hAnsi="Arial"/>
                <w:sz w:val="18"/>
                <w:szCs w:val="18"/>
                <w:b w:val="1"/>
                <w:bCs w:val="1"/>
                <w:color w:val="auto"/>
                <w:w w:val="91"/>
              </w:rPr>
              <w:t>Exhibit 21.1</w:t>
            </w:r>
          </w:p>
        </w:tc>
      </w:tr>
      <w:tr>
        <w:trPr>
          <w:trHeight w:val="702"/>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gridSpan w:val="3"/>
          </w:tcPr>
          <w:p>
            <w:pPr>
              <w:ind w:left="1100"/>
              <w:spacing w:after="0"/>
              <w:rPr>
                <w:sz w:val="20"/>
                <w:szCs w:val="20"/>
                <w:color w:val="auto"/>
              </w:rPr>
            </w:pPr>
            <w:r>
              <w:rPr>
                <w:rFonts w:ascii="Arial" w:cs="Arial" w:eastAsia="Arial" w:hAnsi="Arial"/>
                <w:sz w:val="18"/>
                <w:szCs w:val="18"/>
                <w:b w:val="1"/>
                <w:bCs w:val="1"/>
                <w:color w:val="auto"/>
              </w:rPr>
              <w:t>SUBSIDIARIES OF THE REGISTRANT</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68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3"/>
              </w:rPr>
              <w:t>State or Other</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Names Under Which</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3"/>
              </w:rPr>
              <w:t>Incorporation or</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Subsidiary Does</w:t>
            </w:r>
          </w:p>
        </w:tc>
      </w:tr>
      <w:tr>
        <w:trPr>
          <w:trHeight w:val="234"/>
        </w:trPr>
        <w:tc>
          <w:tcPr>
            <w:tcW w:w="28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Name of Subsidiary</w:t>
            </w:r>
          </w:p>
        </w:tc>
        <w:tc>
          <w:tcPr>
            <w:tcW w:w="12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Business</w:t>
            </w:r>
          </w:p>
        </w:tc>
      </w:tr>
      <w:tr>
        <w:trPr>
          <w:trHeight w:val="426"/>
        </w:trPr>
        <w:tc>
          <w:tcPr>
            <w:tcW w:w="2880" w:type="dxa"/>
            <w:vAlign w:val="bottom"/>
          </w:tcPr>
          <w:p>
            <w:pPr>
              <w:spacing w:after="0"/>
              <w:rPr>
                <w:sz w:val="20"/>
                <w:szCs w:val="20"/>
                <w:color w:val="auto"/>
              </w:rPr>
            </w:pPr>
            <w:r>
              <w:rPr>
                <w:rFonts w:ascii="Arial" w:cs="Arial" w:eastAsia="Arial" w:hAnsi="Arial"/>
                <w:sz w:val="18"/>
                <w:szCs w:val="18"/>
                <w:color w:val="auto"/>
              </w:rPr>
              <w:t>NTI Facilities, Inc.</w:t>
            </w:r>
          </w:p>
        </w:tc>
        <w:tc>
          <w:tcPr>
            <w:tcW w:w="1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4"/>
              </w:rPr>
              <w:t>Ohio</w:t>
            </w:r>
          </w:p>
        </w:tc>
        <w:tc>
          <w:tcPr>
            <w:tcW w:w="28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4"/>
              </w:rPr>
              <w:t>Same</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Northern Technologies Holding</w:t>
            </w:r>
          </w:p>
        </w:tc>
        <w:tc>
          <w:tcPr>
            <w:tcW w:w="1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8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4"/>
              </w:rPr>
              <w:t>Same</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Company, LLC</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Zerust Prevenção de Corrosão S.A.</w:t>
            </w:r>
          </w:p>
        </w:tc>
        <w:tc>
          <w:tcPr>
            <w:tcW w:w="1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Brazil</w:t>
            </w:r>
          </w:p>
        </w:tc>
        <w:tc>
          <w:tcPr>
            <w:tcW w:w="28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85%</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4"/>
              </w:rPr>
              <w:t>Same</w:t>
            </w:r>
          </w:p>
        </w:tc>
      </w:tr>
    </w:tbl>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7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on Form S-8 (File Nos. 333-140244, 333-140245 and 333-171828) and Registration Statement on Form S-3 (File No. 333-153891) of Northern Technologies International Corporation and Subsidiaries of our report dated November 14, 2011, which appears on page 54 of this annual report on Form 10-K for the fiscal year ended August 31,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18, 2011</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820" w:right="300" w:hanging="2"/>
        <w:spacing w:after="0" w:line="264" w:lineRule="auto"/>
        <w:tabs>
          <w:tab w:leader="none" w:pos="15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820" w:right="40" w:hanging="2"/>
        <w:spacing w:after="0" w:line="264" w:lineRule="auto"/>
        <w:tabs>
          <w:tab w:leader="none" w:pos="1570" w:val="left"/>
        </w:tabs>
        <w:numPr>
          <w:ilvl w:val="2"/>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8" w:lineRule="exact"/>
        <w:rPr>
          <w:rFonts w:ascii="Arial" w:cs="Arial" w:eastAsia="Arial" w:hAnsi="Arial"/>
          <w:sz w:val="18"/>
          <w:szCs w:val="18"/>
          <w:color w:val="auto"/>
        </w:rPr>
      </w:pPr>
    </w:p>
    <w:p>
      <w:pPr>
        <w:ind w:left="820" w:right="160" w:hanging="2"/>
        <w:spacing w:after="0" w:line="342" w:lineRule="auto"/>
        <w:tabs>
          <w:tab w:leader="none" w:pos="1560" w:val="left"/>
        </w:tabs>
        <w:numPr>
          <w:ilvl w:val="2"/>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20" w:right="120" w:hanging="2"/>
        <w:spacing w:after="0" w:line="264" w:lineRule="auto"/>
        <w:tabs>
          <w:tab w:leader="none" w:pos="1570" w:val="left"/>
        </w:tabs>
        <w:numPr>
          <w:ilvl w:val="2"/>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40" w:hanging="652"/>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520" w:hanging="4"/>
        <w:spacing w:after="0" w:line="308" w:lineRule="auto"/>
        <w:tabs>
          <w:tab w:leader="none" w:pos="1345"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4"/>
        <w:spacing w:after="0" w:line="277" w:lineRule="auto"/>
        <w:tabs>
          <w:tab w:leader="none" w:pos="135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134620</wp:posOffset>
            </wp:positionV>
            <wp:extent cx="1775460" cy="283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75460" cy="2832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2011</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 Patrick Lynch</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680" w:hanging="672"/>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4"/>
        <w:spacing w:after="0" w:line="264" w:lineRule="auto"/>
        <w:tabs>
          <w:tab w:leader="none" w:pos="135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40" w:hanging="4"/>
        <w:spacing w:after="0" w:line="264" w:lineRule="auto"/>
        <w:tabs>
          <w:tab w:leader="none" w:pos="136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8" w:lineRule="exact"/>
        <w:rPr>
          <w:rFonts w:ascii="Arial" w:cs="Arial" w:eastAsia="Arial" w:hAnsi="Arial"/>
          <w:sz w:val="18"/>
          <w:szCs w:val="18"/>
          <w:color w:val="auto"/>
        </w:rPr>
      </w:pPr>
    </w:p>
    <w:p>
      <w:pPr>
        <w:ind w:left="660" w:right="360" w:hanging="4"/>
        <w:spacing w:after="0" w:line="342" w:lineRule="auto"/>
        <w:tabs>
          <w:tab w:leader="none" w:pos="135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320" w:hanging="4"/>
        <w:spacing w:after="0" w:line="264" w:lineRule="auto"/>
        <w:tabs>
          <w:tab w:leader="none" w:pos="136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4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520" w:hanging="4"/>
        <w:spacing w:after="0" w:line="308" w:lineRule="auto"/>
        <w:tabs>
          <w:tab w:leader="none" w:pos="134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4"/>
        <w:spacing w:after="0" w:line="277" w:lineRule="auto"/>
        <w:tabs>
          <w:tab w:leader="none" w:pos="135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134620</wp:posOffset>
            </wp:positionV>
            <wp:extent cx="1346200" cy="7200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462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2011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291"/>
        <w:spacing w:after="0"/>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hanging="291"/>
        <w:spacing w:after="0" w:line="277"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288925</wp:posOffset>
            </wp:positionV>
            <wp:extent cx="1775460" cy="283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7546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18, 2011</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2011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291"/>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hanging="291"/>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288925</wp:posOffset>
            </wp:positionV>
            <wp:extent cx="1346200" cy="720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462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18, 2011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lowerRoman"/>
      <w:start w:val="10"/>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1."/>
      <w:numFmt w:val="decimal"/>
      <w:start w:val="2"/>
    </w:lvl>
  </w:abstractNum>
  <w:abstractNum w:abstractNumId="11">
    <w:nsid w:val="1CF10FD8"/>
    <w:multiLevelType w:val="hybridMultilevel"/>
    <w:lvl w:ilvl="0">
      <w:lvlJc w:val="left"/>
      <w:lvlText w:val="%1."/>
      <w:numFmt w:val="decimal"/>
      <w:start w:val="4"/>
    </w:lvl>
  </w:abstractNum>
  <w:abstractNum w:abstractNumId="12">
    <w:nsid w:val="180115BE"/>
    <w:multiLevelType w:val="hybridMultilevel"/>
    <w:lvl w:ilvl="0">
      <w:lvlJc w:val="left"/>
      <w:lvlText w:val="%1."/>
      <w:numFmt w:val="decimal"/>
      <w:start w:val="6"/>
    </w:lvl>
  </w:abstractNum>
  <w:abstractNum w:abstractNumId="13">
    <w:nsid w:val="235BA861"/>
    <w:multiLevelType w:val="hybridMultilevel"/>
    <w:lvl w:ilvl="0">
      <w:lvlJc w:val="left"/>
      <w:lvlText w:val="%1."/>
      <w:numFmt w:val="decimal"/>
      <w:start w:val="7"/>
    </w:lvl>
  </w:abstractNum>
  <w:abstractNum w:abstractNumId="14">
    <w:nsid w:val="47398C89"/>
    <w:multiLevelType w:val="hybridMultilevel"/>
    <w:lvl w:ilvl="0">
      <w:lvlJc w:val="left"/>
      <w:lvlText w:val="%1."/>
      <w:numFmt w:val="decimal"/>
      <w:start w:val="8"/>
    </w:lvl>
  </w:abstractNum>
  <w:abstractNum w:abstractNumId="15">
    <w:nsid w:val="354FE9F9"/>
    <w:multiLevelType w:val="hybridMultilevel"/>
    <w:lvl w:ilvl="0">
      <w:lvlJc w:val="left"/>
      <w:lvlText w:val="%1."/>
      <w:numFmt w:val="decimal"/>
      <w:start w:val="9"/>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decimal"/>
      <w:start w:val="11"/>
    </w:lvl>
  </w:abstractNum>
  <w:abstractNum w:abstractNumId="19">
    <w:nsid w:val="10233C99"/>
    <w:multiLevelType w:val="hybridMultilevel"/>
    <w:lvl w:ilvl="0">
      <w:lvlJc w:val="left"/>
      <w:lvlText w:val="%1."/>
      <w:numFmt w:val="decimal"/>
      <w:start w:val="12"/>
    </w:lvl>
  </w:abstractNum>
  <w:abstractNum w:abstractNumId="20">
    <w:nsid w:val="3F6AB60F"/>
    <w:multiLevelType w:val="hybridMultilevel"/>
    <w:lvl w:ilvl="0">
      <w:lvlJc w:val="left"/>
      <w:lvlText w:val="%1."/>
      <w:numFmt w:val="decimal"/>
      <w:start w:val="13"/>
    </w:lvl>
  </w:abstractNum>
  <w:abstractNum w:abstractNumId="21">
    <w:nsid w:val="61574095"/>
    <w:multiLevelType w:val="hybridMultilevel"/>
    <w:lvl w:ilvl="0">
      <w:lvlJc w:val="left"/>
      <w:lvlText w:val="%1."/>
      <w:numFmt w:val="decimal"/>
      <w:start w:val="14"/>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1."/>
      <w:numFmt w:val="decimal"/>
      <w:start w:val="15"/>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1."/>
      <w:numFmt w:val="upperLetter"/>
      <w:start w:val="1"/>
    </w:lvl>
  </w:abstractNum>
  <w:abstractNum w:abstractNumId="27">
    <w:nsid w:val="2F305DEF"/>
    <w:multiLevelType w:val="hybridMultilevel"/>
    <w:lvl w:ilvl="0">
      <w:lvlJc w:val="left"/>
      <w:lvlText w:val="%1."/>
      <w:numFmt w:val="upperLetter"/>
      <w:start w:val="10"/>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Letter"/>
      <w:start w:val="1"/>
    </w:lvl>
  </w:abstractNum>
  <w:abstractNum w:abstractNumId="30">
    <w:nsid w:val="4AD084E9"/>
    <w:multiLevelType w:val="hybridMultilevel"/>
    <w:lvl w:ilvl="0">
      <w:lvlJc w:val="left"/>
      <w:lvlText w:val="(%1)"/>
      <w:numFmt w:val="lowerLetter"/>
      <w:start w:val="3"/>
    </w:lvl>
    <w:lvl w:ilvl="1">
      <w:lvlJc w:val="left"/>
      <w:lvlText w:val="%2."/>
      <w:numFmt w:val="upperLetter"/>
      <w:start w:val="1"/>
    </w:lvl>
  </w:abstractNum>
  <w:abstractNum w:abstractNumId="31">
    <w:nsid w:val="1F48EAA1"/>
    <w:multiLevelType w:val="hybridMultilevel"/>
    <w:lvl w:ilvl="0">
      <w:lvlJc w:val="left"/>
      <w:lvlText w:val="(%1)"/>
      <w:numFmt w:val="lowerLetter"/>
      <w:start w:val="4"/>
    </w:lvl>
    <w:lvl w:ilvl="1">
      <w:lvlJc w:val="left"/>
      <w:lvlText w:val="%2."/>
      <w:numFmt w:val="upperLetter"/>
      <w:start w:val="1"/>
    </w:lvl>
  </w:abstractNum>
  <w:abstractNum w:abstractNumId="32">
    <w:nsid w:val="1381823A"/>
    <w:multiLevelType w:val="hybridMultilevel"/>
    <w:lvl w:ilvl="0">
      <w:lvlJc w:val="left"/>
      <w:lvlText w:val="(%1)"/>
      <w:numFmt w:val="lowerLetter"/>
      <w:start w:val="7"/>
    </w:lvl>
  </w:abstractNum>
  <w:abstractNum w:abstractNumId="33">
    <w:nsid w:val="5DB70AE5"/>
    <w:multiLevelType w:val="hybridMultilevel"/>
    <w:lvl w:ilvl="0">
      <w:lvlJc w:val="left"/>
      <w:lvlText w:val="%1"/>
      <w:numFmt w:val="lowerLetter"/>
      <w:start w:val="1"/>
    </w:lvl>
    <w:lvl w:ilvl="1">
      <w:lvlJc w:val="left"/>
      <w:lvlText w:val="(%2)"/>
      <w:numFmt w:val="lowerLetter"/>
      <w:start w:val="1"/>
    </w:lvl>
  </w:abstractNum>
  <w:abstractNum w:abstractNumId="34">
    <w:nsid w:val="100F8FCA"/>
    <w:multiLevelType w:val="hybridMultilevel"/>
    <w:lvl w:ilvl="0">
      <w:lvlJc w:val="left"/>
      <w:lvlText w:val="(%1)"/>
      <w:numFmt w:val="lowerLetter"/>
      <w:start w:val="61"/>
    </w:lvl>
    <w:lvl w:ilvl="1">
      <w:lvlJc w:val="left"/>
      <w:lvlText w:val="%2"/>
      <w:numFmt w:val="lowerLetter"/>
      <w:start w:val="1"/>
    </w:lvl>
  </w:abstractNum>
  <w:abstractNum w:abstractNumId="35">
    <w:nsid w:val="6590700B"/>
    <w:multiLevelType w:val="hybridMultilevel"/>
    <w:lvl w:ilvl="0">
      <w:lvlJc w:val="left"/>
      <w:lvlText w:val="(%1)"/>
      <w:numFmt w:val="lowerLetter"/>
      <w:start w:val="2"/>
    </w:lvl>
  </w:abstractNum>
  <w:abstractNum w:abstractNumId="36">
    <w:nsid w:val="15014ACB"/>
    <w:multiLevelType w:val="hybridMultilevel"/>
    <w:lvl w:ilvl="0">
      <w:lvlJc w:val="left"/>
      <w:lvlText w:val="(%1)"/>
      <w:numFmt w:val="lowerLetter"/>
      <w:start w:val="3"/>
    </w:lvl>
    <w:lvl w:ilvl="1">
      <w:lvlJc w:val="left"/>
      <w:lvlText w:val="%2."/>
      <w:numFmt w:val="upperLetter"/>
      <w:start w:val="1"/>
    </w:lvl>
  </w:abstractNum>
  <w:abstractNum w:abstractNumId="37">
    <w:nsid w:val="5F5E7FD0"/>
    <w:multiLevelType w:val="hybridMultilevel"/>
    <w:lvl w:ilvl="0">
      <w:lvlJc w:val="left"/>
      <w:lvlText w:val="(%1)"/>
      <w:numFmt w:val="upperLetter"/>
      <w:start w:val="9"/>
    </w:lvl>
  </w:abstractNum>
  <w:abstractNum w:abstractNumId="38">
    <w:nsid w:val="98A3148"/>
    <w:multiLevelType w:val="hybridMultilevel"/>
    <w:lvl w:ilvl="0">
      <w:lvlJc w:val="left"/>
      <w:lvlText w:val="%1"/>
      <w:numFmt w:val="upperLetter"/>
      <w:start w:val="1"/>
    </w:lvl>
    <w:lvl w:ilvl="1">
      <w:lvlJc w:val="left"/>
      <w:lvlText w:val="(%2)"/>
      <w:numFmt w:val="upperLetter"/>
      <w:start w:val="35"/>
    </w:lvl>
  </w:abstractNum>
  <w:abstractNum w:abstractNumId="39">
    <w:nsid w:val="799D0247"/>
    <w:multiLevelType w:val="hybridMultilevel"/>
    <w:lvl w:ilvl="0">
      <w:lvlJc w:val="left"/>
      <w:lvlText w:val="%1."/>
      <w:numFmt w:val="upperLetter"/>
      <w:start w:val="2"/>
    </w:lvl>
    <w:lvl w:ilvl="1">
      <w:lvlJc w:val="left"/>
      <w:lvlText w:val="%2"/>
      <w:numFmt w:val="upperLetter"/>
      <w:start w:val="1"/>
    </w:lvl>
  </w:abstractNum>
  <w:abstractNum w:abstractNumId="40">
    <w:nsid w:val="6B94764"/>
    <w:multiLevelType w:val="hybridMultilevel"/>
    <w:lvl w:ilvl="0">
      <w:lvlJc w:val="left"/>
      <w:lvlText w:val="(%1)"/>
      <w:numFmt w:val="lowerLetter"/>
      <w:start w:val="5"/>
    </w:lvl>
    <w:lvl w:ilvl="1">
      <w:lvlJc w:val="left"/>
      <w:lvlText w:val="%2."/>
      <w:numFmt w:val="upperLetter"/>
      <w:start w:val="1"/>
    </w:lvl>
  </w:abstractNum>
  <w:abstractNum w:abstractNumId="41">
    <w:nsid w:val="42C296BD"/>
    <w:multiLevelType w:val="hybridMultilevel"/>
    <w:lvl w:ilvl="0">
      <w:lvlJc w:val="left"/>
      <w:lvlText w:val="%1."/>
      <w:numFmt w:val="upperLetter"/>
      <w:start w:val="2"/>
    </w:lvl>
  </w:abstractNum>
  <w:abstractNum w:abstractNumId="42">
    <w:nsid w:val="168E121F"/>
    <w:multiLevelType w:val="hybridMultilevel"/>
    <w:lvl w:ilvl="0">
      <w:lvlJc w:val="left"/>
      <w:lvlText w:val="(%1)"/>
      <w:numFmt w:val="lowerLetter"/>
      <w:start w:val="6"/>
    </w:lvl>
  </w:abstractNum>
  <w:abstractNum w:abstractNumId="43">
    <w:nsid w:val="1EBA5D23"/>
    <w:multiLevelType w:val="hybridMultilevel"/>
    <w:lvl w:ilvl="0">
      <w:lvlJc w:val="left"/>
      <w:lvlText w:val="(%1)"/>
      <w:numFmt w:val="lowerLetter"/>
      <w:start w:val="7"/>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9"/>
    </w:lvl>
  </w:abstractNum>
  <w:abstractNum w:abstractNumId="46">
    <w:nsid w:val="540A471C"/>
    <w:multiLevelType w:val="hybridMultilevel"/>
    <w:lvl w:ilvl="0">
      <w:lvlJc w:val="left"/>
      <w:lvlText w:val="%1."/>
      <w:numFmt w:val="decimal"/>
      <w:start w:val="1"/>
    </w:lvl>
  </w:abstractNum>
  <w:abstractNum w:abstractNumId="47">
    <w:nsid w:val="7BD3EE7B"/>
    <w:multiLevelType w:val="hybridMultilevel"/>
    <w:lvl w:ilvl="0">
      <w:lvlJc w:val="left"/>
      <w:lvlText w:val="(%1)"/>
      <w:numFmt w:val="lowerLetter"/>
      <w:start w:val="1"/>
    </w:lvl>
  </w:abstractNum>
  <w:abstractNum w:abstractNumId="48">
    <w:nsid w:val="51D9C564"/>
    <w:multiLevelType w:val="hybridMultilevel"/>
    <w:lvl w:ilvl="0">
      <w:lvlJc w:val="left"/>
      <w:lvlText w:val="(%1)"/>
      <w:numFmt w:val="lowerLetter"/>
      <w:start w:val="2"/>
    </w:lvl>
    <w:lvl w:ilvl="1">
      <w:lvlJc w:val="left"/>
      <w:lvlText w:val="(%2)"/>
      <w:numFmt w:val="lowerRoman"/>
      <w:start w:val="1"/>
    </w:lvl>
  </w:abstractNum>
  <w:abstractNum w:abstractNumId="49">
    <w:nsid w:val="613EFDC5"/>
    <w:multiLevelType w:val="hybridMultilevel"/>
    <w:lvl w:ilvl="0">
      <w:lvlJc w:val="left"/>
      <w:lvlText w:val="%1"/>
      <w:numFmt w:val="decimal"/>
      <w:start w:val="1"/>
    </w:lvl>
    <w:lvl w:ilvl="1">
      <w:lvlJc w:val="left"/>
      <w:lvlText w:val="(%2)"/>
      <w:numFmt w:val="lowerRoman"/>
      <w:start w:val="7"/>
    </w:lvl>
  </w:abstractNum>
  <w:abstractNum w:abstractNumId="50">
    <w:nsid w:val="BF72B14"/>
    <w:multiLevelType w:val="hybridMultilevel"/>
    <w:lvl w:ilvl="0">
      <w:lvlJc w:val="left"/>
      <w:lvlText w:val="%1."/>
      <w:numFmt w:val="decimal"/>
      <w:start w:val="2"/>
    </w:lvl>
    <w:lvl w:ilvl="1">
      <w:lvlJc w:val="left"/>
      <w:lvlText w:val="%2"/>
      <w:numFmt w:val="lowerRoman"/>
      <w:start w:val="1"/>
    </w:lvl>
  </w:abstractNum>
  <w:abstractNum w:abstractNumId="51">
    <w:nsid w:val="11447B73"/>
    <w:multiLevelType w:val="hybridMultilevel"/>
    <w:lvl w:ilvl="0">
      <w:lvlJc w:val="left"/>
      <w:lvlText w:val="%1."/>
      <w:numFmt w:val="decimal"/>
      <w:start w:val="3"/>
    </w:lvl>
  </w:abstractNum>
  <w:abstractNum w:abstractNumId="52">
    <w:nsid w:val="42963E5A"/>
    <w:multiLevelType w:val="hybridMultilevel"/>
    <w:lvl w:ilvl="0">
      <w:lvlJc w:val="left"/>
      <w:lvlText w:val="%1"/>
      <w:numFmt w:val="decimal"/>
      <w:start w:val="1"/>
    </w:lvl>
    <w:lvl w:ilvl="1">
      <w:lvlJc w:val="left"/>
      <w:lvlText w:val="(%2)"/>
      <w:numFmt w:val="lowerLetter"/>
      <w:start w:val="1"/>
    </w:lvl>
  </w:abstractNum>
  <w:abstractNum w:abstractNumId="53">
    <w:nsid w:val="A0382C5"/>
    <w:multiLevelType w:val="hybridMultilevel"/>
    <w:lvl w:ilvl="0">
      <w:lvlJc w:val="left"/>
      <w:lvlText w:val="%1."/>
      <w:numFmt w:val="decimal"/>
      <w:start w:val="4"/>
    </w:lvl>
    <w:lvl w:ilvl="1">
      <w:lvlJc w:val="left"/>
      <w:lvlText w:val="(%2)"/>
      <w:numFmt w:val="lowerLetter"/>
      <w:start w:val="1"/>
    </w:lvl>
  </w:abstractNum>
  <w:abstractNum w:abstractNumId="54">
    <w:nsid w:val="8F2B15E"/>
    <w:multiLevelType w:val="hybridMultilevel"/>
    <w:lvl w:ilvl="0">
      <w:lvlJc w:val="left"/>
      <w:lvlText w:val="(%1)"/>
      <w:numFmt w:val="lowerLetter"/>
      <w:start w:val="2"/>
    </w:lvl>
  </w:abstractNum>
  <w:abstractNum w:abstractNumId="55">
    <w:nsid w:val="1A32234B"/>
    <w:multiLevelType w:val="hybridMultilevel"/>
    <w:lvl w:ilvl="0">
      <w:lvlJc w:val="left"/>
      <w:lvlText w:val="%1"/>
      <w:numFmt w:val="decimal"/>
      <w:start w:val="1"/>
    </w:lvl>
    <w:lvl w:ilvl="1">
      <w:lvlJc w:val="left"/>
      <w:lvlText w:val="(%2)"/>
      <w:numFmt w:val="lowerLetter"/>
      <w:start w:val="4"/>
    </w:lvl>
  </w:abstractNum>
  <w:abstractNum w:abstractNumId="56">
    <w:nsid w:val="3B0FD379"/>
    <w:multiLevelType w:val="hybridMultilevel"/>
    <w:lvl w:ilvl="0">
      <w:lvlJc w:val="left"/>
      <w:lvlText w:val="%1."/>
      <w:numFmt w:val="decimal"/>
      <w:start w:val="5"/>
    </w:lvl>
    <w:lvl w:ilvl="1">
      <w:lvlJc w:val="left"/>
      <w:lvlText w:val="%2"/>
      <w:numFmt w:val="lowerLetter"/>
      <w:start w:val="1"/>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decimal"/>
      <w:start w:val="6"/>
    </w:lvl>
  </w:abstractNum>
  <w:abstractNum w:abstractNumId="59">
    <w:nsid w:val="60B6DF70"/>
    <w:multiLevelType w:val="hybridMultilevel"/>
    <w:lvl w:ilvl="0">
      <w:lvlJc w:val="left"/>
      <w:lvlText w:val="%1."/>
      <w:numFmt w:val="decimal"/>
      <w:start w:val="7"/>
    </w:lvl>
  </w:abstractNum>
  <w:abstractNum w:abstractNumId="60">
    <w:nsid w:val="6A5EE64"/>
    <w:multiLevelType w:val="hybridMultilevel"/>
    <w:lvl w:ilvl="0">
      <w:lvlJc w:val="left"/>
      <w:lvlText w:val="%1."/>
      <w:numFmt w:val="decimal"/>
      <w:start w:val="8"/>
    </w:lvl>
  </w:abstractNum>
  <w:abstractNum w:abstractNumId="61">
    <w:nsid w:val="14330624"/>
    <w:multiLevelType w:val="hybridMultilevel"/>
    <w:lvl w:ilvl="0">
      <w:lvlJc w:val="left"/>
      <w:lvlText w:val="%1."/>
      <w:numFmt w:val="decimal"/>
      <w:start w:val="9"/>
    </w:lvl>
    <w:lvl w:ilvl="1">
      <w:lvlJc w:val="left"/>
      <w:lvlText w:val="(%2)"/>
      <w:numFmt w:val="lowerLetter"/>
      <w:start w:val="1"/>
    </w:lvl>
  </w:abstractNum>
  <w:abstractNum w:abstractNumId="62">
    <w:nsid w:val="7FFFCA11"/>
    <w:multiLevelType w:val="hybridMultilevel"/>
    <w:lvl w:ilvl="0">
      <w:lvlJc w:val="left"/>
      <w:lvlText w:val="(%1)"/>
      <w:numFmt w:val="lowerLetter"/>
      <w:start w:val="3"/>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1)"/>
      <w:numFmt w:val="lowerLetter"/>
      <w:start w:val="3"/>
    </w:lvl>
    <w:lvl w:ilvl="1">
      <w:lvlJc w:val="left"/>
      <w:lvlText w:val="%2."/>
      <w:numFmt w:val="upperLetter"/>
      <w:start w:val="1"/>
    </w:lvl>
  </w:abstractNum>
  <w:abstractNum w:abstractNumId="66">
    <w:nsid w:val="7FB7E0AA"/>
    <w:multiLevelType w:val="hybridMultilevel"/>
    <w:lvl w:ilvl="0">
      <w:lvlJc w:val="left"/>
      <w:lvlText w:val="(%1)"/>
      <w:numFmt w:val="lowerLetter"/>
      <w:start w:val="4"/>
    </w:lvl>
    <w:lvl w:ilvl="1">
      <w:lvlJc w:val="left"/>
      <w:lvlText w:val="%2."/>
      <w:numFmt w:val="upperLetter"/>
      <w:start w:val="1"/>
    </w:lvl>
  </w:abstractNum>
  <w:abstractNum w:abstractNumId="67">
    <w:nsid w:val="6EB5BD4"/>
    <w:multiLevelType w:val="hybridMultilevel"/>
    <w:lvl w:ilvl="0">
      <w:lvlJc w:val="left"/>
      <w:lvlText w:val="(%1)"/>
      <w:numFmt w:val="lowerLetter"/>
      <w:start w:val="7"/>
    </w:lvl>
  </w:abstractNum>
  <w:abstractNum w:abstractNumId="68">
    <w:nsid w:val="6F6DD9AC"/>
    <w:multiLevelType w:val="hybridMultilevel"/>
    <w:lvl w:ilvl="0">
      <w:lvlJc w:val="left"/>
      <w:lvlText w:val="(%1)"/>
      <w:numFmt w:val="lowerLetter"/>
      <w:start w:val="8"/>
    </w:lvl>
  </w:abstractNum>
  <w:abstractNum w:abstractNumId="69">
    <w:nsid w:val="94211F2"/>
    <w:multiLevelType w:val="hybridMultilevel"/>
    <w:lvl w:ilvl="0">
      <w:lvlJc w:val="left"/>
      <w:lvlText w:val="%1"/>
      <w:numFmt w:val="lowerLetter"/>
      <w:start w:val="1"/>
    </w:lvl>
    <w:lvl w:ilvl="1">
      <w:lvlJc w:val="left"/>
      <w:lvlText w:val="(%2)"/>
      <w:numFmt w:val="lowerLetter"/>
      <w:start w:val="1"/>
    </w:lvl>
  </w:abstractNum>
  <w:abstractNum w:abstractNumId="70">
    <w:nsid w:val="885E1B"/>
    <w:multiLevelType w:val="hybridMultilevel"/>
    <w:lvl w:ilvl="0">
      <w:lvlJc w:val="left"/>
      <w:lvlText w:val="(%1)"/>
      <w:numFmt w:val="lowerLetter"/>
      <w:start w:val="61"/>
    </w:lvl>
    <w:lvl w:ilvl="1">
      <w:lvlJc w:val="left"/>
      <w:lvlText w:val="%2"/>
      <w:numFmt w:val="lowerLetter"/>
      <w:start w:val="1"/>
    </w:lvl>
  </w:abstractNum>
  <w:abstractNum w:abstractNumId="71">
    <w:nsid w:val="76272110"/>
    <w:multiLevelType w:val="hybridMultilevel"/>
    <w:lvl w:ilvl="0">
      <w:lvlJc w:val="left"/>
      <w:lvlText w:val="(%1)"/>
      <w:numFmt w:val="lowerLetter"/>
      <w:start w:val="2"/>
    </w:lvl>
  </w:abstractNum>
  <w:abstractNum w:abstractNumId="72">
    <w:nsid w:val="4C04A8AF"/>
    <w:multiLevelType w:val="hybridMultilevel"/>
    <w:lvl w:ilvl="0">
      <w:lvlJc w:val="left"/>
      <w:lvlText w:val="(%1)"/>
      <w:numFmt w:val="lowerLetter"/>
      <w:start w:val="3"/>
    </w:lvl>
  </w:abstractNum>
  <w:abstractNum w:abstractNumId="73">
    <w:nsid w:val="1716703B"/>
    <w:multiLevelType w:val="hybridMultilevel"/>
    <w:lvl w:ilvl="0">
      <w:lvlJc w:val="left"/>
      <w:lvlText w:val="%1."/>
      <w:numFmt w:val="upperLetter"/>
      <w:start w:val="1"/>
    </w:lvl>
  </w:abstractNum>
  <w:abstractNum w:abstractNumId="74">
    <w:nsid w:val="14E17E33"/>
    <w:multiLevelType w:val="hybridMultilevel"/>
    <w:lvl w:ilvl="0">
      <w:lvlJc w:val="left"/>
      <w:lvlText w:val="(%1)"/>
      <w:numFmt w:val="upperLetter"/>
      <w:start w:val="61"/>
    </w:lvl>
  </w:abstractNum>
  <w:abstractNum w:abstractNumId="75">
    <w:nsid w:val="3222E7CD"/>
    <w:multiLevelType w:val="hybridMultilevel"/>
    <w:lvl w:ilvl="0">
      <w:lvlJc w:val="left"/>
      <w:lvlText w:val="%1."/>
      <w:numFmt w:val="upperLetter"/>
      <w:start w:val="2"/>
    </w:lvl>
  </w:abstractNum>
  <w:abstractNum w:abstractNumId="76">
    <w:nsid w:val="74DE0EE3"/>
    <w:multiLevelType w:val="hybridMultilevel"/>
    <w:lvl w:ilvl="0">
      <w:lvlJc w:val="left"/>
      <w:lvlText w:val="(%1)"/>
      <w:numFmt w:val="lowerLetter"/>
      <w:start w:val="5"/>
    </w:lvl>
    <w:lvl w:ilvl="1">
      <w:lvlJc w:val="left"/>
      <w:lvlText w:val="%2."/>
      <w:numFmt w:val="upperLetter"/>
      <w:start w:val="1"/>
    </w:lvl>
  </w:abstractNum>
  <w:abstractNum w:abstractNumId="77">
    <w:nsid w:val="68EBC550"/>
    <w:multiLevelType w:val="hybridMultilevel"/>
    <w:lvl w:ilvl="0">
      <w:lvlJc w:val="left"/>
      <w:lvlText w:val="%1."/>
      <w:numFmt w:val="upperLetter"/>
      <w:start w:val="2"/>
    </w:lvl>
  </w:abstractNum>
  <w:abstractNum w:abstractNumId="78">
    <w:nsid w:val="2DF6D648"/>
    <w:multiLevelType w:val="hybridMultilevel"/>
    <w:lvl w:ilvl="0">
      <w:lvlJc w:val="left"/>
      <w:lvlText w:val="(%1)"/>
      <w:numFmt w:val="lowerLetter"/>
      <w:start w:val="6"/>
    </w:lvl>
  </w:abstractNum>
  <w:abstractNum w:abstractNumId="79">
    <w:nsid w:val="46B7D447"/>
    <w:multiLevelType w:val="hybridMultilevel"/>
    <w:lvl w:ilvl="0">
      <w:lvlJc w:val="left"/>
      <w:lvlText w:val="(%1)"/>
      <w:numFmt w:val="lowerLetter"/>
      <w:start w:val="7"/>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decimal"/>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2"/>
    </w:lvl>
    <w:lvl w:ilvl="1">
      <w:lvlJc w:val="left"/>
      <w:lvlText w:val="(%2)"/>
      <w:numFmt w:val="lowerRoman"/>
      <w:start w:val="1"/>
    </w:lvl>
  </w:abstractNum>
  <w:abstractNum w:abstractNumId="84">
    <w:nsid w:val="43F18422"/>
    <w:multiLevelType w:val="hybridMultilevel"/>
    <w:lvl w:ilvl="0">
      <w:lvlJc w:val="left"/>
      <w:lvlText w:val="%1"/>
      <w:numFmt w:val="decimal"/>
      <w:start w:val="1"/>
    </w:lvl>
    <w:lvl w:ilvl="1">
      <w:lvlJc w:val="left"/>
      <w:lvlText w:val="(%2)"/>
      <w:numFmt w:val="lowerRoman"/>
      <w:start w:val="7"/>
    </w:lvl>
  </w:abstractNum>
  <w:abstractNum w:abstractNumId="85">
    <w:nsid w:val="60EF0119"/>
    <w:multiLevelType w:val="hybridMultilevel"/>
    <w:lvl w:ilvl="0">
      <w:lvlJc w:val="left"/>
      <w:lvlText w:val="%1."/>
      <w:numFmt w:val="decimal"/>
      <w:start w:val="2"/>
    </w:lvl>
    <w:lvl w:ilvl="1">
      <w:lvlJc w:val="left"/>
      <w:lvlText w:val="%2"/>
      <w:numFmt w:val="lowerRoman"/>
      <w:start w:val="1"/>
    </w:lvl>
  </w:abstractNum>
  <w:abstractNum w:abstractNumId="86">
    <w:nsid w:val="26F324BA"/>
    <w:multiLevelType w:val="hybridMultilevel"/>
    <w:lvl w:ilvl="0">
      <w:lvlJc w:val="left"/>
      <w:lvlText w:val="%1."/>
      <w:numFmt w:val="decimal"/>
      <w:start w:val="3"/>
    </w:lvl>
  </w:abstractNum>
  <w:abstractNum w:abstractNumId="87">
    <w:nsid w:val="7F01579B"/>
    <w:multiLevelType w:val="hybridMultilevel"/>
    <w:lvl w:ilvl="0">
      <w:lvlJc w:val="left"/>
      <w:lvlText w:val="%1"/>
      <w:numFmt w:val="decimal"/>
      <w:start w:val="1"/>
    </w:lvl>
    <w:lvl w:ilvl="1">
      <w:lvlJc w:val="left"/>
      <w:lvlText w:val="(%2)"/>
      <w:numFmt w:val="lowerLetter"/>
      <w:start w:val="1"/>
    </w:lvl>
  </w:abstractNum>
  <w:abstractNum w:abstractNumId="88">
    <w:nsid w:val="49DA307D"/>
    <w:multiLevelType w:val="hybridMultilevel"/>
    <w:lvl w:ilvl="0">
      <w:lvlJc w:val="left"/>
      <w:lvlText w:val="%1."/>
      <w:numFmt w:val="decimal"/>
      <w:start w:val="4"/>
    </w:lvl>
    <w:lvl w:ilvl="1">
      <w:lvlJc w:val="left"/>
      <w:lvlText w:val="(%2)"/>
      <w:numFmt w:val="lowerLetter"/>
      <w:start w:val="1"/>
    </w:lvl>
  </w:abstractNum>
  <w:abstractNum w:abstractNumId="89">
    <w:nsid w:val="7055A5F5"/>
    <w:multiLevelType w:val="hybridMultilevel"/>
    <w:lvl w:ilvl="0">
      <w:lvlJc w:val="left"/>
      <w:lvlText w:val="(%1)"/>
      <w:numFmt w:val="lowerLetter"/>
      <w:start w:val="2"/>
    </w:lvl>
  </w:abstractNum>
  <w:abstractNum w:abstractNumId="90">
    <w:nsid w:val="5FB8370B"/>
    <w:multiLevelType w:val="hybridMultilevel"/>
    <w:lvl w:ilvl="0">
      <w:lvlJc w:val="left"/>
      <w:lvlText w:val="%1"/>
      <w:numFmt w:val="decimal"/>
      <w:start w:val="1"/>
    </w:lvl>
    <w:lvl w:ilvl="1">
      <w:lvlJc w:val="left"/>
      <w:lvlText w:val="(%2)"/>
      <w:numFmt w:val="lowerLetter"/>
      <w:start w:val="4"/>
    </w:lvl>
  </w:abstractNum>
  <w:abstractNum w:abstractNumId="91">
    <w:nsid w:val="50801EE1"/>
    <w:multiLevelType w:val="hybridMultilevel"/>
    <w:lvl w:ilvl="0">
      <w:lvlJc w:val="left"/>
      <w:lvlText w:val="%1."/>
      <w:numFmt w:val="decimal"/>
      <w:start w:val="5"/>
    </w:lvl>
    <w:lvl w:ilvl="1">
      <w:lvlJc w:val="left"/>
      <w:lvlText w:val="%2"/>
      <w:numFmt w:val="lowerLetter"/>
      <w:start w:val="1"/>
    </w:lvl>
  </w:abstractNum>
  <w:abstractNum w:abstractNumId="92">
    <w:nsid w:val="488AC1A"/>
    <w:multiLevelType w:val="hybridMultilevel"/>
    <w:lvl w:ilvl="0">
      <w:lvlJc w:val="left"/>
      <w:lvlText w:val="(%1)"/>
      <w:numFmt w:val="lowerLetter"/>
      <w:start w:val="1"/>
    </w:lvl>
  </w:abstractNum>
  <w:abstractNum w:abstractNumId="93">
    <w:nsid w:val="5FB8011C"/>
    <w:multiLevelType w:val="hybridMultilevel"/>
    <w:lvl w:ilvl="0">
      <w:lvlJc w:val="left"/>
      <w:lvlText w:val="%1."/>
      <w:numFmt w:val="decimal"/>
      <w:start w:val="6"/>
    </w:lvl>
  </w:abstractNum>
  <w:abstractNum w:abstractNumId="94">
    <w:nsid w:val="6AA78F7F"/>
    <w:multiLevelType w:val="hybridMultilevel"/>
    <w:lvl w:ilvl="0">
      <w:lvlJc w:val="left"/>
      <w:lvlText w:val="%1."/>
      <w:numFmt w:val="decimal"/>
      <w:start w:val="7"/>
    </w:lvl>
  </w:abstractNum>
  <w:abstractNum w:abstractNumId="95">
    <w:nsid w:val="7672BD23"/>
    <w:multiLevelType w:val="hybridMultilevel"/>
    <w:lvl w:ilvl="0">
      <w:lvlJc w:val="left"/>
      <w:lvlText w:val="%1."/>
      <w:numFmt w:val="decimal"/>
      <w:start w:val="8"/>
    </w:lvl>
  </w:abstractNum>
  <w:abstractNum w:abstractNumId="96">
    <w:nsid w:val="6FC75AF8"/>
    <w:multiLevelType w:val="hybridMultilevel"/>
    <w:lvl w:ilvl="0">
      <w:lvlJc w:val="left"/>
      <w:lvlText w:val="%1."/>
      <w:numFmt w:val="decimal"/>
      <w:start w:val="9"/>
    </w:lvl>
    <w:lvl w:ilvl="1">
      <w:lvlJc w:val="left"/>
      <w:lvlText w:val="(%2)"/>
      <w:numFmt w:val="lowerLetter"/>
      <w:start w:val="1"/>
    </w:lvl>
  </w:abstractNum>
  <w:abstractNum w:abstractNumId="97">
    <w:nsid w:val="6A5F7029"/>
    <w:multiLevelType w:val="hybridMultilevel"/>
    <w:lvl w:ilvl="0">
      <w:lvlJc w:val="left"/>
      <w:lvlText w:val="(%1)"/>
      <w:numFmt w:val="lowerLetter"/>
      <w:start w:val="3"/>
    </w:lvl>
  </w:abstractNum>
  <w:abstractNum w:abstractNumId="98">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2019-12-10T10:28:39Z</dcterms:created>
  <dcterms:modified xsi:type="dcterms:W3CDTF">2019-12-10T10:28:39Z</dcterms:modified>
</cp:coreProperties>
</file>