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41"/>
        </w:trPr>
        <w:tc>
          <w:tcPr>
            <w:tcW w:w="840" w:type="dxa"/>
            <w:vAlign w:val="bottom"/>
          </w:tcPr>
          <w:p>
            <w:pPr>
              <w:spacing w:after="0"/>
              <w:rPr>
                <w:sz w:val="21"/>
                <w:szCs w:val="21"/>
                <w:color w:val="auto"/>
              </w:rPr>
            </w:pPr>
          </w:p>
        </w:tc>
        <w:tc>
          <w:tcPr>
            <w:tcW w:w="6700" w:type="dxa"/>
            <w:vAlign w:val="bottom"/>
          </w:tcPr>
          <w:p>
            <w:pPr>
              <w:jc w:val="center"/>
              <w:ind w:left="2939"/>
              <w:spacing w:after="0"/>
              <w:rPr>
                <w:sz w:val="20"/>
                <w:szCs w:val="20"/>
                <w:color w:val="auto"/>
              </w:rPr>
            </w:pPr>
            <w:r>
              <w:rPr>
                <w:rFonts w:ascii="Arial" w:cs="Arial" w:eastAsia="Arial" w:hAnsi="Arial"/>
                <w:sz w:val="21"/>
                <w:szCs w:val="21"/>
                <w:b w:val="1"/>
                <w:bCs w:val="1"/>
                <w:color w:val="auto"/>
                <w:w w:val="99"/>
              </w:rPr>
              <w:t>UNITED STATES</w:t>
            </w: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840" w:type="dxa"/>
            <w:vAlign w:val="bottom"/>
          </w:tcPr>
          <w:p>
            <w:pPr>
              <w:spacing w:after="0"/>
              <w:rPr>
                <w:sz w:val="21"/>
                <w:szCs w:val="21"/>
                <w:color w:val="auto"/>
              </w:rPr>
            </w:pPr>
          </w:p>
        </w:tc>
        <w:tc>
          <w:tcPr>
            <w:tcW w:w="10100" w:type="dxa"/>
            <w:vAlign w:val="bottom"/>
            <w:gridSpan w:val="2"/>
          </w:tcPr>
          <w:p>
            <w:pPr>
              <w:jc w:val="center"/>
              <w:ind w:right="272"/>
              <w:spacing w:after="0"/>
              <w:rPr>
                <w:sz w:val="20"/>
                <w:szCs w:val="20"/>
                <w:color w:val="auto"/>
              </w:rPr>
            </w:pPr>
            <w:r>
              <w:rPr>
                <w:rFonts w:ascii="Arial" w:cs="Arial" w:eastAsia="Arial" w:hAnsi="Arial"/>
                <w:sz w:val="21"/>
                <w:szCs w:val="21"/>
                <w:b w:val="1"/>
                <w:bCs w:val="1"/>
                <w:color w:val="auto"/>
              </w:rPr>
              <w:t>SECURITIES AND EXCHANGE COMMISSION</w:t>
            </w:r>
          </w:p>
        </w:tc>
        <w:tc>
          <w:tcPr>
            <w:tcW w:w="0" w:type="dxa"/>
            <w:vAlign w:val="bottom"/>
          </w:tcPr>
          <w:p>
            <w:pPr>
              <w:spacing w:after="0"/>
              <w:rPr>
                <w:sz w:val="1"/>
                <w:szCs w:val="1"/>
                <w:color w:val="auto"/>
              </w:rPr>
            </w:pPr>
          </w:p>
        </w:tc>
      </w:tr>
      <w:tr>
        <w:trPr>
          <w:trHeight w:val="211"/>
        </w:trPr>
        <w:tc>
          <w:tcPr>
            <w:tcW w:w="840" w:type="dxa"/>
            <w:vAlign w:val="bottom"/>
          </w:tcPr>
          <w:p>
            <w:pPr>
              <w:spacing w:after="0"/>
              <w:rPr>
                <w:sz w:val="18"/>
                <w:szCs w:val="18"/>
                <w:color w:val="auto"/>
              </w:rPr>
            </w:pPr>
          </w:p>
        </w:tc>
        <w:tc>
          <w:tcPr>
            <w:tcW w:w="6700" w:type="dxa"/>
            <w:vAlign w:val="bottom"/>
          </w:tcPr>
          <w:p>
            <w:pPr>
              <w:jc w:val="center"/>
              <w:ind w:left="2939"/>
              <w:spacing w:after="0"/>
              <w:rPr>
                <w:sz w:val="20"/>
                <w:szCs w:val="20"/>
                <w:color w:val="auto"/>
              </w:rPr>
            </w:pPr>
            <w:r>
              <w:rPr>
                <w:rFonts w:ascii="Arial" w:cs="Arial" w:eastAsia="Arial" w:hAnsi="Arial"/>
                <w:sz w:val="18"/>
                <w:szCs w:val="18"/>
                <w:b w:val="1"/>
                <w:bCs w:val="1"/>
                <w:color w:val="auto"/>
                <w:w w:val="91"/>
              </w:rPr>
              <w:t>Washington, D.C. 20549</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6700" w:type="dxa"/>
            <w:vAlign w:val="bottom"/>
          </w:tcPr>
          <w:p>
            <w:pPr>
              <w:jc w:val="right"/>
              <w:ind w:right="399"/>
              <w:spacing w:after="0"/>
              <w:rPr>
                <w:sz w:val="20"/>
                <w:szCs w:val="20"/>
                <w:color w:val="auto"/>
              </w:rPr>
            </w:pPr>
            <w:r>
              <w:rPr>
                <w:rFonts w:ascii="Arial" w:cs="Arial" w:eastAsia="Arial" w:hAnsi="Arial"/>
                <w:sz w:val="18"/>
                <w:szCs w:val="18"/>
                <w:b w:val="1"/>
                <w:bCs w:val="1"/>
                <w:color w:val="auto"/>
              </w:rPr>
              <w:t>______________________________</w:t>
            </w: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9"/>
        </w:trPr>
        <w:tc>
          <w:tcPr>
            <w:tcW w:w="840" w:type="dxa"/>
            <w:vAlign w:val="bottom"/>
          </w:tcPr>
          <w:p>
            <w:pPr>
              <w:spacing w:after="0"/>
              <w:rPr>
                <w:sz w:val="24"/>
                <w:szCs w:val="24"/>
                <w:color w:val="auto"/>
              </w:rPr>
            </w:pPr>
          </w:p>
        </w:tc>
        <w:tc>
          <w:tcPr>
            <w:tcW w:w="6700" w:type="dxa"/>
            <w:vAlign w:val="bottom"/>
          </w:tcPr>
          <w:p>
            <w:pPr>
              <w:jc w:val="center"/>
              <w:ind w:left="2959"/>
              <w:spacing w:after="0"/>
              <w:rPr>
                <w:sz w:val="20"/>
                <w:szCs w:val="20"/>
                <w:color w:val="auto"/>
              </w:rPr>
            </w:pPr>
            <w:r>
              <w:rPr>
                <w:rFonts w:ascii="Arial" w:cs="Arial" w:eastAsia="Arial" w:hAnsi="Arial"/>
                <w:sz w:val="32"/>
                <w:szCs w:val="32"/>
                <w:b w:val="1"/>
                <w:bCs w:val="1"/>
                <w:color w:val="auto"/>
                <w:w w:val="98"/>
              </w:rPr>
              <w:t>FORM 10-Q</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40" w:type="dxa"/>
            <w:vAlign w:val="bottom"/>
          </w:tcPr>
          <w:p>
            <w:pPr>
              <w:spacing w:after="0"/>
              <w:rPr>
                <w:sz w:val="20"/>
                <w:szCs w:val="20"/>
                <w:color w:val="auto"/>
              </w:rPr>
            </w:pPr>
            <w:r>
              <w:rPr>
                <w:rFonts w:ascii="Arial" w:cs="Arial" w:eastAsia="Arial" w:hAnsi="Arial"/>
                <w:sz w:val="18"/>
                <w:szCs w:val="18"/>
                <w:color w:val="auto"/>
                <w:w w:val="94"/>
              </w:rPr>
              <w:t>(Mark one)</w:t>
            </w:r>
          </w:p>
        </w:tc>
        <w:tc>
          <w:tcPr>
            <w:tcW w:w="1010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w w:val="96"/>
              </w:rPr>
              <w:t>QUARTERLY REPORT PURSUANT TO SECTION 13 OR 15(d) OF THE SECURITIES EXCHANGE ACT OF 1934</w:t>
            </w:r>
          </w:p>
        </w:tc>
        <w:tc>
          <w:tcPr>
            <w:tcW w:w="0" w:type="dxa"/>
            <w:vAlign w:val="bottom"/>
          </w:tcPr>
          <w:p>
            <w:pPr>
              <w:spacing w:after="0"/>
              <w:rPr>
                <w:sz w:val="1"/>
                <w:szCs w:val="1"/>
                <w:color w:val="auto"/>
              </w:rPr>
            </w:pPr>
          </w:p>
        </w:tc>
      </w:tr>
      <w:tr>
        <w:trPr>
          <w:trHeight w:val="223"/>
        </w:trPr>
        <w:tc>
          <w:tcPr>
            <w:tcW w:w="840" w:type="dxa"/>
            <w:vAlign w:val="bottom"/>
          </w:tcPr>
          <w:p>
            <w:pPr>
              <w:jc w:val="center"/>
              <w:ind w:right="372"/>
              <w:spacing w:after="0"/>
              <w:rPr>
                <w:sz w:val="20"/>
                <w:szCs w:val="20"/>
                <w:color w:val="auto"/>
              </w:rPr>
            </w:pPr>
            <w:r>
              <w:rPr>
                <w:rFonts w:ascii="Arial" w:cs="Arial" w:eastAsia="Arial" w:hAnsi="Arial"/>
                <w:sz w:val="18"/>
                <w:szCs w:val="18"/>
                <w:color w:val="auto"/>
              </w:rPr>
              <w:t>[ x ]</w:t>
            </w:r>
          </w:p>
        </w:tc>
        <w:tc>
          <w:tcPr>
            <w:tcW w:w="10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840" w:type="dxa"/>
            <w:vAlign w:val="bottom"/>
          </w:tcPr>
          <w:p>
            <w:pPr>
              <w:spacing w:after="0"/>
              <w:rPr>
                <w:sz w:val="24"/>
                <w:szCs w:val="24"/>
                <w:color w:val="auto"/>
              </w:rPr>
            </w:pPr>
          </w:p>
        </w:tc>
        <w:tc>
          <w:tcPr>
            <w:tcW w:w="10100" w:type="dxa"/>
            <w:vAlign w:val="bottom"/>
            <w:gridSpan w:val="2"/>
          </w:tcPr>
          <w:p>
            <w:pPr>
              <w:jc w:val="center"/>
              <w:ind w:right="252"/>
              <w:spacing w:after="0"/>
              <w:rPr>
                <w:sz w:val="20"/>
                <w:szCs w:val="20"/>
                <w:color w:val="auto"/>
              </w:rPr>
            </w:pPr>
            <w:r>
              <w:rPr>
                <w:rFonts w:ascii="Arial" w:cs="Arial" w:eastAsia="Arial" w:hAnsi="Arial"/>
                <w:sz w:val="21"/>
                <w:szCs w:val="21"/>
                <w:b w:val="1"/>
                <w:bCs w:val="1"/>
                <w:color w:val="auto"/>
                <w:w w:val="92"/>
              </w:rPr>
              <w:t>For the quarterly period ended May 31, 2011</w:t>
            </w:r>
          </w:p>
        </w:tc>
        <w:tc>
          <w:tcPr>
            <w:tcW w:w="0" w:type="dxa"/>
            <w:vAlign w:val="bottom"/>
          </w:tcPr>
          <w:p>
            <w:pPr>
              <w:spacing w:after="0"/>
              <w:rPr>
                <w:sz w:val="1"/>
                <w:szCs w:val="1"/>
                <w:color w:val="auto"/>
              </w:rPr>
            </w:pPr>
          </w:p>
        </w:tc>
      </w:tr>
      <w:tr>
        <w:trPr>
          <w:trHeight w:val="438"/>
        </w:trPr>
        <w:tc>
          <w:tcPr>
            <w:tcW w:w="840" w:type="dxa"/>
            <w:vAlign w:val="bottom"/>
          </w:tcPr>
          <w:p>
            <w:pPr>
              <w:jc w:val="right"/>
              <w:ind w:right="452"/>
              <w:spacing w:after="0"/>
              <w:rPr>
                <w:sz w:val="20"/>
                <w:szCs w:val="20"/>
                <w:color w:val="auto"/>
              </w:rPr>
            </w:pPr>
            <w:r>
              <w:rPr>
                <w:rFonts w:ascii="Arial" w:cs="Arial" w:eastAsia="Arial" w:hAnsi="Arial"/>
                <w:sz w:val="18"/>
                <w:szCs w:val="18"/>
                <w:color w:val="auto"/>
              </w:rPr>
              <w:t>[ ]</w:t>
            </w:r>
          </w:p>
        </w:tc>
        <w:tc>
          <w:tcPr>
            <w:tcW w:w="10100" w:type="dxa"/>
            <w:vAlign w:val="bottom"/>
            <w:gridSpan w:val="2"/>
          </w:tcPr>
          <w:p>
            <w:pPr>
              <w:ind w:left="1140"/>
              <w:spacing w:after="0"/>
              <w:rPr>
                <w:sz w:val="20"/>
                <w:szCs w:val="20"/>
                <w:color w:val="auto"/>
              </w:rPr>
            </w:pPr>
            <w:r>
              <w:rPr>
                <w:rFonts w:ascii="Arial" w:cs="Arial" w:eastAsia="Arial" w:hAnsi="Arial"/>
                <w:sz w:val="18"/>
                <w:szCs w:val="18"/>
                <w:b w:val="1"/>
                <w:bCs w:val="1"/>
                <w:color w:val="auto"/>
                <w:w w:val="96"/>
              </w:rPr>
              <w:t>TRANSITION REPORT PURSUANT TO SECTION 13 OR 15(d) OF THE SECURITIES EXCHANGE ACT OF 1934</w:t>
            </w:r>
          </w:p>
        </w:tc>
        <w:tc>
          <w:tcPr>
            <w:tcW w:w="0" w:type="dxa"/>
            <w:vAlign w:val="bottom"/>
          </w:tcPr>
          <w:p>
            <w:pPr>
              <w:spacing w:after="0"/>
              <w:rPr>
                <w:sz w:val="1"/>
                <w:szCs w:val="1"/>
                <w:color w:val="auto"/>
              </w:rPr>
            </w:pPr>
          </w:p>
        </w:tc>
      </w:tr>
      <w:tr>
        <w:trPr>
          <w:trHeight w:val="448"/>
        </w:trPr>
        <w:tc>
          <w:tcPr>
            <w:tcW w:w="840" w:type="dxa"/>
            <w:vAlign w:val="bottom"/>
          </w:tcPr>
          <w:p>
            <w:pPr>
              <w:spacing w:after="0"/>
              <w:rPr>
                <w:sz w:val="24"/>
                <w:szCs w:val="24"/>
                <w:color w:val="auto"/>
              </w:rPr>
            </w:pPr>
          </w:p>
        </w:tc>
        <w:tc>
          <w:tcPr>
            <w:tcW w:w="10100" w:type="dxa"/>
            <w:vAlign w:val="bottom"/>
            <w:gridSpan w:val="2"/>
          </w:tcPr>
          <w:p>
            <w:pPr>
              <w:ind w:left="3120"/>
              <w:spacing w:after="0"/>
              <w:rPr>
                <w:sz w:val="20"/>
                <w:szCs w:val="20"/>
                <w:color w:val="auto"/>
              </w:rPr>
            </w:pPr>
            <w:r>
              <w:rPr>
                <w:rFonts w:ascii="Arial" w:cs="Arial" w:eastAsia="Arial" w:hAnsi="Arial"/>
                <w:sz w:val="18"/>
                <w:szCs w:val="18"/>
                <w:color w:val="auto"/>
              </w:rPr>
              <w:t>For the transition period from ________________ to __________________.</w:t>
            </w:r>
          </w:p>
        </w:tc>
        <w:tc>
          <w:tcPr>
            <w:tcW w:w="0" w:type="dxa"/>
            <w:vAlign w:val="bottom"/>
          </w:tcPr>
          <w:p>
            <w:pPr>
              <w:spacing w:after="0"/>
              <w:rPr>
                <w:sz w:val="1"/>
                <w:szCs w:val="1"/>
                <w:color w:val="auto"/>
              </w:rPr>
            </w:pPr>
          </w:p>
        </w:tc>
      </w:tr>
      <w:tr>
        <w:trPr>
          <w:trHeight w:val="437"/>
        </w:trPr>
        <w:tc>
          <w:tcPr>
            <w:tcW w:w="840" w:type="dxa"/>
            <w:vAlign w:val="bottom"/>
          </w:tcPr>
          <w:p>
            <w:pPr>
              <w:spacing w:after="0"/>
              <w:rPr>
                <w:sz w:val="24"/>
                <w:szCs w:val="24"/>
                <w:color w:val="auto"/>
              </w:rPr>
            </w:pPr>
          </w:p>
        </w:tc>
        <w:tc>
          <w:tcPr>
            <w:tcW w:w="6700" w:type="dxa"/>
            <w:vAlign w:val="bottom"/>
          </w:tcPr>
          <w:p>
            <w:pPr>
              <w:jc w:val="center"/>
              <w:ind w:left="2939"/>
              <w:spacing w:after="0"/>
              <w:rPr>
                <w:sz w:val="20"/>
                <w:szCs w:val="20"/>
                <w:color w:val="auto"/>
              </w:rPr>
            </w:pPr>
            <w:r>
              <w:rPr>
                <w:rFonts w:ascii="Arial" w:cs="Arial" w:eastAsia="Arial" w:hAnsi="Arial"/>
                <w:sz w:val="18"/>
                <w:szCs w:val="18"/>
                <w:b w:val="1"/>
                <w:bCs w:val="1"/>
                <w:color w:val="auto"/>
                <w:w w:val="89"/>
              </w:rPr>
              <w:t>Commission File Number: 001-11038</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700" w:type="dxa"/>
            <w:vAlign w:val="bottom"/>
          </w:tcPr>
          <w:p>
            <w:pPr>
              <w:jc w:val="right"/>
              <w:ind w:right="839"/>
              <w:spacing w:after="0"/>
              <w:rPr>
                <w:sz w:val="20"/>
                <w:szCs w:val="20"/>
                <w:color w:val="auto"/>
              </w:rPr>
            </w:pPr>
            <w:r>
              <w:rPr>
                <w:rFonts w:ascii="Arial" w:cs="Arial" w:eastAsia="Arial" w:hAnsi="Arial"/>
                <w:sz w:val="18"/>
                <w:szCs w:val="18"/>
                <w:b w:val="1"/>
                <w:bCs w:val="1"/>
                <w:i w:val="1"/>
                <w:iCs w:val="1"/>
                <w:color w:val="auto"/>
              </w:rPr>
              <w:t>____________________</w:t>
            </w: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2"/>
        </w:trPr>
        <w:tc>
          <w:tcPr>
            <w:tcW w:w="840" w:type="dxa"/>
            <w:vAlign w:val="bottom"/>
          </w:tcPr>
          <w:p>
            <w:pPr>
              <w:spacing w:after="0"/>
              <w:rPr>
                <w:sz w:val="24"/>
                <w:szCs w:val="24"/>
                <w:color w:val="auto"/>
              </w:rPr>
            </w:pPr>
          </w:p>
        </w:tc>
        <w:tc>
          <w:tcPr>
            <w:tcW w:w="10100" w:type="dxa"/>
            <w:vAlign w:val="bottom"/>
            <w:gridSpan w:val="2"/>
          </w:tcPr>
          <w:p>
            <w:pPr>
              <w:jc w:val="center"/>
              <w:ind w:right="272"/>
              <w:spacing w:after="0"/>
              <w:rPr>
                <w:sz w:val="20"/>
                <w:szCs w:val="20"/>
                <w:color w:val="auto"/>
              </w:rPr>
            </w:pPr>
            <w:r>
              <w:rPr>
                <w:rFonts w:ascii="Arial" w:cs="Arial" w:eastAsia="Arial" w:hAnsi="Arial"/>
                <w:sz w:val="32"/>
                <w:szCs w:val="32"/>
                <w:b w:val="1"/>
                <w:bCs w:val="1"/>
                <w:color w:val="auto"/>
              </w:rPr>
              <w:t>NORTHERN TECHNOLOGIES INTERNATIONAL CORPORATION</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700" w:type="dxa"/>
            <w:vAlign w:val="bottom"/>
          </w:tcPr>
          <w:p>
            <w:pPr>
              <w:jc w:val="center"/>
              <w:ind w:left="2939"/>
              <w:spacing w:after="0"/>
              <w:rPr>
                <w:sz w:val="20"/>
                <w:szCs w:val="20"/>
                <w:color w:val="auto"/>
              </w:rPr>
            </w:pPr>
            <w:r>
              <w:rPr>
                <w:rFonts w:ascii="Arial" w:cs="Arial" w:eastAsia="Arial" w:hAnsi="Arial"/>
                <w:sz w:val="18"/>
                <w:szCs w:val="18"/>
                <w:color w:val="auto"/>
                <w:w w:val="88"/>
              </w:rPr>
              <w:t>(Exact name of registrant as specified in its charter)</w:t>
            </w: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840" w:type="dxa"/>
            <w:vAlign w:val="bottom"/>
          </w:tcPr>
          <w:p>
            <w:pPr>
              <w:spacing w:after="0"/>
              <w:rPr>
                <w:sz w:val="24"/>
                <w:szCs w:val="24"/>
                <w:color w:val="auto"/>
              </w:rPr>
            </w:pPr>
          </w:p>
        </w:tc>
        <w:tc>
          <w:tcPr>
            <w:tcW w:w="6700" w:type="dxa"/>
            <w:vAlign w:val="bottom"/>
          </w:tcPr>
          <w:p>
            <w:pPr>
              <w:jc w:val="center"/>
              <w:ind w:right="2159"/>
              <w:spacing w:after="0"/>
              <w:rPr>
                <w:sz w:val="20"/>
                <w:szCs w:val="20"/>
                <w:color w:val="auto"/>
              </w:rPr>
            </w:pPr>
            <w:r>
              <w:rPr>
                <w:rFonts w:ascii="Arial" w:cs="Arial" w:eastAsia="Arial" w:hAnsi="Arial"/>
                <w:sz w:val="18"/>
                <w:szCs w:val="18"/>
                <w:b w:val="1"/>
                <w:bCs w:val="1"/>
                <w:color w:val="auto"/>
                <w:w w:val="91"/>
              </w:rPr>
              <w:t>Delaware</w:t>
            </w:r>
          </w:p>
        </w:tc>
        <w:tc>
          <w:tcPr>
            <w:tcW w:w="3400" w:type="dxa"/>
            <w:vAlign w:val="bottom"/>
          </w:tcPr>
          <w:p>
            <w:pPr>
              <w:jc w:val="right"/>
              <w:ind w:right="1652"/>
              <w:spacing w:after="0"/>
              <w:rPr>
                <w:sz w:val="20"/>
                <w:szCs w:val="20"/>
                <w:color w:val="auto"/>
              </w:rPr>
            </w:pPr>
            <w:r>
              <w:rPr>
                <w:rFonts w:ascii="Arial" w:cs="Arial" w:eastAsia="Arial" w:hAnsi="Arial"/>
                <w:sz w:val="18"/>
                <w:szCs w:val="18"/>
                <w:b w:val="1"/>
                <w:bCs w:val="1"/>
                <w:color w:val="auto"/>
              </w:rPr>
              <w:t>41-0857886</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700" w:type="dxa"/>
            <w:vAlign w:val="bottom"/>
          </w:tcPr>
          <w:p>
            <w:pPr>
              <w:jc w:val="center"/>
              <w:ind w:right="2159"/>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400" w:type="dxa"/>
            <w:vAlign w:val="bottom"/>
          </w:tcPr>
          <w:p>
            <w:pPr>
              <w:jc w:val="center"/>
              <w:ind w:right="852"/>
              <w:spacing w:after="0"/>
              <w:rPr>
                <w:sz w:val="20"/>
                <w:szCs w:val="20"/>
                <w:color w:val="auto"/>
              </w:rPr>
            </w:pPr>
            <w:r>
              <w:rPr>
                <w:rFonts w:ascii="Arial" w:cs="Arial" w:eastAsia="Arial" w:hAnsi="Arial"/>
                <w:sz w:val="18"/>
                <w:szCs w:val="18"/>
                <w:color w:val="auto"/>
                <w:w w:val="92"/>
              </w:rPr>
              <w:t>(IRS Employer Identification No.)</w:t>
            </w:r>
          </w:p>
        </w:tc>
        <w:tc>
          <w:tcPr>
            <w:tcW w:w="0" w:type="dxa"/>
            <w:vAlign w:val="bottom"/>
          </w:tcPr>
          <w:p>
            <w:pPr>
              <w:spacing w:after="0"/>
              <w:rPr>
                <w:sz w:val="1"/>
                <w:szCs w:val="1"/>
                <w:color w:val="auto"/>
              </w:rPr>
            </w:pPr>
          </w:p>
        </w:tc>
      </w:tr>
    </w:tbl>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4201 Woodland Rd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Circle Pines, Minnesota 55014</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(763) 225-6600</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0" w:lineRule="exact"/>
        <w:rPr>
          <w:sz w:val="24"/>
          <w:szCs w:val="24"/>
          <w:color w:val="auto"/>
        </w:rPr>
      </w:pPr>
    </w:p>
    <w:p>
      <w:pPr>
        <w:ind w:right="400" w:firstLine="316"/>
        <w:spacing w:after="0" w:line="24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20"/>
        <w:spacing w:after="0"/>
        <w:rPr>
          <w:sz w:val="20"/>
          <w:szCs w:val="20"/>
          <w:color w:val="auto"/>
        </w:rPr>
      </w:pPr>
      <w:r>
        <w:rPr>
          <w:rFonts w:ascii="Arial" w:cs="Arial" w:eastAsia="Arial" w:hAnsi="Arial"/>
          <w:sz w:val="18"/>
          <w:szCs w:val="18"/>
          <w:color w:val="auto"/>
        </w:rPr>
        <w:t>YES [ x ] NO [ ]</w:t>
      </w:r>
    </w:p>
    <w:p>
      <w:pPr>
        <w:spacing w:after="0" w:line="230" w:lineRule="exact"/>
        <w:rPr>
          <w:sz w:val="24"/>
          <w:szCs w:val="24"/>
          <w:color w:val="auto"/>
        </w:rPr>
      </w:pPr>
    </w:p>
    <w:p>
      <w:pPr>
        <w:ind w:firstLine="316"/>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 NO [ ]</w:t>
      </w:r>
    </w:p>
    <w:p>
      <w:pPr>
        <w:spacing w:after="0" w:line="216" w:lineRule="exact"/>
        <w:rPr>
          <w:sz w:val="24"/>
          <w:szCs w:val="24"/>
          <w:color w:val="auto"/>
        </w:rPr>
      </w:pPr>
    </w:p>
    <w:p>
      <w:pPr>
        <w:ind w:right="60" w:firstLine="316"/>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13" w:right="259" w:bottom="1440" w:gutter="0" w:footer="0" w:header="0"/>
        </w:sectPr>
      </w:pP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w:t>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(Do not check if a smaller reporting company) [ ]</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1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0" w:lineRule="exact"/>
        <w:rPr>
          <w:sz w:val="24"/>
          <w:szCs w:val="24"/>
          <w:color w:val="auto"/>
        </w:rPr>
      </w:pPr>
    </w:p>
    <w:p>
      <w:pPr>
        <w:sectPr>
          <w:pgSz w:w="11900" w:h="16838" w:orient="portrait"/>
          <w:cols w:equalWidth="0" w:num="2">
            <w:col w:w="7040" w:space="720"/>
            <w:col w:w="3640"/>
          </w:cols>
          <w:pgMar w:left="240" w:top="213" w:right="259" w:bottom="1440" w:gutter="0" w:footer="0" w:header="0"/>
          <w:type w:val="continuous"/>
        </w:sectPr>
      </w:pPr>
    </w:p>
    <w:p>
      <w:pPr>
        <w:spacing w:after="0" w:line="26" w:lineRule="exact"/>
        <w:rPr>
          <w:sz w:val="24"/>
          <w:szCs w:val="24"/>
          <w:color w:val="auto"/>
        </w:rPr>
      </w:pPr>
    </w:p>
    <w:p>
      <w:pPr>
        <w:ind w:left="320"/>
        <w:spacing w:after="0"/>
        <w:tabs>
          <w:tab w:leader="none" w:pos="84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 ]  NO [x]</w:t>
      </w:r>
    </w:p>
    <w:p>
      <w:pPr>
        <w:spacing w:after="0" w:line="241"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July 13, 2011, there were 4,345,758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410210</wp:posOffset>
            </wp:positionV>
            <wp:extent cx="725424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13"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31, 2011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80" w:type="dxa"/>
            <w:vAlign w:val="bottom"/>
            <w:gridSpan w:val="8"/>
          </w:tcPr>
          <w:p>
            <w:pPr>
              <w:jc w:val="center"/>
              <w:ind w:right="2720"/>
              <w:spacing w:after="0"/>
              <w:rPr>
                <w:sz w:val="20"/>
                <w:szCs w:val="20"/>
                <w:color w:val="auto"/>
              </w:rPr>
            </w:pPr>
            <w:r>
              <w:rPr>
                <w:rFonts w:ascii="Arial" w:cs="Arial" w:eastAsia="Arial" w:hAnsi="Arial"/>
                <w:sz w:val="18"/>
                <w:szCs w:val="18"/>
                <w:b w:val="1"/>
                <w:bCs w:val="1"/>
                <w:color w:val="auto"/>
                <w:w w:val="96"/>
              </w:rPr>
              <w:t>TABLE OF CONTENTS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880" w:type="dxa"/>
            <w:vAlign w:val="bottom"/>
            <w:gridSpan w:val="4"/>
          </w:tcPr>
          <w:p>
            <w:pPr>
              <w:spacing w:after="0"/>
              <w:rPr>
                <w:sz w:val="20"/>
                <w:szCs w:val="20"/>
                <w:color w:val="auto"/>
              </w:rPr>
            </w:pPr>
            <w:r>
              <w:rPr>
                <w:rFonts w:ascii="Arial" w:cs="Arial" w:eastAsia="Arial" w:hAnsi="Arial"/>
                <w:sz w:val="18"/>
                <w:szCs w:val="18"/>
                <w:b w:val="1"/>
                <w:bCs w:val="1"/>
                <w:color w:val="auto"/>
                <w:w w:val="86"/>
              </w:rPr>
              <w:t>Description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gridSpan w:val="6"/>
          </w:tcPr>
          <w:p>
            <w:pPr>
              <w:ind w:left="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83"/>
        </w:trPr>
        <w:tc>
          <w:tcPr>
            <w:tcW w:w="20" w:type="dxa"/>
            <w:vAlign w:val="bottom"/>
            <w:vMerge w:val="restart"/>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1014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860" w:type="dxa"/>
            <w:vAlign w:val="bottom"/>
            <w:gridSpan w:val="3"/>
            <w:shd w:val="clear" w:color="auto" w:fill="CCEEFF"/>
          </w:tcPr>
          <w:p>
            <w:pPr>
              <w:spacing w:after="0" w:line="171"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May 31, 2011 (unaudited) and August 31, 2010</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 for the Three and Nine Months Ended May 31, 2011 and 2010</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Nine Months Ended May 31, 2011 and 2010</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6">
              <w:r>
                <w:rPr>
                  <w:rFonts w:ascii="Arial" w:cs="Arial" w:eastAsia="Arial" w:hAnsi="Arial"/>
                  <w:sz w:val="18"/>
                  <w:szCs w:val="18"/>
                  <w:color w:val="0000EE"/>
                </w:rPr>
                <w:t>5-14</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860" w:type="dxa"/>
            <w:vAlign w:val="bottom"/>
            <w:gridSpan w:val="3"/>
            <w:shd w:val="clear" w:color="auto" w:fill="CCEEFF"/>
          </w:tcPr>
          <w:p>
            <w:pPr>
              <w:spacing w:after="0" w:line="171"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w w:val="82"/>
              </w:rPr>
            </w:pPr>
            <w:hyperlink w:anchor="page16">
              <w:r>
                <w:rPr>
                  <w:rFonts w:ascii="Arial" w:cs="Arial" w:eastAsia="Arial" w:hAnsi="Arial"/>
                  <w:sz w:val="18"/>
                  <w:szCs w:val="18"/>
                  <w:color w:val="0000EE"/>
                  <w:w w:val="82"/>
                </w:rPr>
                <w:t>15-28</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860" w:type="dxa"/>
            <w:vAlign w:val="bottom"/>
            <w:gridSpan w:val="3"/>
            <w:shd w:val="clear" w:color="auto" w:fill="CCEEFF"/>
          </w:tcPr>
          <w:p>
            <w:pPr>
              <w:spacing w:after="0" w:line="171" w:lineRule="exact"/>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860" w:type="dxa"/>
            <w:vAlign w:val="bottom"/>
            <w:gridSpan w:val="3"/>
            <w:shd w:val="clear" w:color="auto" w:fill="CCEEFF"/>
          </w:tcPr>
          <w:p>
            <w:pPr>
              <w:spacing w:after="0" w:line="171"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w w:val="82"/>
              </w:rPr>
            </w:pPr>
            <w:hyperlink w:anchor="page29">
              <w:r>
                <w:rPr>
                  <w:rFonts w:ascii="Arial" w:cs="Arial" w:eastAsia="Arial" w:hAnsi="Arial"/>
                  <w:sz w:val="18"/>
                  <w:szCs w:val="18"/>
                  <w:color w:val="0000EE"/>
                  <w:w w:val="82"/>
                </w:rPr>
                <w:t>28-29</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1014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860" w:type="dxa"/>
            <w:vAlign w:val="bottom"/>
            <w:gridSpan w:val="3"/>
            <w:shd w:val="clear" w:color="auto" w:fill="CCEEFF"/>
          </w:tcPr>
          <w:p>
            <w:pPr>
              <w:spacing w:after="0" w:line="171" w:lineRule="exact"/>
              <w:rPr>
                <w:rFonts w:ascii="Arial" w:cs="Arial" w:eastAsia="Arial" w:hAnsi="Arial"/>
                <w:sz w:val="18"/>
                <w:szCs w:val="18"/>
                <w:color w:val="0000EE"/>
              </w:rPr>
            </w:pPr>
            <w:hyperlink w:anchor="page30">
              <w:r>
                <w:rPr>
                  <w:rFonts w:ascii="Arial" w:cs="Arial" w:eastAsia="Arial" w:hAnsi="Arial"/>
                  <w:sz w:val="18"/>
                  <w:szCs w:val="18"/>
                  <w:color w:val="0000EE"/>
                </w:rPr>
                <w:t>Item 1.</w:t>
              </w:r>
            </w:hyperlink>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860" w:type="dxa"/>
            <w:vAlign w:val="bottom"/>
            <w:gridSpan w:val="3"/>
            <w:shd w:val="clear" w:color="auto" w:fill="CCEEFF"/>
          </w:tcPr>
          <w:p>
            <w:pPr>
              <w:spacing w:after="0" w:line="171"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860" w:type="dxa"/>
            <w:vAlign w:val="bottom"/>
            <w:gridSpan w:val="3"/>
            <w:shd w:val="clear" w:color="auto" w:fill="CCEEFF"/>
          </w:tcPr>
          <w:p>
            <w:pPr>
              <w:spacing w:after="0" w:line="171" w:lineRule="exact"/>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860" w:type="dxa"/>
            <w:vAlign w:val="bottom"/>
            <w:gridSpan w:val="3"/>
            <w:shd w:val="clear" w:color="auto" w:fill="CCEEFF"/>
          </w:tcPr>
          <w:p>
            <w:pPr>
              <w:spacing w:after="0" w:line="171" w:lineRule="exact"/>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860" w:type="dxa"/>
            <w:vAlign w:val="bottom"/>
            <w:gridSpan w:val="3"/>
            <w:shd w:val="clear" w:color="auto" w:fill="CCEEFF"/>
          </w:tcPr>
          <w:p>
            <w:pPr>
              <w:spacing w:after="0" w:line="171" w:lineRule="exact"/>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31">
              <w:r>
                <w:rPr>
                  <w:rFonts w:ascii="Arial" w:cs="Arial" w:eastAsia="Arial" w:hAnsi="Arial"/>
                  <w:sz w:val="18"/>
                  <w:szCs w:val="18"/>
                  <w:color w:val="0000EE"/>
                </w:rPr>
                <w:t>[Removed and Reserved]</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860" w:type="dxa"/>
            <w:vAlign w:val="bottom"/>
            <w:gridSpan w:val="3"/>
            <w:shd w:val="clear" w:color="auto" w:fill="CCEEFF"/>
          </w:tcPr>
          <w:p>
            <w:pPr>
              <w:spacing w:after="0" w:line="171" w:lineRule="exact"/>
              <w:rPr>
                <w:rFonts w:ascii="Arial" w:cs="Arial" w:eastAsia="Arial" w:hAnsi="Arial"/>
                <w:sz w:val="18"/>
                <w:szCs w:val="18"/>
                <w:color w:val="0000EE"/>
              </w:rPr>
            </w:pPr>
            <w:hyperlink w:anchor="page31">
              <w:r>
                <w:rPr>
                  <w:rFonts w:ascii="Arial" w:cs="Arial" w:eastAsia="Arial" w:hAnsi="Arial"/>
                  <w:sz w:val="18"/>
                  <w:szCs w:val="18"/>
                  <w:color w:val="0000EE"/>
                </w:rPr>
                <w:t>Item 5.</w:t>
              </w:r>
            </w:hyperlink>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860" w:type="dxa"/>
            <w:vAlign w:val="bottom"/>
            <w:gridSpan w:val="3"/>
            <w:shd w:val="clear" w:color="auto" w:fill="CCEEFF"/>
          </w:tcPr>
          <w:p>
            <w:pPr>
              <w:spacing w:after="0" w:line="171" w:lineRule="exact"/>
              <w:rPr>
                <w:rFonts w:ascii="Arial" w:cs="Arial" w:eastAsia="Arial" w:hAnsi="Arial"/>
                <w:sz w:val="18"/>
                <w:szCs w:val="18"/>
                <w:color w:val="0000EE"/>
              </w:rPr>
            </w:pPr>
            <w:hyperlink w:anchor="page31">
              <w:r>
                <w:rPr>
                  <w:rFonts w:ascii="Arial" w:cs="Arial" w:eastAsia="Arial" w:hAnsi="Arial"/>
                  <w:sz w:val="18"/>
                  <w:szCs w:val="18"/>
                  <w:color w:val="0000EE"/>
                </w:rPr>
                <w:t>Item 6.</w:t>
              </w:r>
            </w:hyperlink>
          </w:p>
        </w:tc>
        <w:tc>
          <w:tcPr>
            <w:tcW w:w="10140" w:type="dxa"/>
            <w:vAlign w:val="bottom"/>
            <w:gridSpan w:val="18"/>
            <w:shd w:val="clear" w:color="auto" w:fill="CCEEFF"/>
          </w:tcPr>
          <w:p>
            <w:pPr>
              <w:spacing w:after="0" w:line="171"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1000" w:type="dxa"/>
            <w:vAlign w:val="bottom"/>
            <w:gridSpan w:val="21"/>
            <w:shd w:val="clear" w:color="auto" w:fill="CCEEFF"/>
          </w:tcPr>
          <w:p>
            <w:pPr>
              <w:spacing w:after="0" w:line="171"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SIGNATURE PAGE</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166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560" w:type="dxa"/>
            <w:vAlign w:val="bottom"/>
            <w:tcBorders>
              <w:top w:val="single" w:sz="8" w:color="CCEEFF"/>
            </w:tcBorders>
          </w:tcPr>
          <w:p>
            <w:pPr>
              <w:spacing w:after="0"/>
              <w:rPr>
                <w:sz w:val="20"/>
                <w:szCs w:val="20"/>
                <w:color w:val="auto"/>
              </w:rPr>
            </w:pPr>
          </w:p>
        </w:tc>
        <w:tc>
          <w:tcPr>
            <w:tcW w:w="500" w:type="dxa"/>
            <w:vAlign w:val="bottom"/>
            <w:tcBorders>
              <w:top w:val="single" w:sz="8" w:color="CCEEFF"/>
            </w:tcBorders>
          </w:tcPr>
          <w:p>
            <w:pPr>
              <w:spacing w:after="0"/>
              <w:rPr>
                <w:sz w:val="20"/>
                <w:szCs w:val="20"/>
                <w:color w:val="auto"/>
              </w:rPr>
            </w:pPr>
          </w:p>
        </w:tc>
        <w:tc>
          <w:tcPr>
            <w:tcW w:w="1020" w:type="dxa"/>
            <w:vAlign w:val="bottom"/>
            <w:tcBorders>
              <w:top w:val="single" w:sz="8" w:color="CCEEFF"/>
            </w:tcBorders>
          </w:tcPr>
          <w:p>
            <w:pPr>
              <w:spacing w:after="0"/>
              <w:rPr>
                <w:sz w:val="20"/>
                <w:szCs w:val="20"/>
                <w:color w:val="auto"/>
              </w:rPr>
            </w:pPr>
          </w:p>
        </w:tc>
        <w:tc>
          <w:tcPr>
            <w:tcW w:w="700" w:type="dxa"/>
            <w:vAlign w:val="bottom"/>
            <w:tcBorders>
              <w:top w:val="single" w:sz="8" w:color="CCEEFF"/>
            </w:tcBorders>
          </w:tcPr>
          <w:p>
            <w:pPr>
              <w:spacing w:after="0"/>
              <w:rPr>
                <w:sz w:val="20"/>
                <w:szCs w:val="20"/>
                <w:color w:val="auto"/>
              </w:rPr>
            </w:pPr>
          </w:p>
        </w:tc>
        <w:tc>
          <w:tcPr>
            <w:tcW w:w="21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1000" w:type="dxa"/>
            <w:vAlign w:val="bottom"/>
            <w:gridSpan w:val="21"/>
            <w:shd w:val="clear" w:color="auto" w:fill="CCEEFF"/>
          </w:tcPr>
          <w:p>
            <w:pPr>
              <w:spacing w:after="0" w:line="171"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EXHIBIT INDEX</w:t>
              </w:r>
            </w:hyperlink>
          </w:p>
        </w:tc>
        <w:tc>
          <w:tcPr>
            <w:tcW w:w="400" w:type="dxa"/>
            <w:vAlign w:val="bottom"/>
            <w:gridSpan w:val="5"/>
            <w:shd w:val="clear" w:color="auto" w:fill="CCEEFF"/>
          </w:tcPr>
          <w:p>
            <w:pPr>
              <w:jc w:val="right"/>
              <w:spacing w:after="0" w:line="171"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5320" w:type="dxa"/>
            <w:vAlign w:val="bottom"/>
            <w:tcBorders>
              <w:top w:val="single" w:sz="8" w:color="CCEEFF"/>
            </w:tcBorders>
            <w:gridSpan w:val="13"/>
          </w:tcPr>
          <w:p>
            <w:pPr>
              <w:jc w:val="right"/>
              <w:ind w:right="260"/>
              <w:spacing w:after="0"/>
              <w:rPr>
                <w:sz w:val="20"/>
                <w:szCs w:val="20"/>
                <w:color w:val="auto"/>
              </w:rPr>
            </w:pPr>
            <w:r>
              <w:rPr>
                <w:rFonts w:ascii="Arial" w:cs="Arial" w:eastAsia="Arial" w:hAnsi="Arial"/>
                <w:sz w:val="18"/>
                <w:szCs w:val="18"/>
                <w:color w:val="auto"/>
              </w:rPr>
              <w:t>________________</w:t>
            </w:r>
          </w:p>
        </w:tc>
        <w:tc>
          <w:tcPr>
            <w:tcW w:w="50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219" w:lineRule="exact"/>
        <w:rPr>
          <w:sz w:val="20"/>
          <w:szCs w:val="20"/>
          <w:color w:val="auto"/>
        </w:rPr>
      </w:pPr>
    </w:p>
    <w:p>
      <w:pPr>
        <w:ind w:right="460"/>
        <w:spacing w:after="0" w:line="300"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its wholly owned subsidiaries – NTI Facilities, Inc., and Northern Technologies Holding Company, LLC, and its majority owned subsidiary in Brazil, Zerust Prevenção de Corrosão S.A., all of which are consolidated on NTIC’s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410210</wp:posOffset>
            </wp:positionV>
            <wp:extent cx="7254240"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80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4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02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2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MAY 31, 2011 (UNAUDITED)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2010 (AUDITED)</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ASSETS</w:t>
            </w:r>
          </w:p>
        </w:tc>
        <w:tc>
          <w:tcPr>
            <w:tcW w:w="7340" w:type="dxa"/>
            <w:vAlign w:val="bottom"/>
          </w:tcPr>
          <w:p>
            <w:pPr>
              <w:spacing w:after="0"/>
              <w:rPr>
                <w:sz w:val="24"/>
                <w:szCs w:val="24"/>
                <w:color w:val="auto"/>
              </w:rPr>
            </w:pPr>
          </w:p>
        </w:tc>
        <w:tc>
          <w:tcPr>
            <w:tcW w:w="2000" w:type="dxa"/>
            <w:vAlign w:val="bottom"/>
            <w:gridSpan w:val="3"/>
          </w:tcPr>
          <w:p>
            <w:pPr>
              <w:ind w:left="920"/>
              <w:spacing w:after="0"/>
              <w:rPr>
                <w:sz w:val="20"/>
                <w:szCs w:val="20"/>
                <w:color w:val="auto"/>
              </w:rPr>
            </w:pPr>
            <w:r>
              <w:rPr>
                <w:rFonts w:ascii="Arial" w:cs="Arial" w:eastAsia="Arial" w:hAnsi="Arial"/>
                <w:sz w:val="18"/>
                <w:szCs w:val="18"/>
                <w:b w:val="1"/>
                <w:bCs w:val="1"/>
                <w:color w:val="auto"/>
                <w:w w:val="96"/>
              </w:rPr>
              <w:t>May 31, 2011</w:t>
            </w:r>
          </w:p>
        </w:tc>
        <w:tc>
          <w:tcPr>
            <w:tcW w:w="1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1"/>
              </w:rPr>
              <w:t>August 31, 2010</w:t>
            </w:r>
          </w:p>
        </w:tc>
        <w:tc>
          <w:tcPr>
            <w:tcW w:w="0" w:type="dxa"/>
            <w:vAlign w:val="bottom"/>
          </w:tcPr>
          <w:p>
            <w:pPr>
              <w:spacing w:after="0"/>
              <w:rPr>
                <w:sz w:val="1"/>
                <w:szCs w:val="1"/>
                <w:color w:val="auto"/>
              </w:rPr>
            </w:pPr>
          </w:p>
        </w:tc>
      </w:tr>
      <w:tr>
        <w:trPr>
          <w:trHeight w:val="192"/>
        </w:trPr>
        <w:tc>
          <w:tcPr>
            <w:tcW w:w="680" w:type="dxa"/>
            <w:vAlign w:val="bottom"/>
            <w:gridSpan w:val="2"/>
            <w:vMerge w:val="continue"/>
          </w:tcPr>
          <w:p>
            <w:pPr>
              <w:spacing w:after="0"/>
              <w:rPr>
                <w:sz w:val="16"/>
                <w:szCs w:val="16"/>
                <w:color w:val="auto"/>
              </w:rPr>
            </w:pPr>
          </w:p>
        </w:tc>
        <w:tc>
          <w:tcPr>
            <w:tcW w:w="7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gridSpan w:val="2"/>
          </w:tcPr>
          <w:p>
            <w:pPr>
              <w:ind w:left="120"/>
              <w:spacing w:after="0"/>
              <w:rPr>
                <w:sz w:val="20"/>
                <w:szCs w:val="20"/>
                <w:color w:val="auto"/>
              </w:rPr>
            </w:pPr>
            <w:r>
              <w:rPr>
                <w:rFonts w:ascii="Arial" w:cs="Arial" w:eastAsia="Arial" w:hAnsi="Arial"/>
                <w:sz w:val="18"/>
                <w:szCs w:val="18"/>
                <w:color w:val="auto"/>
              </w:rPr>
              <w:t>CURRENT ASSETS: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2,676,921</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1,776,162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Receivables: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Trade excluding joint ventures, less allowance for doubtful accounts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ind w:left="520"/>
              <w:spacing w:after="0"/>
              <w:rPr>
                <w:sz w:val="20"/>
                <w:szCs w:val="20"/>
                <w:color w:val="auto"/>
              </w:rPr>
            </w:pPr>
            <w:r>
              <w:rPr>
                <w:rFonts w:ascii="Arial" w:cs="Arial" w:eastAsia="Arial" w:hAnsi="Arial"/>
                <w:sz w:val="18"/>
                <w:szCs w:val="18"/>
                <w:color w:val="auto"/>
              </w:rPr>
              <w:t>of $20,000 at May 31, 2011 and August 31, 2010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2,329,635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2,227,769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Trade joint ventures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989,812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1,216,081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ind w:left="380"/>
              <w:spacing w:after="0"/>
              <w:rPr>
                <w:sz w:val="20"/>
                <w:szCs w:val="20"/>
                <w:color w:val="auto"/>
              </w:rPr>
            </w:pPr>
            <w:r>
              <w:rPr>
                <w:rFonts w:ascii="Arial" w:cs="Arial" w:eastAsia="Arial" w:hAnsi="Arial"/>
                <w:sz w:val="18"/>
                <w:szCs w:val="18"/>
                <w:color w:val="auto"/>
              </w:rPr>
              <w:t>Fees for services provided to joint ventures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1,967,621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1,300,814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4,403,003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3,639,169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Prepaid expenses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263,860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143,980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448,600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448,600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340" w:type="dxa"/>
            <w:vAlign w:val="bottom"/>
          </w:tcPr>
          <w:p>
            <w:pPr>
              <w:ind w:left="20"/>
              <w:spacing w:after="0" w:line="204" w:lineRule="exact"/>
              <w:rPr>
                <w:sz w:val="20"/>
                <w:szCs w:val="20"/>
                <w:color w:val="auto"/>
              </w:rPr>
            </w:pPr>
            <w:r>
              <w:rPr>
                <w:rFonts w:ascii="Arial" w:cs="Arial" w:eastAsia="Arial" w:hAnsi="Arial"/>
                <w:sz w:val="18"/>
                <w:szCs w:val="18"/>
                <w:color w:val="auto"/>
              </w:rPr>
              <w:t>Total current assets</w:t>
            </w:r>
          </w:p>
        </w:tc>
        <w:tc>
          <w:tcPr>
            <w:tcW w:w="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w w:val="90"/>
              </w:rPr>
              <w:t>13,079,452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rPr>
              <w:t>10,752,575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0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net</w:t>
            </w: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3,592,492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3,452,530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0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ind w:left="12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Investments in joint ventures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19,595,596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16,055,943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1,505,300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1,505,300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Patents and trademarks, net</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898,610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912,718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w w:val="93"/>
              </w:rPr>
              <w:t>Other</w:t>
            </w:r>
          </w:p>
        </w:tc>
        <w:tc>
          <w:tcPr>
            <w:tcW w:w="7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31,233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340" w:type="dxa"/>
            <w:vAlign w:val="bottom"/>
            <w:tcBorders>
              <w:bottom w:val="single" w:sz="8" w:color="CCEEFF"/>
            </w:tcBorders>
            <w:shd w:val="clear" w:color="auto" w:fill="CCEEFF"/>
          </w:tcPr>
          <w:p>
            <w:pPr>
              <w:ind w:left="80"/>
              <w:spacing w:after="0" w:line="204" w:lineRule="exact"/>
              <w:rPr>
                <w:sz w:val="20"/>
                <w:szCs w:val="20"/>
                <w:color w:val="auto"/>
              </w:rPr>
            </w:pPr>
            <w:r>
              <w:rPr>
                <w:rFonts w:ascii="Arial" w:cs="Arial" w:eastAsia="Arial" w:hAnsi="Arial"/>
                <w:sz w:val="18"/>
                <w:szCs w:val="18"/>
                <w:color w:val="auto"/>
              </w:rPr>
              <w:t>Total other assets</w:t>
            </w: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0"/>
              </w:rPr>
              <w:t>22,030,739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18,492,195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340" w:type="dxa"/>
            <w:vAlign w:val="bottom"/>
          </w:tcPr>
          <w:p>
            <w:pPr>
              <w:ind w:left="80"/>
              <w:spacing w:after="0" w:line="204" w:lineRule="exact"/>
              <w:rPr>
                <w:sz w:val="20"/>
                <w:szCs w:val="20"/>
                <w:color w:val="auto"/>
              </w:rPr>
            </w:pPr>
            <w:r>
              <w:rPr>
                <w:rFonts w:ascii="Arial" w:cs="Arial" w:eastAsia="Arial" w:hAnsi="Arial"/>
                <w:sz w:val="18"/>
                <w:szCs w:val="18"/>
                <w:color w:val="auto"/>
              </w:rPr>
              <w:t>Total assets</w:t>
            </w:r>
          </w:p>
        </w:tc>
        <w:tc>
          <w:tcPr>
            <w:tcW w:w="1060" w:type="dxa"/>
            <w:vAlign w:val="bottom"/>
            <w:gridSpan w:val="2"/>
          </w:tcPr>
          <w:p>
            <w:pPr>
              <w:ind w:left="920"/>
              <w:spacing w:after="0" w:line="204"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0"/>
              </w:rPr>
              <w:t>38,702,683</w:t>
            </w:r>
          </w:p>
        </w:tc>
        <w:tc>
          <w:tcPr>
            <w:tcW w:w="360" w:type="dxa"/>
            <w:vAlign w:val="bottom"/>
            <w:gridSpan w:val="2"/>
          </w:tcPr>
          <w:p>
            <w:pPr>
              <w:ind w:left="120"/>
              <w:spacing w:after="0" w:line="204"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line="204" w:lineRule="exact"/>
              <w:rPr>
                <w:sz w:val="20"/>
                <w:szCs w:val="20"/>
                <w:color w:val="auto"/>
              </w:rPr>
            </w:pPr>
            <w:r>
              <w:rPr>
                <w:rFonts w:ascii="Arial" w:cs="Arial" w:eastAsia="Arial" w:hAnsi="Arial"/>
                <w:sz w:val="18"/>
                <w:szCs w:val="18"/>
                <w:color w:val="auto"/>
              </w:rPr>
              <w:t>32,697,300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8000" w:type="dxa"/>
            <w:vAlign w:val="bottom"/>
            <w:gridSpan w:val="2"/>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Current portion of note payable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14,829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1,144,922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1,628,735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1,721,237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Income tax payable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376,814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174,502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ind w:left="380"/>
              <w:spacing w:after="0"/>
              <w:rPr>
                <w:sz w:val="20"/>
                <w:szCs w:val="20"/>
                <w:color w:val="auto"/>
              </w:rPr>
            </w:pPr>
            <w:r>
              <w:rPr>
                <w:rFonts w:ascii="Arial" w:cs="Arial" w:eastAsia="Arial" w:hAnsi="Arial"/>
                <w:sz w:val="18"/>
                <w:szCs w:val="18"/>
                <w:color w:val="auto"/>
              </w:rPr>
              <w:t>Payroll and related benefits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1,605,137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1,155,277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joint venture royalties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260,720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349,714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340" w:type="dxa"/>
            <w:vAlign w:val="bottom"/>
            <w:shd w:val="clear" w:color="auto" w:fill="CCEEFF"/>
          </w:tcPr>
          <w:p>
            <w:pPr>
              <w:ind w:left="180"/>
              <w:spacing w:after="0" w:line="204" w:lineRule="exact"/>
              <w:rPr>
                <w:sz w:val="20"/>
                <w:szCs w:val="20"/>
                <w:color w:val="auto"/>
              </w:rPr>
            </w:pPr>
            <w:r>
              <w:rPr>
                <w:rFonts w:ascii="Arial" w:cs="Arial" w:eastAsia="Arial" w:hAnsi="Arial"/>
                <w:sz w:val="18"/>
                <w:szCs w:val="18"/>
                <w:color w:val="auto"/>
              </w:rPr>
              <w:t>Total current liabilities</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4,174,235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4,833,652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NOTE PAYABLE, NET OF CURRENT PORTION (Note 7)</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1,089,853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COMMITMENTS AND CONTINGENCIES (Note 14)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STOCKHOLDERS’ EQUITY:</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0" w:type="dxa"/>
            <w:vAlign w:val="bottom"/>
            <w:gridSpan w:val="2"/>
          </w:tcPr>
          <w:p>
            <w:pPr>
              <w:ind w:left="220"/>
              <w:spacing w:after="0" w:line="199" w:lineRule="exact"/>
              <w:rPr>
                <w:sz w:val="20"/>
                <w:szCs w:val="20"/>
                <w:color w:val="auto"/>
              </w:rPr>
            </w:pPr>
            <w:r>
              <w:rPr>
                <w:rFonts w:ascii="Arial" w:cs="Arial" w:eastAsia="Arial" w:hAnsi="Arial"/>
                <w:sz w:val="18"/>
                <w:szCs w:val="18"/>
                <w:color w:val="auto"/>
              </w:rPr>
              <w:t>Preferred stock, no par value; authorized 10,000 shares; none issued and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gridSpan w:val="2"/>
          </w:tcPr>
          <w:p>
            <w:pPr>
              <w:ind w:left="380"/>
              <w:spacing w:after="0"/>
              <w:rPr>
                <w:sz w:val="20"/>
                <w:szCs w:val="20"/>
                <w:color w:val="auto"/>
              </w:rPr>
            </w:pPr>
            <w:r>
              <w:rPr>
                <w:rFonts w:ascii="Arial" w:cs="Arial" w:eastAsia="Arial" w:hAnsi="Arial"/>
                <w:sz w:val="18"/>
                <w:szCs w:val="18"/>
                <w:color w:val="auto"/>
              </w:rPr>
              <w:t>outstanding</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Common stock, $0.02 par value per share; authorized 10,000,000</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ind w:left="380"/>
              <w:spacing w:after="0"/>
              <w:rPr>
                <w:sz w:val="20"/>
                <w:szCs w:val="20"/>
                <w:color w:val="auto"/>
              </w:rPr>
            </w:pPr>
            <w:r>
              <w:rPr>
                <w:rFonts w:ascii="Arial" w:cs="Arial" w:eastAsia="Arial" w:hAnsi="Arial"/>
                <w:sz w:val="18"/>
                <w:szCs w:val="18"/>
                <w:color w:val="auto"/>
              </w:rPr>
              <w:t>shares; issued and outstanding 4,345,758 and 4,259,321, respectively</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86,915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85,186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10,052,122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9,140,936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w w:val="90"/>
              </w:rPr>
              <w:t>20,784,087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17,911,718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2,439,612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704,473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340" w:type="dxa"/>
            <w:vAlign w:val="bottom"/>
          </w:tcPr>
          <w:p>
            <w:pPr>
              <w:ind w:left="40"/>
              <w:spacing w:after="0" w:line="204" w:lineRule="exact"/>
              <w:rPr>
                <w:sz w:val="20"/>
                <w:szCs w:val="20"/>
                <w:color w:val="auto"/>
              </w:rPr>
            </w:pPr>
            <w:r>
              <w:rPr>
                <w:rFonts w:ascii="Arial" w:cs="Arial" w:eastAsia="Arial" w:hAnsi="Arial"/>
                <w:sz w:val="18"/>
                <w:szCs w:val="18"/>
                <w:color w:val="auto"/>
              </w:rPr>
              <w:t>Total stockholders’ equity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0"/>
              </w:rPr>
              <w:t>33,362,736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12"/>
              <w:spacing w:after="0" w:line="204" w:lineRule="exact"/>
              <w:rPr>
                <w:sz w:val="20"/>
                <w:szCs w:val="20"/>
                <w:color w:val="auto"/>
              </w:rPr>
            </w:pPr>
            <w:r>
              <w:rPr>
                <w:rFonts w:ascii="Arial" w:cs="Arial" w:eastAsia="Arial" w:hAnsi="Arial"/>
                <w:sz w:val="18"/>
                <w:szCs w:val="18"/>
                <w:color w:val="auto"/>
              </w:rPr>
              <w:t>27,842,313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75,859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21,335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340" w:type="dxa"/>
            <w:vAlign w:val="bottom"/>
          </w:tcPr>
          <w:p>
            <w:pPr>
              <w:ind w:left="40"/>
              <w:spacing w:after="0" w:line="204" w:lineRule="exact"/>
              <w:rPr>
                <w:sz w:val="20"/>
                <w:szCs w:val="20"/>
                <w:color w:val="auto"/>
              </w:rPr>
            </w:pPr>
            <w:r>
              <w:rPr>
                <w:rFonts w:ascii="Arial" w:cs="Arial" w:eastAsia="Arial" w:hAnsi="Arial"/>
                <w:sz w:val="18"/>
                <w:szCs w:val="18"/>
                <w:color w:val="auto"/>
              </w:rPr>
              <w:t>Total equity</w:t>
            </w:r>
          </w:p>
        </w:tc>
        <w:tc>
          <w:tcPr>
            <w:tcW w:w="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w w:val="90"/>
              </w:rPr>
              <w:t>33,483,595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color w:val="auto"/>
              </w:rPr>
              <w:t>27,863,648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340" w:type="dxa"/>
            <w:vAlign w:val="bottom"/>
            <w:shd w:val="clear" w:color="auto" w:fill="CCEEFF"/>
          </w:tcPr>
          <w:p>
            <w:pPr>
              <w:ind w:left="40"/>
              <w:spacing w:after="0" w:line="204" w:lineRule="exact"/>
              <w:rPr>
                <w:sz w:val="20"/>
                <w:szCs w:val="20"/>
                <w:color w:val="auto"/>
              </w:rPr>
            </w:pPr>
            <w:r>
              <w:rPr>
                <w:rFonts w:ascii="Arial" w:cs="Arial" w:eastAsia="Arial" w:hAnsi="Arial"/>
                <w:sz w:val="18"/>
                <w:szCs w:val="18"/>
                <w:color w:val="auto"/>
              </w:rPr>
              <w:t>Total liabilities and stockholders’ equity</w:t>
            </w:r>
          </w:p>
        </w:tc>
        <w:tc>
          <w:tcPr>
            <w:tcW w:w="1060" w:type="dxa"/>
            <w:vAlign w:val="bottom"/>
            <w:gridSpan w:val="2"/>
            <w:shd w:val="clear" w:color="auto" w:fill="CCEEFF"/>
          </w:tcPr>
          <w:p>
            <w:pPr>
              <w:ind w:left="9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0"/>
              </w:rPr>
              <w:t>38,702,683</w:t>
            </w:r>
          </w:p>
        </w:tc>
        <w:tc>
          <w:tcPr>
            <w:tcW w:w="360" w:type="dxa"/>
            <w:vAlign w:val="bottom"/>
            <w:gridSpan w:val="2"/>
            <w:shd w:val="clear" w:color="auto" w:fill="CCEEFF"/>
          </w:tcPr>
          <w:p>
            <w:pPr>
              <w:ind w:left="120"/>
              <w:spacing w:after="0" w:line="204"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32,697,300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259080</wp:posOffset>
            </wp:positionV>
            <wp:extent cx="725424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 w:name="page4"/>
    <w:bookmarkEnd w:id="3"/>
    <w:p>
      <w:pPr>
        <w:ind w:right="4320"/>
        <w:spacing w:after="0" w:line="257"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AND NINE MONTHS ENDED MAY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2497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8"/>
                <w:szCs w:val="18"/>
                <w:b w:val="1"/>
                <w:bCs w:val="1"/>
                <w:color w:val="auto"/>
                <w:w w:val="98"/>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May 31, 2011</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w w:val="94"/>
              </w:rPr>
              <w:t>May 31, 2010</w:t>
            </w: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8"/>
              </w:rPr>
              <w:t>May 31, 2011</w:t>
            </w: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4"/>
              </w:rPr>
              <w:t>May 31, 2010</w:t>
            </w:r>
          </w:p>
        </w:tc>
        <w:tc>
          <w:tcPr>
            <w:tcW w:w="0" w:type="dxa"/>
            <w:vAlign w:val="bottom"/>
          </w:tcPr>
          <w:p>
            <w:pPr>
              <w:spacing w:after="0"/>
              <w:rPr>
                <w:sz w:val="1"/>
                <w:szCs w:val="1"/>
                <w:color w:val="auto"/>
              </w:rPr>
            </w:pPr>
          </w:p>
        </w:tc>
      </w:tr>
      <w:tr>
        <w:trPr>
          <w:trHeight w:val="204"/>
        </w:trPr>
        <w:tc>
          <w:tcPr>
            <w:tcW w:w="6440" w:type="dxa"/>
            <w:vAlign w:val="bottom"/>
            <w:gridSpan w:val="2"/>
          </w:tcPr>
          <w:p>
            <w:pPr>
              <w:spacing w:after="0" w:line="203" w:lineRule="exact"/>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sales, excluding joint ventures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4,367,589</w:t>
            </w:r>
          </w:p>
        </w:tc>
        <w:tc>
          <w:tcPr>
            <w:tcW w:w="3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2,559,467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11,906,999</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7,164,784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ind w:left="300"/>
              <w:spacing w:after="0"/>
              <w:rPr>
                <w:sz w:val="20"/>
                <w:szCs w:val="20"/>
                <w:color w:val="auto"/>
              </w:rPr>
            </w:pPr>
            <w:r>
              <w:rPr>
                <w:rFonts w:ascii="Arial" w:cs="Arial" w:eastAsia="Arial" w:hAnsi="Arial"/>
                <w:sz w:val="18"/>
                <w:szCs w:val="18"/>
                <w:color w:val="auto"/>
              </w:rPr>
              <w:t>Net sales, to joint ventures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733,189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677,731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2,070,338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1,660,294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20" w:type="dxa"/>
            <w:vAlign w:val="bottom"/>
            <w:shd w:val="clear" w:color="auto" w:fill="CCEEFF"/>
          </w:tcPr>
          <w:p>
            <w:pPr>
              <w:ind w:left="560"/>
              <w:spacing w:after="0" w:line="204" w:lineRule="exact"/>
              <w:rPr>
                <w:sz w:val="20"/>
                <w:szCs w:val="20"/>
                <w:color w:val="auto"/>
              </w:rPr>
            </w:pPr>
            <w:r>
              <w:rPr>
                <w:rFonts w:ascii="Arial" w:cs="Arial" w:eastAsia="Arial" w:hAnsi="Arial"/>
                <w:sz w:val="18"/>
                <w:szCs w:val="18"/>
                <w:color w:val="auto"/>
              </w:rPr>
              <w:t>Total net sales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5,100,778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3,237,198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3"/>
              </w:rPr>
              <w:t>13,977,337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8,825,078</w:t>
            </w:r>
          </w:p>
        </w:tc>
        <w:tc>
          <w:tcPr>
            <w:tcW w:w="0" w:type="dxa"/>
            <w:vAlign w:val="bottom"/>
          </w:tcPr>
          <w:p>
            <w:pPr>
              <w:spacing w:after="0"/>
              <w:rPr>
                <w:sz w:val="1"/>
                <w:szCs w:val="1"/>
                <w:color w:val="auto"/>
              </w:rPr>
            </w:pPr>
          </w:p>
        </w:tc>
      </w:tr>
      <w:tr>
        <w:trPr>
          <w:trHeight w:val="211"/>
        </w:trPr>
        <w:tc>
          <w:tcPr>
            <w:tcW w:w="6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3,458,851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2,172,902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9,155,788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5,771,045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20" w:type="dxa"/>
            <w:vAlign w:val="bottom"/>
          </w:tcPr>
          <w:p>
            <w:pPr>
              <w:ind w:left="200"/>
              <w:spacing w:after="0" w:line="204" w:lineRule="exact"/>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1,641,927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2"/>
              <w:spacing w:after="0" w:line="204" w:lineRule="exact"/>
              <w:rPr>
                <w:sz w:val="20"/>
                <w:szCs w:val="20"/>
                <w:color w:val="auto"/>
              </w:rPr>
            </w:pPr>
            <w:r>
              <w:rPr>
                <w:rFonts w:ascii="Arial" w:cs="Arial" w:eastAsia="Arial" w:hAnsi="Arial"/>
                <w:sz w:val="18"/>
                <w:szCs w:val="18"/>
                <w:color w:val="auto"/>
              </w:rPr>
              <w:t>1,064,296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2"/>
              <w:spacing w:after="0" w:line="204" w:lineRule="exact"/>
              <w:rPr>
                <w:sz w:val="20"/>
                <w:szCs w:val="20"/>
                <w:color w:val="auto"/>
              </w:rPr>
            </w:pPr>
            <w:r>
              <w:rPr>
                <w:rFonts w:ascii="Arial" w:cs="Arial" w:eastAsia="Arial" w:hAnsi="Arial"/>
                <w:sz w:val="18"/>
                <w:szCs w:val="18"/>
                <w:color w:val="auto"/>
              </w:rPr>
              <w:t>4,821,549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2"/>
              <w:spacing w:after="0" w:line="204" w:lineRule="exact"/>
              <w:rPr>
                <w:sz w:val="20"/>
                <w:szCs w:val="20"/>
                <w:color w:val="auto"/>
              </w:rPr>
            </w:pPr>
            <w:r>
              <w:rPr>
                <w:rFonts w:ascii="Arial" w:cs="Arial" w:eastAsia="Arial" w:hAnsi="Arial"/>
                <w:sz w:val="18"/>
                <w:szCs w:val="18"/>
                <w:color w:val="auto"/>
              </w:rPr>
              <w:t>3,054,033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in income of joint ventures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1,724,477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1,511,534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4,549,267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2,909,120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Fees for services provided to joint ventures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1,623,585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1,140,295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4,477,514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3,441,563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20" w:type="dxa"/>
            <w:vAlign w:val="bottom"/>
            <w:shd w:val="clear" w:color="auto" w:fill="CCEEFF"/>
          </w:tcPr>
          <w:p>
            <w:pPr>
              <w:ind w:left="540"/>
              <w:spacing w:after="0" w:line="204" w:lineRule="exact"/>
              <w:rPr>
                <w:sz w:val="20"/>
                <w:szCs w:val="20"/>
                <w:color w:val="auto"/>
              </w:rPr>
            </w:pPr>
            <w:r>
              <w:rPr>
                <w:rFonts w:ascii="Arial" w:cs="Arial" w:eastAsia="Arial" w:hAnsi="Arial"/>
                <w:sz w:val="18"/>
                <w:szCs w:val="18"/>
                <w:color w:val="auto"/>
              </w:rPr>
              <w:t>Total joint venture operations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3,348,062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2,651,829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9,026,781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6,350,683</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Selling expenses</w:t>
            </w:r>
          </w:p>
        </w:tc>
        <w:tc>
          <w:tcPr>
            <w:tcW w:w="2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1,167,630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819,572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3,088,237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2,004,094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1,126,823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869,183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3,300,626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2,628,447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8"/>
                <w:szCs w:val="18"/>
                <w:color w:val="auto"/>
              </w:rPr>
              <w:t>Expenses incurred in support of joint ventures</w:t>
            </w:r>
          </w:p>
        </w:tc>
        <w:tc>
          <w:tcPr>
            <w:tcW w:w="2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244,959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208,444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722,955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682,828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1,207,889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960,780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3,308,515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2,526,478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20" w:type="dxa"/>
            <w:vAlign w:val="bottom"/>
          </w:tcPr>
          <w:p>
            <w:pPr>
              <w:ind w:left="560"/>
              <w:spacing w:after="0" w:line="204" w:lineRule="exact"/>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7"/>
                <w:szCs w:val="17"/>
                <w:color w:val="auto"/>
              </w:rPr>
            </w:pPr>
          </w:p>
        </w:tc>
        <w:tc>
          <w:tcPr>
            <w:tcW w:w="90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7"/>
              </w:rPr>
              <w:t>3,747,301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2"/>
              <w:spacing w:after="0" w:line="204" w:lineRule="exact"/>
              <w:rPr>
                <w:sz w:val="20"/>
                <w:szCs w:val="20"/>
                <w:color w:val="auto"/>
              </w:rPr>
            </w:pPr>
            <w:r>
              <w:rPr>
                <w:rFonts w:ascii="Arial" w:cs="Arial" w:eastAsia="Arial" w:hAnsi="Arial"/>
                <w:sz w:val="18"/>
                <w:szCs w:val="18"/>
                <w:color w:val="auto"/>
              </w:rPr>
              <w:t>2,857,979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2"/>
              <w:spacing w:after="0" w:line="204" w:lineRule="exact"/>
              <w:rPr>
                <w:sz w:val="20"/>
                <w:szCs w:val="20"/>
                <w:color w:val="auto"/>
              </w:rPr>
            </w:pPr>
            <w:r>
              <w:rPr>
                <w:rFonts w:ascii="Arial" w:cs="Arial" w:eastAsia="Arial" w:hAnsi="Arial"/>
                <w:sz w:val="18"/>
                <w:szCs w:val="18"/>
                <w:color w:val="auto"/>
                <w:w w:val="93"/>
              </w:rPr>
              <w:t>10,420,333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2"/>
              <w:spacing w:after="0" w:line="204" w:lineRule="exact"/>
              <w:rPr>
                <w:sz w:val="20"/>
                <w:szCs w:val="20"/>
                <w:color w:val="auto"/>
              </w:rPr>
            </w:pPr>
            <w:r>
              <w:rPr>
                <w:rFonts w:ascii="Arial" w:cs="Arial" w:eastAsia="Arial" w:hAnsi="Arial"/>
                <w:sz w:val="18"/>
                <w:szCs w:val="18"/>
                <w:color w:val="auto"/>
              </w:rPr>
              <w:t>7,841,847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1,242,688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858,146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3,427,997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1,562,869</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8,522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13,131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(73,637)</w:t>
            </w:r>
          </w:p>
        </w:tc>
        <w:tc>
          <w:tcPr>
            <w:tcW w:w="0" w:type="dxa"/>
            <w:vAlign w:val="bottom"/>
          </w:tcPr>
          <w:p>
            <w:pPr>
              <w:spacing w:after="0"/>
              <w:rPr>
                <w:sz w:val="1"/>
                <w:szCs w:val="1"/>
                <w:color w:val="auto"/>
              </w:rPr>
            </w:pPr>
          </w:p>
        </w:tc>
      </w:tr>
      <w:tr>
        <w:trPr>
          <w:trHeight w:val="211"/>
        </w:trPr>
        <w:tc>
          <w:tcPr>
            <w:tcW w:w="64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6,825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20,475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20,475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INCOME BEFORE INCOME TAX EXPENSE (BENEFIT)</w:t>
            </w:r>
          </w:p>
        </w:tc>
        <w:tc>
          <w:tcPr>
            <w:tcW w:w="2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1,250,155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841,968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3,408,248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1,515,314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228,000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490,000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1,022,155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951,968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2,918,248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1,734,314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40" w:type="dxa"/>
            <w:vAlign w:val="bottom"/>
            <w:gridSpan w:val="2"/>
          </w:tcPr>
          <w:p>
            <w:pPr>
              <w:spacing w:after="0"/>
              <w:rPr>
                <w:sz w:val="20"/>
                <w:szCs w:val="20"/>
                <w:color w:val="auto"/>
              </w:rPr>
            </w:pPr>
            <w:r>
              <w:rPr>
                <w:rFonts w:ascii="Arial" w:cs="Arial" w:eastAsia="Arial" w:hAnsi="Arial"/>
                <w:sz w:val="18"/>
                <w:szCs w:val="18"/>
                <w:color w:val="auto"/>
              </w:rPr>
              <w:t>NET INCOME ATTRIBUTABLE TO NON CONTROLLING INTEREST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45,879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1,023,549</w:t>
            </w:r>
          </w:p>
        </w:tc>
        <w:tc>
          <w:tcPr>
            <w:tcW w:w="38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951,968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2,872,369</w:t>
            </w: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1,734,314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restart"/>
          </w:tcPr>
          <w:p>
            <w:pPr>
              <w:spacing w:after="0"/>
              <w:rPr>
                <w:sz w:val="16"/>
                <w:szCs w:val="16"/>
                <w:color w:val="auto"/>
              </w:rPr>
            </w:pPr>
          </w:p>
        </w:tc>
        <w:tc>
          <w:tcPr>
            <w:tcW w:w="6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INCOME ATTRIBUTABLE TO NTIC PER COMMON SHARE: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0.24</w:t>
            </w:r>
          </w:p>
        </w:tc>
        <w:tc>
          <w:tcPr>
            <w:tcW w:w="3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0.67</w:t>
            </w:r>
          </w:p>
        </w:tc>
        <w:tc>
          <w:tcPr>
            <w:tcW w:w="3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420" w:type="dxa"/>
            <w:vAlign w:val="bottom"/>
          </w:tcPr>
          <w:p>
            <w:pPr>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190" w:lineRule="exact"/>
              <w:rPr>
                <w:sz w:val="20"/>
                <w:szCs w:val="20"/>
                <w:color w:val="auto"/>
              </w:rPr>
            </w:pPr>
            <w:r>
              <w:rPr>
                <w:rFonts w:ascii="Arial" w:cs="Arial" w:eastAsia="Arial" w:hAnsi="Arial"/>
                <w:sz w:val="18"/>
                <w:szCs w:val="18"/>
                <w:color w:val="auto"/>
              </w:rPr>
              <w:t>0.23</w:t>
            </w:r>
          </w:p>
        </w:tc>
        <w:tc>
          <w:tcPr>
            <w:tcW w:w="380" w:type="dxa"/>
            <w:vAlign w:val="bottom"/>
            <w:gridSpan w:val="2"/>
          </w:tcPr>
          <w:p>
            <w:pPr>
              <w:jc w:val="right"/>
              <w:ind w:right="92"/>
              <w:spacing w:after="0" w:line="190"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line="190" w:lineRule="exact"/>
              <w:rPr>
                <w:sz w:val="20"/>
                <w:szCs w:val="20"/>
                <w:color w:val="auto"/>
              </w:rPr>
            </w:pPr>
            <w:r>
              <w:rPr>
                <w:rFonts w:ascii="Arial" w:cs="Arial" w:eastAsia="Arial" w:hAnsi="Arial"/>
                <w:sz w:val="18"/>
                <w:szCs w:val="18"/>
                <w:color w:val="auto"/>
              </w:rPr>
              <w:t>0.22</w:t>
            </w:r>
          </w:p>
        </w:tc>
        <w:tc>
          <w:tcPr>
            <w:tcW w:w="260" w:type="dxa"/>
            <w:vAlign w:val="bottom"/>
            <w:gridSpan w:val="2"/>
          </w:tcPr>
          <w:p>
            <w:pPr>
              <w:ind w:left="120"/>
              <w:spacing w:after="0" w:line="190"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line="190" w:lineRule="exact"/>
              <w:rPr>
                <w:sz w:val="20"/>
                <w:szCs w:val="20"/>
                <w:color w:val="auto"/>
              </w:rPr>
            </w:pPr>
            <w:r>
              <w:rPr>
                <w:rFonts w:ascii="Arial" w:cs="Arial" w:eastAsia="Arial" w:hAnsi="Arial"/>
                <w:sz w:val="18"/>
                <w:szCs w:val="18"/>
                <w:color w:val="auto"/>
              </w:rPr>
              <w:t>0.66</w:t>
            </w:r>
          </w:p>
        </w:tc>
        <w:tc>
          <w:tcPr>
            <w:tcW w:w="340" w:type="dxa"/>
            <w:vAlign w:val="bottom"/>
            <w:gridSpan w:val="2"/>
          </w:tcPr>
          <w:p>
            <w:pPr>
              <w:jc w:val="right"/>
              <w:ind w:right="52"/>
              <w:spacing w:after="0" w:line="190"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line="190"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6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ASSUMED OUTSTANDING: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4,343,601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4,244,086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4,303,892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4,213,465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w w:val="97"/>
              </w:rPr>
              <w:t>4,427,097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rPr>
              <w:t>4,299,855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rPr>
              <w:t>4,378,242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2"/>
              <w:spacing w:after="0" w:line="190" w:lineRule="exact"/>
              <w:rPr>
                <w:sz w:val="20"/>
                <w:szCs w:val="20"/>
                <w:color w:val="auto"/>
              </w:rPr>
            </w:pPr>
            <w:r>
              <w:rPr>
                <w:rFonts w:ascii="Arial" w:cs="Arial" w:eastAsia="Arial" w:hAnsi="Arial"/>
                <w:sz w:val="18"/>
                <w:szCs w:val="18"/>
                <w:color w:val="auto"/>
              </w:rPr>
              <w:t>4,252,735</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4" w:name="page5"/>
    <w:bookmarkEnd w:id="4"/>
    <w:p>
      <w:pPr>
        <w:ind w:right="4320"/>
        <w:spacing w:after="0" w:line="257"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NINE MONTHS ENDED MAY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249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11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8"/>
              </w:rPr>
              <w:t>May 31, 2011</w:t>
            </w:r>
          </w:p>
        </w:tc>
        <w:tc>
          <w:tcPr>
            <w:tcW w:w="1200" w:type="dxa"/>
            <w:vAlign w:val="bottom"/>
            <w:gridSpan w:val="3"/>
          </w:tcPr>
          <w:p>
            <w:pPr>
              <w:ind w:left="100"/>
              <w:spacing w:after="0" w:line="205" w:lineRule="exact"/>
              <w:rPr>
                <w:sz w:val="20"/>
                <w:szCs w:val="20"/>
                <w:color w:val="auto"/>
              </w:rPr>
            </w:pPr>
            <w:r>
              <w:rPr>
                <w:rFonts w:ascii="Arial" w:cs="Arial" w:eastAsia="Arial" w:hAnsi="Arial"/>
                <w:sz w:val="18"/>
                <w:szCs w:val="18"/>
                <w:b w:val="1"/>
                <w:bCs w:val="1"/>
                <w:color w:val="auto"/>
                <w:w w:val="98"/>
              </w:rPr>
              <w:t>May 31, 2010</w:t>
            </w:r>
          </w:p>
        </w:tc>
        <w:tc>
          <w:tcPr>
            <w:tcW w:w="0" w:type="dxa"/>
            <w:vAlign w:val="bottom"/>
          </w:tcPr>
          <w:p>
            <w:pPr>
              <w:spacing w:after="0"/>
              <w:rPr>
                <w:sz w:val="1"/>
                <w:szCs w:val="1"/>
                <w:color w:val="auto"/>
              </w:rPr>
            </w:pPr>
          </w:p>
        </w:tc>
      </w:tr>
      <w:tr>
        <w:trPr>
          <w:trHeight w:val="204"/>
        </w:trPr>
        <w:tc>
          <w:tcPr>
            <w:tcW w:w="9120" w:type="dxa"/>
            <w:vAlign w:val="bottom"/>
            <w:gridSpan w:val="2"/>
          </w:tcPr>
          <w:p>
            <w:pPr>
              <w:spacing w:after="0" w:line="203"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2,918,248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1,734,314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44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Expensing of fair value of stock options vested</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150,109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141,315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Depreciation expense</w:t>
            </w:r>
          </w:p>
        </w:tc>
        <w:tc>
          <w:tcPr>
            <w:tcW w:w="1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250,076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284,041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118,670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116,128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600"/>
              <w:spacing w:after="0"/>
              <w:rPr>
                <w:sz w:val="20"/>
                <w:szCs w:val="20"/>
                <w:color w:val="auto"/>
              </w:rPr>
            </w:pPr>
            <w:r>
              <w:rPr>
                <w:rFonts w:ascii="Arial" w:cs="Arial" w:eastAsia="Arial" w:hAnsi="Arial"/>
                <w:sz w:val="18"/>
                <w:szCs w:val="18"/>
                <w:color w:val="auto"/>
              </w:rPr>
              <w:t>Equity in income from joint ventures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(4,549,267)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(2,909,120)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Gain on sale of property and equipment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440"/>
              <w:spacing w:after="0"/>
              <w:rPr>
                <w:sz w:val="20"/>
                <w:szCs w:val="20"/>
                <w:color w:val="auto"/>
              </w:rPr>
            </w:pPr>
            <w:r>
              <w:rPr>
                <w:rFonts w:ascii="Arial" w:cs="Arial" w:eastAsia="Arial" w:hAnsi="Arial"/>
                <w:sz w:val="18"/>
                <w:szCs w:val="18"/>
                <w:color w:val="auto"/>
              </w:rPr>
              <w:t>Changes in current assets and liabilities: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920"/>
              <w:spacing w:after="0"/>
              <w:rPr>
                <w:sz w:val="20"/>
                <w:szCs w:val="20"/>
                <w:color w:val="auto"/>
              </w:rPr>
            </w:pPr>
            <w:r>
              <w:rPr>
                <w:rFonts w:ascii="Arial" w:cs="Arial" w:eastAsia="Arial" w:hAnsi="Arial"/>
                <w:sz w:val="18"/>
                <w:szCs w:val="18"/>
                <w:color w:val="auto"/>
              </w:rPr>
              <w:t>Trade, excluding joint ventures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(358,134)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Trade, joint ventures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226,269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(569,824)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920"/>
              <w:spacing w:after="0"/>
              <w:rPr>
                <w:sz w:val="20"/>
                <w:szCs w:val="20"/>
                <w:color w:val="auto"/>
              </w:rPr>
            </w:pPr>
            <w:r>
              <w:rPr>
                <w:rFonts w:ascii="Arial" w:cs="Arial" w:eastAsia="Arial" w:hAnsi="Arial"/>
                <w:sz w:val="18"/>
                <w:szCs w:val="18"/>
                <w:color w:val="auto"/>
              </w:rPr>
              <w:t>Fees for services receivables, joint ventures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(666,807)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448,663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(228,954)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7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(763,834)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(952,422)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(92,502)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459,589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202,312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76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680,515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626,784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100" w:type="dxa"/>
            <w:vAlign w:val="bottom"/>
            <w:shd w:val="clear" w:color="auto" w:fill="CCEEFF"/>
          </w:tcPr>
          <w:p>
            <w:pPr>
              <w:ind w:left="920"/>
              <w:spacing w:after="0" w:line="204"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(1,813,381)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95"/>
              </w:rPr>
              <w:t>(1,253,606)</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440"/>
              <w:spacing w:after="0"/>
              <w:rPr>
                <w:sz w:val="20"/>
                <w:szCs w:val="20"/>
                <w:color w:val="auto"/>
              </w:rPr>
            </w:pPr>
            <w:r>
              <w:rPr>
                <w:rFonts w:ascii="Arial" w:cs="Arial" w:eastAsia="Arial" w:hAnsi="Arial"/>
                <w:sz w:val="18"/>
                <w:szCs w:val="18"/>
                <w:color w:val="auto"/>
              </w:rPr>
              <w:t>Investment in joint ventures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received from joint ventures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2,767,977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441,548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440"/>
              <w:spacing w:after="0"/>
              <w:rPr>
                <w:sz w:val="20"/>
                <w:szCs w:val="20"/>
                <w:color w:val="auto"/>
              </w:rPr>
            </w:pPr>
            <w:r>
              <w:rPr>
                <w:rFonts w:ascii="Arial" w:cs="Arial" w:eastAsia="Arial" w:hAnsi="Arial"/>
                <w:sz w:val="18"/>
                <w:szCs w:val="18"/>
                <w:color w:val="auto"/>
              </w:rPr>
              <w:t>Additions to property and equipment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(437,613)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(225,922)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440"/>
              <w:spacing w:after="0"/>
              <w:rPr>
                <w:sz w:val="20"/>
                <w:szCs w:val="20"/>
                <w:color w:val="auto"/>
              </w:rPr>
            </w:pPr>
            <w:r>
              <w:rPr>
                <w:rFonts w:ascii="Arial" w:cs="Arial" w:eastAsia="Arial" w:hAnsi="Arial"/>
                <w:sz w:val="18"/>
                <w:szCs w:val="18"/>
                <w:color w:val="auto"/>
              </w:rPr>
              <w:t>Additions to patents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(104,562)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100" w:type="dxa"/>
            <w:vAlign w:val="bottom"/>
            <w:shd w:val="clear" w:color="auto" w:fill="CCEEFF"/>
          </w:tcPr>
          <w:p>
            <w:pPr>
              <w:ind w:left="920"/>
              <w:spacing w:after="0" w:line="204" w:lineRule="exact"/>
              <w:rPr>
                <w:sz w:val="20"/>
                <w:szCs w:val="20"/>
                <w:color w:val="auto"/>
              </w:rPr>
            </w:pPr>
            <w:r>
              <w:rPr>
                <w:rFonts w:ascii="Arial" w:cs="Arial" w:eastAsia="Arial" w:hAnsi="Arial"/>
                <w:sz w:val="18"/>
                <w:szCs w:val="18"/>
                <w:color w:val="auto"/>
              </w:rPr>
              <w:t>Net cash provided by investing activities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2,287,585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25,059</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440"/>
              <w:spacing w:after="0"/>
              <w:rPr>
                <w:sz w:val="20"/>
                <w:szCs w:val="20"/>
                <w:color w:val="auto"/>
              </w:rPr>
            </w:pPr>
            <w:r>
              <w:rPr>
                <w:rFonts w:ascii="Arial" w:cs="Arial" w:eastAsia="Arial" w:hAnsi="Arial"/>
                <w:sz w:val="18"/>
                <w:szCs w:val="18"/>
                <w:color w:val="auto"/>
              </w:rPr>
              <w:t>Repayment of note payable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repayments made on line of credit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(1,077,000)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44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3,195,613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employee stock purchase plan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36,726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36,925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Pr>
          <w:p>
            <w:pPr>
              <w:ind w:left="44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406,431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63,765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100" w:type="dxa"/>
            <w:vAlign w:val="bottom"/>
            <w:tcBorders>
              <w:bottom w:val="single" w:sz="8" w:color="CCEEFF"/>
            </w:tcBorders>
            <w:shd w:val="clear" w:color="auto" w:fill="CCEEFF"/>
          </w:tcPr>
          <w:p>
            <w:pPr>
              <w:ind w:left="920"/>
              <w:spacing w:after="0" w:line="204" w:lineRule="exact"/>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402,917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2,193,283</w:t>
            </w:r>
          </w:p>
        </w:tc>
        <w:tc>
          <w:tcPr>
            <w:tcW w:w="0" w:type="dxa"/>
            <w:vAlign w:val="bottom"/>
          </w:tcPr>
          <w:p>
            <w:pPr>
              <w:spacing w:after="0"/>
              <w:rPr>
                <w:sz w:val="1"/>
                <w:szCs w:val="1"/>
                <w:color w:val="auto"/>
              </w:rPr>
            </w:pPr>
          </w:p>
        </w:tc>
      </w:tr>
      <w:tr>
        <w:trPr>
          <w:trHeight w:val="204"/>
        </w:trPr>
        <w:tc>
          <w:tcPr>
            <w:tcW w:w="91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23,638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91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900,759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964,735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1,776,162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138,885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9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9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2,676,921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1,103,620</w:t>
            </w:r>
          </w:p>
        </w:tc>
        <w:tc>
          <w:tcPr>
            <w:tcW w:w="0" w:type="dxa"/>
            <w:vAlign w:val="bottom"/>
          </w:tcPr>
          <w:p>
            <w:pPr>
              <w:spacing w:after="0"/>
              <w:rPr>
                <w:sz w:val="1"/>
                <w:szCs w:val="1"/>
                <w:color w:val="auto"/>
              </w:rPr>
            </w:pPr>
          </w:p>
        </w:tc>
      </w:tr>
      <w:tr>
        <w:trPr>
          <w:trHeight w:val="401"/>
        </w:trPr>
        <w:tc>
          <w:tcPr>
            <w:tcW w:w="912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9120" w:type="dxa"/>
            <w:vAlign w:val="bottom"/>
            <w:gridSpan w:val="2"/>
          </w:tcPr>
          <w:p>
            <w:pPr>
              <w:jc w:val="right"/>
              <w:ind w:right="3272"/>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808080"/>
            </w:tcBorders>
          </w:tcPr>
          <w:p>
            <w:pPr>
              <w:spacing w:after="0"/>
              <w:rPr>
                <w:sz w:val="12"/>
                <w:szCs w:val="12"/>
                <w:color w:val="auto"/>
              </w:rPr>
            </w:pPr>
          </w:p>
        </w:tc>
        <w:tc>
          <w:tcPr>
            <w:tcW w:w="91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5" w:name="page6"/>
    <w:bookmarkEnd w:id="5"/>
    <w:p>
      <w:pPr>
        <w:ind w:right="4280"/>
        <w:spacing w:after="0" w:line="333" w:lineRule="auto"/>
        <w:rPr>
          <w:sz w:val="20"/>
          <w:szCs w:val="20"/>
          <w:color w:val="auto"/>
        </w:rPr>
      </w:pPr>
      <w:r>
        <w:rPr>
          <w:rFonts w:ascii="Arial" w:cs="Arial" w:eastAsia="Arial" w:hAnsi="Arial"/>
          <w:sz w:val="16"/>
          <w:szCs w:val="16"/>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49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142" w:lineRule="exact"/>
        <w:rPr>
          <w:sz w:val="20"/>
          <w:szCs w:val="20"/>
          <w:color w:val="auto"/>
        </w:rPr>
      </w:pPr>
    </w:p>
    <w:p>
      <w:pPr>
        <w:ind w:left="620" w:hanging="615"/>
        <w:spacing w:after="0"/>
        <w:tabs>
          <w:tab w:leader="none" w:pos="6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4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2011 and the results of their operations for the three and nine months ended May 31, 2011 and May 31, 2010 and their cash flows for the nine months ended May 31, 2011 and May 31, 2010, in conformity with accounting principles generally accepted in the United States of America (“U.S. GAAP”).</w:t>
      </w:r>
    </w:p>
    <w:p>
      <w:pPr>
        <w:spacing w:after="0" w:line="18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Certain amounts reported in the consolidated financial statements for the previous reporting periods have been reclassified to conform to the current period presentation. These reclassifications did not have a material impact on the Company’s previously reported consolidated balance sheets or statements of cash flows. The Company has reclassified various line items in the consolidated statements of operations to better provide the results of its joint ventures, as well as its North American operations. These reclassifications changed the Company’s operating income, but did not impact its net income or net income per common share.</w:t>
      </w:r>
    </w:p>
    <w:p>
      <w:pPr>
        <w:spacing w:after="0" w:line="218" w:lineRule="exact"/>
        <w:rPr>
          <w:sz w:val="20"/>
          <w:szCs w:val="20"/>
          <w:color w:val="auto"/>
        </w:rPr>
      </w:pPr>
    </w:p>
    <w:p>
      <w:pPr>
        <w:ind w:right="220"/>
        <w:spacing w:after="0" w:line="300"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2010. These consolidated financial statements also should be read in conjunction with the “Management’s Discussion and Analysis of Financial Condition and Results of Operations” section appearing in this report.</w:t>
      </w:r>
    </w:p>
    <w:p>
      <w:pPr>
        <w:spacing w:after="0" w:line="180"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Operating results for the three and nine months ended May 31, 2011 are not necessarily indicative of the results that may be expected for the full fiscal year ending August 31, 2011.</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Company evaluates events occurring after the date of the consolidated financial statements requiring recording or disclosure in the financial statements.</w:t>
      </w:r>
    </w:p>
    <w:p>
      <w:pPr>
        <w:spacing w:after="0" w:line="258" w:lineRule="exact"/>
        <w:rPr>
          <w:sz w:val="20"/>
          <w:szCs w:val="20"/>
          <w:color w:val="auto"/>
        </w:rPr>
      </w:pPr>
    </w:p>
    <w:p>
      <w:pPr>
        <w:ind w:left="620" w:hanging="615"/>
        <w:spacing w:after="0"/>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OF ZERUST BRAZIL</w:t>
      </w:r>
    </w:p>
    <w:p>
      <w:pPr>
        <w:spacing w:after="0" w:line="24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Beginning in the fourth quarter of fiscal 2010, the Company consolidated the results of Zerust Prevenção de Corrosão S.A., the Company’s subsidiary in Brazil (“Zerust Brazil”). The Company holds 85% of the equity and 85% of the voting rights of Zerust Brazil. Prior to the fourth quarter of fiscal 2010 and as of May 31, 2010, the Company accounted for its Zerust Brazil investment under the equity method. The Company owned only 50%, which it considered to be less than a majority, of the equity and voting rights of Zerust Brazil prior to September 2006. The Company acquired an additional 35% ownership interest in Zerust Brazil in September 2006 and held 85% of the equity and voting rights thereafter. Prior to the fourth quarter of fiscal 2010, the Company held the additional 35% ownership interest in Zerust Brazil with the intent of finding an acquiring party, believing its majority control of Zerust Brazil would be temporary and determined not to consolidate Zerust Brazil because the impact on the Company’s consolidated financial statements was immaterial. During the fourth quarter of fiscal 2010, the Company stopped pursuing a buyer of the 35% ownership interest and decided to consolidate the financial results of Zerust Brazil as of and for the fiscal year ended August 31, 2010. The Company believes that the impact of not consolidating Zerust Brazil on the Company’s consolidated financial statements for periods prior to the fourth quarter of fiscal 2010 was immaterial to the Company’s consolidated financial statements.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380"/>
          </w:cols>
          <w:pgMar w:left="240" w:top="266" w:right="279" w:bottom="1440" w:gutter="0" w:footer="0" w:header="0"/>
        </w:sectPr>
      </w:pPr>
    </w:p>
    <w:bookmarkStart w:id="6" w:name="page7"/>
    <w:bookmarkEnd w:id="6"/>
    <w:p>
      <w:pPr>
        <w:ind w:right="240"/>
        <w:spacing w:after="0" w:line="363" w:lineRule="auto"/>
        <w:rPr>
          <w:sz w:val="20"/>
          <w:szCs w:val="20"/>
          <w:color w:val="auto"/>
        </w:rPr>
      </w:pPr>
      <w:r>
        <w:rPr>
          <w:rFonts w:ascii="Arial" w:cs="Arial" w:eastAsia="Arial" w:hAnsi="Arial"/>
          <w:sz w:val="15"/>
          <w:szCs w:val="15"/>
          <w:color w:val="auto"/>
        </w:rPr>
        <w:t>The following is a summary of certain line items of the Company’s consolidated statements of operations for the three months ended May 31, 2010 as reported and on a pro forma basis, assuming the consolidation of Zerust Brazil on the Company’s consolidated financial statements as of the beginning of such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w w:val="94"/>
              </w:rPr>
              <w:t>Zerust</w:t>
            </w: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Eliminated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6880" w:type="dxa"/>
            <w:vAlign w:val="bottom"/>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As Reported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Brazil</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Consolidation</w:t>
            </w:r>
          </w:p>
        </w:tc>
        <w:tc>
          <w:tcPr>
            <w:tcW w:w="10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3"/>
              </w:rPr>
              <w:t>Pro Forma</w:t>
            </w:r>
          </w:p>
        </w:tc>
      </w:tr>
      <w:tr>
        <w:trPr>
          <w:trHeight w:val="204"/>
        </w:trPr>
        <w:tc>
          <w:tcPr>
            <w:tcW w:w="68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4"/>
              </w:rPr>
              <w:t>3,237,198</w:t>
            </w:r>
          </w:p>
        </w:tc>
        <w:tc>
          <w:tcPr>
            <w:tcW w:w="26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706,888</w:t>
            </w:r>
          </w:p>
        </w:tc>
        <w:tc>
          <w:tcPr>
            <w:tcW w:w="42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(52,092)</w:t>
            </w: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2"/>
              </w:rPr>
              <w:t>3,891,994</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2,172,902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364,225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2,485,035</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1,064,296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342,663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1,406,959</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2,651,829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2,563,671</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2,857,979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230,198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3,088,177</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858,146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112,465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882,453</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841,968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103,716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857,526</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951,968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103,716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967,526</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15,557</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Net income attributable to controlling interest</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951,968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88,158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951,968</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diluted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r>
    </w:tbl>
    <w:p>
      <w:pPr>
        <w:spacing w:after="0" w:line="225" w:lineRule="exact"/>
        <w:rPr>
          <w:sz w:val="20"/>
          <w:szCs w:val="20"/>
          <w:color w:val="auto"/>
        </w:rPr>
      </w:pPr>
    </w:p>
    <w:p>
      <w:pPr>
        <w:jc w:val="both"/>
        <w:ind w:right="280"/>
        <w:spacing w:after="0" w:line="363" w:lineRule="auto"/>
        <w:rPr>
          <w:sz w:val="20"/>
          <w:szCs w:val="20"/>
          <w:color w:val="auto"/>
        </w:rPr>
      </w:pPr>
      <w:r>
        <w:rPr>
          <w:rFonts w:ascii="Arial" w:cs="Arial" w:eastAsia="Arial" w:hAnsi="Arial"/>
          <w:sz w:val="15"/>
          <w:szCs w:val="15"/>
          <w:color w:val="auto"/>
        </w:rPr>
        <w:t>The following is a summary of certain line items of the Company’s consolidated statements of operations for the nine months ended May 31, 2010 as reported and on a pro forma basis, assuming the consolidation of Zerust Brazil on the Company’s consolidated financial statements as of the beginning of such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Zerust</w:t>
            </w:r>
          </w:p>
        </w:tc>
        <w:tc>
          <w:tcPr>
            <w:tcW w:w="120" w:type="dxa"/>
            <w:vAlign w:val="bottom"/>
          </w:tcPr>
          <w:p>
            <w:pPr>
              <w:spacing w:after="0"/>
              <w:rPr>
                <w:sz w:val="18"/>
                <w:szCs w:val="18"/>
                <w:color w:val="auto"/>
              </w:rPr>
            </w:pPr>
          </w:p>
        </w:tc>
        <w:tc>
          <w:tcPr>
            <w:tcW w:w="116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Eliminated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3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w w:val="87"/>
              </w:rPr>
              <w:t>As Reported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Brazil</w:t>
            </w:r>
          </w:p>
        </w:tc>
        <w:tc>
          <w:tcPr>
            <w:tcW w:w="120" w:type="dxa"/>
            <w:vAlign w:val="bottom"/>
          </w:tcPr>
          <w:p>
            <w:pPr>
              <w:spacing w:after="0"/>
              <w:rPr>
                <w:sz w:val="19"/>
                <w:szCs w:val="19"/>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4"/>
              </w:rPr>
              <w:t>Consolidation</w:t>
            </w:r>
          </w:p>
        </w:tc>
        <w:tc>
          <w:tcPr>
            <w:tcW w:w="10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3"/>
              </w:rPr>
              <w:t>Pro Forma</w:t>
            </w:r>
          </w:p>
        </w:tc>
      </w:tr>
      <w:tr>
        <w:trPr>
          <w:trHeight w:val="204"/>
        </w:trPr>
        <w:tc>
          <w:tcPr>
            <w:tcW w:w="460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2340" w:type="dxa"/>
            <w:vAlign w:val="bottom"/>
            <w:gridSpan w:val="2"/>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8,825,078</w:t>
            </w:r>
          </w:p>
        </w:tc>
        <w:tc>
          <w:tcPr>
            <w:tcW w:w="28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9"/>
              </w:rPr>
              <w:t>1,668,220</w:t>
            </w:r>
          </w:p>
        </w:tc>
        <w:tc>
          <w:tcPr>
            <w:tcW w:w="42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line="205" w:lineRule="exact"/>
              <w:rPr>
                <w:sz w:val="20"/>
                <w:szCs w:val="20"/>
                <w:color w:val="auto"/>
              </w:rPr>
            </w:pPr>
            <w:r>
              <w:rPr>
                <w:rFonts w:ascii="Arial" w:cs="Arial" w:eastAsia="Arial" w:hAnsi="Arial"/>
                <w:sz w:val="18"/>
                <w:szCs w:val="18"/>
                <w:color w:val="auto"/>
              </w:rPr>
              <w:t>(83,964)</w:t>
            </w:r>
          </w:p>
        </w:tc>
        <w:tc>
          <w:tcPr>
            <w:tcW w:w="2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86"/>
              </w:rPr>
              <w:t>10,409,334</w:t>
            </w:r>
          </w:p>
        </w:tc>
      </w:tr>
      <w:tr>
        <w:trPr>
          <w:trHeight w:val="211"/>
        </w:trPr>
        <w:tc>
          <w:tcPr>
            <w:tcW w:w="46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5,771,045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18"/>
                <w:szCs w:val="18"/>
                <w:color w:val="auto"/>
              </w:rPr>
              <w:t>891,214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(83,964)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6,578,295</w:t>
            </w:r>
          </w:p>
        </w:tc>
      </w:tr>
      <w:tr>
        <w:trPr>
          <w:trHeight w:val="211"/>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3,054,033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777,006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3,831,039</w:t>
            </w:r>
          </w:p>
        </w:tc>
      </w:tr>
      <w:tr>
        <w:trPr>
          <w:trHeight w:val="211"/>
        </w:trPr>
        <w:tc>
          <w:tcPr>
            <w:tcW w:w="4600" w:type="dxa"/>
            <w:vAlign w:val="bottom"/>
            <w:gridSpan w:val="2"/>
          </w:tcPr>
          <w:p>
            <w:pPr>
              <w:spacing w:after="0"/>
              <w:rPr>
                <w:sz w:val="20"/>
                <w:szCs w:val="20"/>
                <w:color w:val="auto"/>
              </w:rPr>
            </w:pPr>
            <w:r>
              <w:rPr>
                <w:rFonts w:ascii="Arial" w:cs="Arial" w:eastAsia="Arial" w:hAnsi="Arial"/>
                <w:sz w:val="18"/>
                <w:szCs w:val="18"/>
                <w:color w:val="auto"/>
              </w:rPr>
              <w:t>Joint venture operations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6,350,683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(45,062)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6,305,621</w:t>
            </w:r>
          </w:p>
        </w:tc>
      </w:tr>
      <w:tr>
        <w:trPr>
          <w:trHeight w:val="211"/>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7,841,847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716,250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8,558,097</w:t>
            </w:r>
          </w:p>
        </w:tc>
      </w:tr>
      <w:tr>
        <w:trPr>
          <w:trHeight w:val="211"/>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1,562,869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18"/>
                <w:szCs w:val="18"/>
                <w:color w:val="auto"/>
              </w:rPr>
              <w:t>60,756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(45,062)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1,578,563</w:t>
            </w:r>
          </w:p>
        </w:tc>
      </w:tr>
      <w:tr>
        <w:trPr>
          <w:trHeight w:val="211"/>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1,515,314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53,014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1,523,266</w:t>
            </w:r>
          </w:p>
        </w:tc>
      </w:tr>
      <w:tr>
        <w:trPr>
          <w:trHeight w:val="211"/>
        </w:trPr>
        <w:tc>
          <w:tcPr>
            <w:tcW w:w="4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1,734,314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18"/>
                <w:szCs w:val="18"/>
                <w:color w:val="auto"/>
              </w:rPr>
              <w:t>53,014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(45,062)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1,742,266</w:t>
            </w:r>
          </w:p>
        </w:tc>
      </w:tr>
      <w:tr>
        <w:trPr>
          <w:trHeight w:val="211"/>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7,952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7,952</w:t>
            </w:r>
          </w:p>
        </w:tc>
      </w:tr>
      <w:tr>
        <w:trPr>
          <w:trHeight w:val="211"/>
        </w:trPr>
        <w:tc>
          <w:tcPr>
            <w:tcW w:w="4600" w:type="dxa"/>
            <w:vAlign w:val="bottom"/>
            <w:gridSpan w:val="2"/>
          </w:tcPr>
          <w:p>
            <w:pPr>
              <w:spacing w:after="0"/>
              <w:rPr>
                <w:sz w:val="20"/>
                <w:szCs w:val="20"/>
                <w:color w:val="auto"/>
              </w:rPr>
            </w:pPr>
            <w:r>
              <w:rPr>
                <w:rFonts w:ascii="Arial" w:cs="Arial" w:eastAsia="Arial" w:hAnsi="Arial"/>
                <w:sz w:val="18"/>
                <w:szCs w:val="18"/>
                <w:color w:val="auto"/>
              </w:rPr>
              <w:t>Net income attributable to controlling interest</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1,734,314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18"/>
                <w:szCs w:val="18"/>
                <w:color w:val="auto"/>
              </w:rPr>
              <w:t>45,062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(45,062)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1,734,314</w:t>
            </w:r>
          </w:p>
        </w:tc>
      </w:tr>
      <w:tr>
        <w:trPr>
          <w:trHeight w:val="211"/>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diluted share</w:t>
            </w:r>
          </w:p>
        </w:tc>
        <w:tc>
          <w:tcPr>
            <w:tcW w:w="2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r>
      <w:tr>
        <w:trPr>
          <w:trHeight w:val="448"/>
        </w:trPr>
        <w:tc>
          <w:tcPr>
            <w:tcW w:w="380" w:type="dxa"/>
            <w:vAlign w:val="bottom"/>
          </w:tcPr>
          <w:p>
            <w:pPr>
              <w:spacing w:after="0"/>
              <w:rPr>
                <w:sz w:val="20"/>
                <w:szCs w:val="20"/>
                <w:color w:val="auto"/>
              </w:rPr>
            </w:pPr>
            <w:r>
              <w:rPr>
                <w:rFonts w:ascii="Arial" w:cs="Arial" w:eastAsia="Arial" w:hAnsi="Arial"/>
                <w:sz w:val="18"/>
                <w:szCs w:val="18"/>
                <w:b w:val="1"/>
                <w:bCs w:val="1"/>
                <w:color w:val="auto"/>
              </w:rPr>
              <w:t>3.</w:t>
            </w:r>
          </w:p>
        </w:tc>
        <w:tc>
          <w:tcPr>
            <w:tcW w:w="4220" w:type="dxa"/>
            <w:vAlign w:val="bottom"/>
          </w:tcPr>
          <w:p>
            <w:pPr>
              <w:ind w:left="240"/>
              <w:spacing w:after="0"/>
              <w:rPr>
                <w:sz w:val="20"/>
                <w:szCs w:val="20"/>
                <w:color w:val="auto"/>
              </w:rPr>
            </w:pPr>
            <w:r>
              <w:rPr>
                <w:rFonts w:ascii="Arial" w:cs="Arial" w:eastAsia="Arial" w:hAnsi="Arial"/>
                <w:sz w:val="18"/>
                <w:szCs w:val="18"/>
                <w:b w:val="1"/>
                <w:bCs w:val="1"/>
                <w:color w:val="auto"/>
              </w:rPr>
              <w:t>INVENTORIES</w:t>
            </w: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8"/>
        </w:trPr>
        <w:tc>
          <w:tcPr>
            <w:tcW w:w="460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9"/>
        </w:trPr>
        <w:tc>
          <w:tcPr>
            <w:tcW w:w="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8"/>
                <w:szCs w:val="18"/>
                <w:b w:val="1"/>
                <w:bCs w:val="1"/>
                <w:color w:val="auto"/>
                <w:w w:val="90"/>
              </w:rPr>
              <w:t>May 31, 2011</w:t>
            </w:r>
          </w:p>
        </w:tc>
        <w:tc>
          <w:tcPr>
            <w:tcW w:w="120" w:type="dxa"/>
            <w:vAlign w:val="bottom"/>
          </w:tcPr>
          <w:p>
            <w:pPr>
              <w:spacing w:after="0"/>
              <w:rPr>
                <w:sz w:val="24"/>
                <w:szCs w:val="24"/>
                <w:color w:val="auto"/>
              </w:rPr>
            </w:pPr>
          </w:p>
        </w:tc>
        <w:tc>
          <w:tcPr>
            <w:tcW w:w="128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8"/>
                <w:szCs w:val="18"/>
                <w:b w:val="1"/>
                <w:bCs w:val="1"/>
                <w:color w:val="auto"/>
                <w:w w:val="84"/>
              </w:rPr>
              <w:t>August 31, 2010</w:t>
            </w:r>
          </w:p>
        </w:tc>
      </w:tr>
      <w:tr>
        <w:trPr>
          <w:trHeight w:val="204"/>
        </w:trPr>
        <w:tc>
          <w:tcPr>
            <w:tcW w:w="460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Production materials</w:t>
            </w:r>
          </w:p>
        </w:tc>
        <w:tc>
          <w:tcPr>
            <w:tcW w:w="2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1,167,876</w:t>
            </w:r>
          </w:p>
        </w:tc>
        <w:tc>
          <w:tcPr>
            <w:tcW w:w="300" w:type="dxa"/>
            <w:vAlign w:val="bottom"/>
            <w:gridSpan w:val="2"/>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1,184,988</w:t>
            </w:r>
          </w:p>
        </w:tc>
      </w:tr>
      <w:tr>
        <w:trPr>
          <w:trHeight w:val="211"/>
        </w:trPr>
        <w:tc>
          <w:tcPr>
            <w:tcW w:w="460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3,235,127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2,449,181</w:t>
            </w:r>
          </w:p>
        </w:tc>
      </w:tr>
      <w:tr>
        <w:trPr>
          <w:trHeight w:val="244"/>
        </w:trPr>
        <w:tc>
          <w:tcPr>
            <w:tcW w:w="380" w:type="dxa"/>
            <w:vAlign w:val="bottom"/>
            <w:shd w:val="clear" w:color="auto" w:fill="CCEEFF"/>
          </w:tcPr>
          <w:p>
            <w:pPr>
              <w:spacing w:after="0"/>
              <w:rPr>
                <w:sz w:val="21"/>
                <w:szCs w:val="21"/>
                <w:color w:val="auto"/>
              </w:rPr>
            </w:pPr>
          </w:p>
        </w:tc>
        <w:tc>
          <w:tcPr>
            <w:tcW w:w="422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4,403,003</w:t>
            </w:r>
          </w:p>
        </w:tc>
        <w:tc>
          <w:tcPr>
            <w:tcW w:w="300" w:type="dxa"/>
            <w:vAlign w:val="bottom"/>
            <w:gridSpan w:val="2"/>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3,639,169</w:t>
            </w:r>
          </w:p>
        </w:tc>
      </w:tr>
      <w:tr>
        <w:trPr>
          <w:trHeight w:val="572"/>
        </w:trPr>
        <w:tc>
          <w:tcPr>
            <w:tcW w:w="380" w:type="dxa"/>
            <w:vAlign w:val="bottom"/>
            <w:tcBorders>
              <w:top w:val="single" w:sz="8" w:color="CCEEFF"/>
            </w:tcBorders>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jc w:val="right"/>
              <w:ind w:right="912"/>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142"/>
        </w:trPr>
        <w:tc>
          <w:tcPr>
            <w:tcW w:w="380" w:type="dxa"/>
            <w:vAlign w:val="bottom"/>
            <w:tcBorders>
              <w:bottom w:val="single" w:sz="8" w:color="808080"/>
            </w:tcBorders>
          </w:tcPr>
          <w:p>
            <w:pPr>
              <w:spacing w:after="0"/>
              <w:rPr>
                <w:sz w:val="12"/>
                <w:szCs w:val="12"/>
                <w:color w:val="auto"/>
              </w:rPr>
            </w:pPr>
          </w:p>
        </w:tc>
        <w:tc>
          <w:tcPr>
            <w:tcW w:w="4220" w:type="dxa"/>
            <w:vAlign w:val="bottom"/>
            <w:tcBorders>
              <w:bottom w:val="single" w:sz="8" w:color="808080"/>
            </w:tcBorders>
          </w:tcPr>
          <w:p>
            <w:pPr>
              <w:spacing w:after="0"/>
              <w:rPr>
                <w:sz w:val="12"/>
                <w:szCs w:val="12"/>
                <w:color w:val="auto"/>
              </w:rPr>
            </w:pPr>
          </w:p>
        </w:tc>
        <w:tc>
          <w:tcPr>
            <w:tcW w:w="21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7" w:name="page8"/>
    <w:bookmarkEnd w:id="7"/>
    <w:p>
      <w:pPr>
        <w:ind w:left="620" w:hanging="615"/>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4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May 31, 2011</w:t>
            </w:r>
          </w:p>
        </w:tc>
        <w:tc>
          <w:tcPr>
            <w:tcW w:w="120" w:type="dxa"/>
            <w:vAlign w:val="bottom"/>
          </w:tcPr>
          <w:p>
            <w:pPr>
              <w:spacing w:after="0"/>
              <w:rPr>
                <w:sz w:val="19"/>
                <w:szCs w:val="19"/>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August 31, 2010</w:t>
            </w:r>
          </w:p>
        </w:tc>
      </w:tr>
      <w:tr>
        <w:trPr>
          <w:trHeight w:val="204"/>
        </w:trPr>
        <w:tc>
          <w:tcPr>
            <w:tcW w:w="89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310,365</w:t>
            </w:r>
          </w:p>
        </w:tc>
        <w:tc>
          <w:tcPr>
            <w:tcW w:w="36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310,365</w:t>
            </w:r>
          </w:p>
        </w:tc>
      </w:tr>
      <w:tr>
        <w:trPr>
          <w:trHeight w:val="211"/>
        </w:trPr>
        <w:tc>
          <w:tcPr>
            <w:tcW w:w="89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3,110,867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3,099,186</w:t>
            </w:r>
          </w:p>
        </w:tc>
      </w:tr>
      <w:tr>
        <w:trPr>
          <w:trHeight w:val="211"/>
        </w:trPr>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2,083,625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1,717,625</w:t>
            </w:r>
          </w:p>
        </w:tc>
      </w:tr>
      <w:tr>
        <w:trPr>
          <w:trHeight w:val="204"/>
        </w:trPr>
        <w:tc>
          <w:tcPr>
            <w:tcW w:w="8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2"/>
              <w:spacing w:after="0" w:line="204" w:lineRule="exact"/>
              <w:rPr>
                <w:sz w:val="20"/>
                <w:szCs w:val="20"/>
                <w:color w:val="auto"/>
              </w:rPr>
            </w:pPr>
            <w:r>
              <w:rPr>
                <w:rFonts w:ascii="Arial" w:cs="Arial" w:eastAsia="Arial" w:hAnsi="Arial"/>
                <w:sz w:val="18"/>
                <w:szCs w:val="18"/>
                <w:color w:val="auto"/>
              </w:rPr>
              <w:t>5,504,857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12"/>
              <w:spacing w:after="0" w:line="204" w:lineRule="exact"/>
              <w:rPr>
                <w:sz w:val="20"/>
                <w:szCs w:val="20"/>
                <w:color w:val="auto"/>
              </w:rPr>
            </w:pPr>
            <w:r>
              <w:rPr>
                <w:rFonts w:ascii="Arial" w:cs="Arial" w:eastAsia="Arial" w:hAnsi="Arial"/>
                <w:sz w:val="18"/>
                <w:szCs w:val="18"/>
                <w:color w:val="auto"/>
              </w:rPr>
              <w:t>5,127,176</w:t>
            </w:r>
          </w:p>
        </w:tc>
      </w:tr>
      <w:tr>
        <w:trPr>
          <w:trHeight w:val="211"/>
        </w:trPr>
        <w:tc>
          <w:tcPr>
            <w:tcW w:w="8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(1,912,365)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(1,674,646)</w:t>
            </w:r>
          </w:p>
        </w:tc>
      </w:tr>
      <w:tr>
        <w:trPr>
          <w:trHeight w:val="217"/>
        </w:trPr>
        <w:tc>
          <w:tcPr>
            <w:tcW w:w="89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3,592,492</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3,452,530</w:t>
            </w:r>
          </w:p>
        </w:tc>
      </w:tr>
      <w:tr>
        <w:trPr>
          <w:trHeight w:val="20"/>
        </w:trPr>
        <w:tc>
          <w:tcPr>
            <w:tcW w:w="8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tcPr>
          <w:p>
            <w:pPr>
              <w:spacing w:after="0"/>
              <w:rPr>
                <w:sz w:val="20"/>
                <w:szCs w:val="20"/>
                <w:color w:val="auto"/>
              </w:rPr>
            </w:pPr>
            <w:r>
              <w:rPr>
                <w:rFonts w:ascii="Arial" w:cs="Arial" w:eastAsia="Arial" w:hAnsi="Arial"/>
                <w:sz w:val="18"/>
                <w:szCs w:val="18"/>
                <w:b w:val="1"/>
                <w:bCs w:val="1"/>
                <w:color w:val="auto"/>
              </w:rPr>
              <w:t>5.</w:t>
            </w:r>
          </w:p>
        </w:tc>
        <w:tc>
          <w:tcPr>
            <w:tcW w:w="6020" w:type="dxa"/>
            <w:vAlign w:val="bottom"/>
          </w:tcPr>
          <w:p>
            <w:pPr>
              <w:ind w:left="240"/>
              <w:spacing w:after="0"/>
              <w:rPr>
                <w:sz w:val="20"/>
                <w:szCs w:val="20"/>
                <w:color w:val="auto"/>
              </w:rPr>
            </w:pPr>
            <w:r>
              <w:rPr>
                <w:rFonts w:ascii="Arial" w:cs="Arial" w:eastAsia="Arial" w:hAnsi="Arial"/>
                <w:sz w:val="18"/>
                <w:szCs w:val="18"/>
                <w:b w:val="1"/>
                <w:bCs w:val="1"/>
                <w:color w:val="auto"/>
              </w:rPr>
              <w:t>PATENTS AND TRADEMARKS, NET</w:t>
            </w:r>
          </w:p>
        </w:tc>
        <w:tc>
          <w:tcPr>
            <w:tcW w:w="2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48"/>
        </w:trPr>
        <w:tc>
          <w:tcPr>
            <w:tcW w:w="640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9"/>
        </w:trPr>
        <w:tc>
          <w:tcPr>
            <w:tcW w:w="3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620" w:type="dxa"/>
            <w:vAlign w:val="bottom"/>
            <w:gridSpan w:val="3"/>
          </w:tcPr>
          <w:p>
            <w:pPr>
              <w:ind w:left="2540"/>
              <w:spacing w:after="0"/>
              <w:rPr>
                <w:sz w:val="20"/>
                <w:szCs w:val="20"/>
                <w:color w:val="auto"/>
              </w:rPr>
            </w:pPr>
            <w:r>
              <w:rPr>
                <w:rFonts w:ascii="Arial" w:cs="Arial" w:eastAsia="Arial" w:hAnsi="Arial"/>
                <w:sz w:val="18"/>
                <w:szCs w:val="18"/>
                <w:b w:val="1"/>
                <w:bCs w:val="1"/>
                <w:color w:val="auto"/>
                <w:w w:val="96"/>
              </w:rPr>
              <w:t>May 31, 2011</w:t>
            </w:r>
          </w:p>
        </w:tc>
        <w:tc>
          <w:tcPr>
            <w:tcW w:w="1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1"/>
              </w:rPr>
              <w:t>August 31, 2010</w:t>
            </w:r>
          </w:p>
        </w:tc>
      </w:tr>
      <w:tr>
        <w:trPr>
          <w:trHeight w:val="20"/>
        </w:trPr>
        <w:tc>
          <w:tcPr>
            <w:tcW w:w="3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04"/>
        </w:trPr>
        <w:tc>
          <w:tcPr>
            <w:tcW w:w="640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Patents and trademarks</w:t>
            </w:r>
          </w:p>
        </w:tc>
        <w:tc>
          <w:tcPr>
            <w:tcW w:w="2720" w:type="dxa"/>
            <w:vAlign w:val="bottom"/>
            <w:gridSpan w:val="2"/>
            <w:shd w:val="clear" w:color="auto" w:fill="CCEEFF"/>
          </w:tcPr>
          <w:p>
            <w:pPr>
              <w:ind w:left="254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1,715,236</w:t>
            </w:r>
          </w:p>
        </w:tc>
        <w:tc>
          <w:tcPr>
            <w:tcW w:w="40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1,610,674</w:t>
            </w:r>
          </w:p>
        </w:tc>
      </w:tr>
      <w:tr>
        <w:trPr>
          <w:trHeight w:val="211"/>
        </w:trPr>
        <w:tc>
          <w:tcPr>
            <w:tcW w:w="640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(816,626)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(697,956)</w:t>
            </w:r>
          </w:p>
        </w:tc>
      </w:tr>
      <w:tr>
        <w:trPr>
          <w:trHeight w:val="237"/>
        </w:trPr>
        <w:tc>
          <w:tcPr>
            <w:tcW w:w="380" w:type="dxa"/>
            <w:vAlign w:val="bottom"/>
            <w:shd w:val="clear" w:color="auto" w:fill="CCEEFF"/>
          </w:tcPr>
          <w:p>
            <w:pPr>
              <w:spacing w:after="0"/>
              <w:rPr>
                <w:sz w:val="20"/>
                <w:szCs w:val="20"/>
                <w:color w:val="auto"/>
              </w:rPr>
            </w:pPr>
          </w:p>
        </w:tc>
        <w:tc>
          <w:tcPr>
            <w:tcW w:w="60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898,610</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912,718</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$160,000 in each of the next five fiscal years.</w:t>
      </w:r>
    </w:p>
    <w:p>
      <w:pPr>
        <w:spacing w:after="0" w:line="210" w:lineRule="exact"/>
        <w:rPr>
          <w:sz w:val="20"/>
          <w:szCs w:val="20"/>
          <w:color w:val="auto"/>
        </w:rPr>
      </w:pPr>
    </w:p>
    <w:p>
      <w:pPr>
        <w:ind w:left="620" w:hanging="615"/>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financial statements have subsequently been adjusted to approximate U.S. GAAP in all material respects. All material profits recorded on sales from the Company to its joint ventures have been eliminated for financial reporting purposes.</w:t>
      </w:r>
    </w:p>
    <w:p>
      <w:pPr>
        <w:spacing w:after="0" w:line="219"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Financial information from the audited and unaudited financial statements of the Company’s joint venture in Germany, Excor Korrosionsschutz – Technologien und Produkte GmbH (“Germany”), the Company’s joint venture holding company in the Association of Southeast Asian Nations, or ASEAN, region, NTI ASEAN, LLC (“ASEAN”), and all of the Company’s other joint ventures, are summarized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8"/>
                <w:szCs w:val="18"/>
                <w:b w:val="1"/>
                <w:bCs w:val="1"/>
                <w:color w:val="auto"/>
              </w:rPr>
              <w:t>May 31, 2011</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4"/>
        </w:trPr>
        <w:tc>
          <w:tcPr>
            <w:tcW w:w="6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Borders>
              <w:bottom w:val="single" w:sz="8" w:color="auto"/>
            </w:tcBorders>
          </w:tcPr>
          <w:p>
            <w:pPr>
              <w:jc w:val="right"/>
              <w:ind w:right="192"/>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ind w:right="132"/>
              <w:spacing w:after="0" w:line="205" w:lineRule="exact"/>
              <w:rPr>
                <w:sz w:val="20"/>
                <w:szCs w:val="20"/>
                <w:color w:val="auto"/>
              </w:rPr>
            </w:pPr>
            <w:r>
              <w:rPr>
                <w:rFonts w:ascii="Arial" w:cs="Arial" w:eastAsia="Arial" w:hAnsi="Arial"/>
                <w:sz w:val="18"/>
                <w:szCs w:val="18"/>
                <w:b w:val="1"/>
                <w:bCs w:val="1"/>
                <w:color w:val="auto"/>
              </w:rPr>
              <w:t>Germany</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2"/>
              <w:spacing w:after="0" w:line="205" w:lineRule="exact"/>
              <w:rPr>
                <w:sz w:val="20"/>
                <w:szCs w:val="20"/>
                <w:color w:val="auto"/>
              </w:rPr>
            </w:pPr>
            <w:r>
              <w:rPr>
                <w:rFonts w:ascii="Arial" w:cs="Arial" w:eastAsia="Arial" w:hAnsi="Arial"/>
                <w:sz w:val="18"/>
                <w:szCs w:val="18"/>
                <w:b w:val="1"/>
                <w:bCs w:val="1"/>
                <w:color w:val="auto"/>
                <w:w w:val="98"/>
              </w:rPr>
              <w:t>ASEAN</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2"/>
              <w:spacing w:after="0" w:line="205" w:lineRule="exact"/>
              <w:rPr>
                <w:sz w:val="20"/>
                <w:szCs w:val="20"/>
                <w:color w:val="auto"/>
              </w:rPr>
            </w:pPr>
            <w:r>
              <w:rPr>
                <w:rFonts w:ascii="Arial" w:cs="Arial" w:eastAsia="Arial" w:hAnsi="Arial"/>
                <w:sz w:val="18"/>
                <w:szCs w:val="18"/>
                <w:b w:val="1"/>
                <w:bCs w:val="1"/>
                <w:color w:val="auto"/>
                <w:w w:val="92"/>
              </w:rPr>
              <w:t>All Other</w:t>
            </w:r>
          </w:p>
        </w:tc>
      </w:tr>
      <w:tr>
        <w:trPr>
          <w:trHeight w:val="204"/>
        </w:trPr>
        <w:tc>
          <w:tcPr>
            <w:tcW w:w="63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Current assets</w:t>
            </w:r>
          </w:p>
        </w:tc>
        <w:tc>
          <w:tcPr>
            <w:tcW w:w="1660" w:type="dxa"/>
            <w:vAlign w:val="bottom"/>
            <w:gridSpan w:val="2"/>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rPr>
              <w:t>$ 66,020,912</w:t>
            </w:r>
          </w:p>
        </w:tc>
        <w:tc>
          <w:tcPr>
            <w:tcW w:w="1180" w:type="dxa"/>
            <w:vAlign w:val="bottom"/>
            <w:gridSpan w:val="2"/>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8"/>
              </w:rPr>
              <w:t>$ 21,785,071</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4"/>
              </w:rPr>
              <w:t>15,108,649</w:t>
            </w:r>
          </w:p>
        </w:tc>
        <w:tc>
          <w:tcPr>
            <w:tcW w:w="1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8"/>
              </w:rPr>
              <w:t>29,127,192</w:t>
            </w:r>
          </w:p>
        </w:tc>
      </w:tr>
      <w:tr>
        <w:trPr>
          <w:trHeight w:val="211"/>
        </w:trPr>
        <w:tc>
          <w:tcPr>
            <w:tcW w:w="6360" w:type="dxa"/>
            <w:vAlign w:val="bottom"/>
          </w:tcPr>
          <w:p>
            <w:pPr>
              <w:spacing w:after="0"/>
              <w:rPr>
                <w:sz w:val="20"/>
                <w:szCs w:val="20"/>
                <w:color w:val="auto"/>
              </w:rPr>
            </w:pPr>
            <w:r>
              <w:rPr>
                <w:rFonts w:ascii="Arial" w:cs="Arial" w:eastAsia="Arial" w:hAnsi="Arial"/>
                <w:sz w:val="18"/>
                <w:szCs w:val="18"/>
                <w:color w:val="auto"/>
              </w:rPr>
              <w:t>Total assets</w:t>
            </w:r>
          </w:p>
        </w:tc>
        <w:tc>
          <w:tcPr>
            <w:tcW w:w="1660" w:type="dxa"/>
            <w:vAlign w:val="bottom"/>
            <w:gridSpan w:val="2"/>
          </w:tcPr>
          <w:p>
            <w:pPr>
              <w:jc w:val="right"/>
              <w:ind w:right="32"/>
              <w:spacing w:after="0"/>
              <w:rPr>
                <w:sz w:val="20"/>
                <w:szCs w:val="20"/>
                <w:color w:val="auto"/>
              </w:rPr>
            </w:pPr>
            <w:r>
              <w:rPr>
                <w:rFonts w:ascii="Arial" w:cs="Arial" w:eastAsia="Arial" w:hAnsi="Arial"/>
                <w:sz w:val="18"/>
                <w:szCs w:val="18"/>
                <w:color w:val="auto"/>
              </w:rPr>
              <w:t>72,298,700</w:t>
            </w:r>
          </w:p>
        </w:tc>
        <w:tc>
          <w:tcPr>
            <w:tcW w:w="1180" w:type="dxa"/>
            <w:vAlign w:val="bottom"/>
            <w:gridSpan w:val="2"/>
          </w:tcPr>
          <w:p>
            <w:pPr>
              <w:jc w:val="right"/>
              <w:ind w:right="32"/>
              <w:spacing w:after="0"/>
              <w:rPr>
                <w:sz w:val="20"/>
                <w:szCs w:val="20"/>
                <w:color w:val="auto"/>
              </w:rPr>
            </w:pPr>
            <w:r>
              <w:rPr>
                <w:rFonts w:ascii="Arial" w:cs="Arial" w:eastAsia="Arial" w:hAnsi="Arial"/>
                <w:sz w:val="18"/>
                <w:szCs w:val="18"/>
                <w:color w:val="auto"/>
              </w:rPr>
              <w:t>24,525,769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84"/>
              </w:rPr>
              <w:t>15,330,146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32,442,785</w:t>
            </w:r>
          </w:p>
        </w:tc>
      </w:tr>
      <w:tr>
        <w:trPr>
          <w:trHeight w:val="211"/>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25,373,400</w:t>
            </w:r>
          </w:p>
        </w:tc>
        <w:tc>
          <w:tcPr>
            <w:tcW w:w="11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4,066,108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7,119,287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14,188,005</w:t>
            </w:r>
          </w:p>
        </w:tc>
      </w:tr>
      <w:tr>
        <w:trPr>
          <w:trHeight w:val="211"/>
        </w:trPr>
        <w:tc>
          <w:tcPr>
            <w:tcW w:w="63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60" w:type="dxa"/>
            <w:vAlign w:val="bottom"/>
            <w:gridSpan w:val="2"/>
          </w:tcPr>
          <w:p>
            <w:pPr>
              <w:jc w:val="right"/>
              <w:ind w:right="32"/>
              <w:spacing w:after="0"/>
              <w:rPr>
                <w:sz w:val="20"/>
                <w:szCs w:val="20"/>
                <w:color w:val="auto"/>
              </w:rPr>
            </w:pPr>
            <w:r>
              <w:rPr>
                <w:rFonts w:ascii="Arial" w:cs="Arial" w:eastAsia="Arial" w:hAnsi="Arial"/>
                <w:sz w:val="18"/>
                <w:szCs w:val="18"/>
                <w:color w:val="auto"/>
              </w:rPr>
              <w:t>4,778,410</w:t>
            </w:r>
          </w:p>
        </w:tc>
        <w:tc>
          <w:tcPr>
            <w:tcW w:w="1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931,328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3,847,082</w:t>
            </w:r>
          </w:p>
        </w:tc>
      </w:tr>
      <w:tr>
        <w:trPr>
          <w:trHeight w:val="211"/>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42,146,890</w:t>
            </w:r>
          </w:p>
        </w:tc>
        <w:tc>
          <w:tcPr>
            <w:tcW w:w="11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20,459,661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7,279,531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14,407,698</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w w:val="99"/>
              </w:rPr>
              <w:t>Northern Technologies International Corporation’s share of joint ventures’ equity</w:t>
            </w:r>
          </w:p>
        </w:tc>
        <w:tc>
          <w:tcPr>
            <w:tcW w:w="1660" w:type="dxa"/>
            <w:vAlign w:val="bottom"/>
            <w:gridSpan w:val="2"/>
          </w:tcPr>
          <w:p>
            <w:pPr>
              <w:jc w:val="right"/>
              <w:ind w:right="32"/>
              <w:spacing w:after="0"/>
              <w:rPr>
                <w:sz w:val="20"/>
                <w:szCs w:val="20"/>
                <w:color w:val="auto"/>
              </w:rPr>
            </w:pPr>
            <w:r>
              <w:rPr>
                <w:rFonts w:ascii="Arial" w:cs="Arial" w:eastAsia="Arial" w:hAnsi="Arial"/>
                <w:sz w:val="18"/>
                <w:szCs w:val="18"/>
                <w:color w:val="auto"/>
              </w:rPr>
              <w:t>$ 19,595,596</w:t>
            </w:r>
          </w:p>
        </w:tc>
        <w:tc>
          <w:tcPr>
            <w:tcW w:w="1180" w:type="dxa"/>
            <w:vAlign w:val="bottom"/>
            <w:gridSpan w:val="2"/>
          </w:tcPr>
          <w:p>
            <w:pPr>
              <w:jc w:val="right"/>
              <w:ind w:right="32"/>
              <w:spacing w:after="0"/>
              <w:rPr>
                <w:sz w:val="20"/>
                <w:szCs w:val="20"/>
                <w:color w:val="auto"/>
              </w:rPr>
            </w:pPr>
            <w:r>
              <w:rPr>
                <w:rFonts w:ascii="Arial" w:cs="Arial" w:eastAsia="Arial" w:hAnsi="Arial"/>
                <w:sz w:val="18"/>
                <w:szCs w:val="18"/>
                <w:color w:val="auto"/>
                <w:w w:val="98"/>
              </w:rPr>
              <w:t>$ 10,229,833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2,476,738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6,889,025</w:t>
            </w:r>
          </w:p>
        </w:tc>
      </w:tr>
      <w:tr>
        <w:trPr>
          <w:trHeight w:val="581"/>
        </w:trPr>
        <w:tc>
          <w:tcPr>
            <w:tcW w:w="6360" w:type="dxa"/>
            <w:vAlign w:val="bottom"/>
          </w:tcPr>
          <w:p>
            <w:pPr>
              <w:ind w:left="568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2"/>
        </w:trPr>
        <w:tc>
          <w:tcPr>
            <w:tcW w:w="636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9"/>
        </w:trPr>
        <w:tc>
          <w:tcPr>
            <w:tcW w:w="5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8"/>
                <w:szCs w:val="18"/>
                <w:b w:val="1"/>
                <w:bCs w:val="1"/>
                <w:color w:val="auto"/>
              </w:rPr>
              <w:t>August 31, 2010</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4"/>
        </w:trPr>
        <w:tc>
          <w:tcPr>
            <w:tcW w:w="5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2"/>
              <w:spacing w:after="0" w:line="205"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2"/>
              <w:spacing w:after="0" w:line="205" w:lineRule="exact"/>
              <w:rPr>
                <w:sz w:val="20"/>
                <w:szCs w:val="20"/>
                <w:color w:val="auto"/>
              </w:rPr>
            </w:pPr>
            <w:r>
              <w:rPr>
                <w:rFonts w:ascii="Arial" w:cs="Arial" w:eastAsia="Arial" w:hAnsi="Arial"/>
                <w:sz w:val="18"/>
                <w:szCs w:val="18"/>
                <w:b w:val="1"/>
                <w:bCs w:val="1"/>
                <w:color w:val="auto"/>
                <w:w w:val="89"/>
              </w:rPr>
              <w:t>Germany</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2"/>
              <w:spacing w:after="0" w:line="205" w:lineRule="exact"/>
              <w:rPr>
                <w:sz w:val="20"/>
                <w:szCs w:val="20"/>
                <w:color w:val="auto"/>
              </w:rPr>
            </w:pPr>
            <w:r>
              <w:rPr>
                <w:rFonts w:ascii="Arial" w:cs="Arial" w:eastAsia="Arial" w:hAnsi="Arial"/>
                <w:sz w:val="18"/>
                <w:szCs w:val="18"/>
                <w:b w:val="1"/>
                <w:bCs w:val="1"/>
                <w:color w:val="auto"/>
                <w:w w:val="98"/>
              </w:rPr>
              <w:t>ASEAN</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2"/>
              <w:spacing w:after="0" w:line="205" w:lineRule="exact"/>
              <w:rPr>
                <w:sz w:val="20"/>
                <w:szCs w:val="20"/>
                <w:color w:val="auto"/>
              </w:rPr>
            </w:pPr>
            <w:r>
              <w:rPr>
                <w:rFonts w:ascii="Arial" w:cs="Arial" w:eastAsia="Arial" w:hAnsi="Arial"/>
                <w:sz w:val="18"/>
                <w:szCs w:val="18"/>
                <w:b w:val="1"/>
                <w:bCs w:val="1"/>
                <w:color w:val="auto"/>
                <w:w w:val="92"/>
              </w:rPr>
              <w:t>All Other</w:t>
            </w:r>
          </w:p>
        </w:tc>
      </w:tr>
      <w:tr>
        <w:trPr>
          <w:trHeight w:val="204"/>
        </w:trPr>
        <w:tc>
          <w:tcPr>
            <w:tcW w:w="55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Current assets</w:t>
            </w:r>
          </w:p>
        </w:tc>
        <w:tc>
          <w:tcPr>
            <w:tcW w:w="154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50,031,107</w:t>
            </w:r>
          </w:p>
        </w:tc>
        <w:tc>
          <w:tcPr>
            <w:tcW w:w="20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6"/>
              </w:rPr>
              <w:t>16,567,240</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4"/>
              </w:rPr>
              <w:t>12,637,967</w:t>
            </w:r>
          </w:p>
        </w:tc>
        <w:tc>
          <w:tcPr>
            <w:tcW w:w="18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8"/>
              </w:rPr>
              <w:t>20,825,900</w:t>
            </w:r>
          </w:p>
        </w:tc>
      </w:tr>
      <w:tr>
        <w:trPr>
          <w:trHeight w:val="211"/>
        </w:trPr>
        <w:tc>
          <w:tcPr>
            <w:tcW w:w="5560" w:type="dxa"/>
            <w:vAlign w:val="bottom"/>
          </w:tcPr>
          <w:p>
            <w:pPr>
              <w:spacing w:after="0"/>
              <w:rPr>
                <w:sz w:val="20"/>
                <w:szCs w:val="20"/>
                <w:color w:val="auto"/>
              </w:rPr>
            </w:pPr>
            <w:r>
              <w:rPr>
                <w:rFonts w:ascii="Arial" w:cs="Arial" w:eastAsia="Arial" w:hAnsi="Arial"/>
                <w:sz w:val="18"/>
                <w:szCs w:val="18"/>
                <w:color w:val="auto"/>
              </w:rPr>
              <w:t>Total assets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7"/>
              </w:rPr>
              <w:t>55,918,090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86"/>
              </w:rPr>
              <w:t>18,967,090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84"/>
              </w:rPr>
              <w:t>12,901,522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24,049,478</w:t>
            </w:r>
          </w:p>
        </w:tc>
      </w:tr>
      <w:tr>
        <w:trPr>
          <w:trHeight w:val="211"/>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16,478,696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3,089,590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4,721,652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8,667,454</w:t>
            </w:r>
          </w:p>
        </w:tc>
      </w:tr>
      <w:tr>
        <w:trPr>
          <w:trHeight w:val="211"/>
        </w:trPr>
        <w:tc>
          <w:tcPr>
            <w:tcW w:w="55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4,454,280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868,902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3,585,378</w:t>
            </w:r>
          </w:p>
        </w:tc>
      </w:tr>
      <w:tr>
        <w:trPr>
          <w:trHeight w:val="211"/>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34,985,114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15,877,500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7,310,968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11,796,646</w:t>
            </w:r>
          </w:p>
        </w:tc>
      </w:tr>
      <w:tr>
        <w:trPr>
          <w:trHeight w:val="199"/>
        </w:trPr>
        <w:tc>
          <w:tcPr>
            <w:tcW w:w="5560" w:type="dxa"/>
            <w:vAlign w:val="bottom"/>
          </w:tcPr>
          <w:p>
            <w:pPr>
              <w:spacing w:after="0" w:line="199" w:lineRule="exact"/>
              <w:rPr>
                <w:sz w:val="20"/>
                <w:szCs w:val="20"/>
                <w:color w:val="auto"/>
              </w:rPr>
            </w:pPr>
            <w:r>
              <w:rPr>
                <w:rFonts w:ascii="Arial" w:cs="Arial" w:eastAsia="Arial" w:hAnsi="Arial"/>
                <w:sz w:val="18"/>
                <w:szCs w:val="18"/>
                <w:color w:val="auto"/>
              </w:rPr>
              <w:t>Northern Technologies International Corporation’s share of</w:t>
            </w: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3"/>
        </w:trPr>
        <w:tc>
          <w:tcPr>
            <w:tcW w:w="5560" w:type="dxa"/>
            <w:vAlign w:val="bottom"/>
          </w:tcPr>
          <w:p>
            <w:pPr>
              <w:ind w:left="140"/>
              <w:spacing w:after="0"/>
              <w:rPr>
                <w:sz w:val="20"/>
                <w:szCs w:val="20"/>
                <w:color w:val="auto"/>
              </w:rPr>
            </w:pPr>
            <w:r>
              <w:rPr>
                <w:rFonts w:ascii="Arial" w:cs="Arial" w:eastAsia="Arial" w:hAnsi="Arial"/>
                <w:sz w:val="18"/>
                <w:szCs w:val="18"/>
                <w:color w:val="auto"/>
              </w:rPr>
              <w:t>joint ventures’ equity</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7"/>
              </w:rPr>
              <w:t>16,055,943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7,938,751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2,467,412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5,649,780</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8"/>
          </w:tcPr>
          <w:p>
            <w:pPr>
              <w:ind w:left="800"/>
              <w:spacing w:after="0"/>
              <w:rPr>
                <w:sz w:val="20"/>
                <w:szCs w:val="20"/>
                <w:color w:val="auto"/>
              </w:rPr>
            </w:pPr>
            <w:r>
              <w:rPr>
                <w:rFonts w:ascii="Arial" w:cs="Arial" w:eastAsia="Arial" w:hAnsi="Arial"/>
                <w:sz w:val="18"/>
                <w:szCs w:val="18"/>
                <w:b w:val="1"/>
                <w:bCs w:val="1"/>
                <w:color w:val="auto"/>
                <w:w w:val="89"/>
              </w:rPr>
              <w:t>Nine Months Ended May 31, 2011</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4"/>
        </w:trPr>
        <w:tc>
          <w:tcPr>
            <w:tcW w:w="5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2"/>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2"/>
              <w:spacing w:after="0" w:line="205" w:lineRule="exact"/>
              <w:rPr>
                <w:sz w:val="20"/>
                <w:szCs w:val="20"/>
                <w:color w:val="auto"/>
              </w:rPr>
            </w:pPr>
            <w:r>
              <w:rPr>
                <w:rFonts w:ascii="Arial" w:cs="Arial" w:eastAsia="Arial" w:hAnsi="Arial"/>
                <w:sz w:val="18"/>
                <w:szCs w:val="18"/>
                <w:b w:val="1"/>
                <w:bCs w:val="1"/>
                <w:color w:val="auto"/>
                <w:w w:val="89"/>
              </w:rPr>
              <w:t>Germany</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2"/>
              <w:spacing w:after="0" w:line="205" w:lineRule="exact"/>
              <w:rPr>
                <w:sz w:val="20"/>
                <w:szCs w:val="20"/>
                <w:color w:val="auto"/>
              </w:rPr>
            </w:pPr>
            <w:r>
              <w:rPr>
                <w:rFonts w:ascii="Arial" w:cs="Arial" w:eastAsia="Arial" w:hAnsi="Arial"/>
                <w:sz w:val="18"/>
                <w:szCs w:val="18"/>
                <w:b w:val="1"/>
                <w:bCs w:val="1"/>
                <w:color w:val="auto"/>
              </w:rPr>
              <w:t>ASEAN</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2"/>
              <w:spacing w:after="0" w:line="205" w:lineRule="exact"/>
              <w:rPr>
                <w:sz w:val="20"/>
                <w:szCs w:val="20"/>
                <w:color w:val="auto"/>
              </w:rPr>
            </w:pPr>
            <w:r>
              <w:rPr>
                <w:rFonts w:ascii="Arial" w:cs="Arial" w:eastAsia="Arial" w:hAnsi="Arial"/>
                <w:sz w:val="18"/>
                <w:szCs w:val="18"/>
                <w:b w:val="1"/>
                <w:bCs w:val="1"/>
                <w:color w:val="auto"/>
                <w:w w:val="92"/>
              </w:rPr>
              <w:t>All Other</w:t>
            </w:r>
          </w:p>
        </w:tc>
      </w:tr>
      <w:tr>
        <w:trPr>
          <w:trHeight w:val="204"/>
        </w:trPr>
        <w:tc>
          <w:tcPr>
            <w:tcW w:w="55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sales</w:t>
            </w:r>
          </w:p>
        </w:tc>
        <w:tc>
          <w:tcPr>
            <w:tcW w:w="150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86,744,626</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28,036,295</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6"/>
              </w:rPr>
              <w:t>13,549,082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8"/>
              </w:rPr>
              <w:t>45,159,249</w:t>
            </w:r>
          </w:p>
        </w:tc>
      </w:tr>
      <w:tr>
        <w:trPr>
          <w:trHeight w:val="211"/>
        </w:trPr>
        <w:tc>
          <w:tcPr>
            <w:tcW w:w="5580" w:type="dxa"/>
            <w:vAlign w:val="bottom"/>
          </w:tcPr>
          <w:p>
            <w:pPr>
              <w:spacing w:after="0"/>
              <w:rPr>
                <w:sz w:val="20"/>
                <w:szCs w:val="20"/>
                <w:color w:val="auto"/>
              </w:rPr>
            </w:pPr>
            <w:r>
              <w:rPr>
                <w:rFonts w:ascii="Arial" w:cs="Arial" w:eastAsia="Arial" w:hAnsi="Arial"/>
                <w:sz w:val="18"/>
                <w:szCs w:val="18"/>
                <w:color w:val="auto"/>
              </w:rPr>
              <w:t>Gross profit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40,134,048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14,027,762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6,477,234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19,629,052</w:t>
            </w: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8,781,500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5,311,273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1,160,579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2,309,648</w:t>
            </w:r>
          </w:p>
        </w:tc>
      </w:tr>
      <w:tr>
        <w:trPr>
          <w:trHeight w:val="199"/>
        </w:trPr>
        <w:tc>
          <w:tcPr>
            <w:tcW w:w="5580" w:type="dxa"/>
            <w:vAlign w:val="bottom"/>
          </w:tcPr>
          <w:p>
            <w:pPr>
              <w:spacing w:after="0" w:line="199" w:lineRule="exact"/>
              <w:rPr>
                <w:sz w:val="20"/>
                <w:szCs w:val="20"/>
                <w:color w:val="auto"/>
              </w:rPr>
            </w:pPr>
            <w:r>
              <w:rPr>
                <w:rFonts w:ascii="Arial" w:cs="Arial" w:eastAsia="Arial" w:hAnsi="Arial"/>
                <w:sz w:val="18"/>
                <w:szCs w:val="18"/>
                <w:color w:val="auto"/>
              </w:rPr>
              <w:t>Northern Technologies International Corporation’s share of</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3"/>
        </w:trPr>
        <w:tc>
          <w:tcPr>
            <w:tcW w:w="5580" w:type="dxa"/>
            <w:vAlign w:val="bottom"/>
          </w:tcPr>
          <w:p>
            <w:pPr>
              <w:ind w:left="140"/>
              <w:spacing w:after="0"/>
              <w:rPr>
                <w:sz w:val="20"/>
                <w:szCs w:val="20"/>
                <w:color w:val="auto"/>
              </w:rPr>
            </w:pPr>
            <w:r>
              <w:rPr>
                <w:rFonts w:ascii="Arial" w:cs="Arial" w:eastAsia="Arial" w:hAnsi="Arial"/>
                <w:sz w:val="18"/>
                <w:szCs w:val="18"/>
                <w:color w:val="auto"/>
              </w:rPr>
              <w:t>equity in income of joint ventures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4,549,267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2,550,188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912,449</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1,086,630</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8"/>
          </w:tcPr>
          <w:p>
            <w:pPr>
              <w:ind w:left="800"/>
              <w:spacing w:after="0"/>
              <w:rPr>
                <w:sz w:val="20"/>
                <w:szCs w:val="20"/>
                <w:color w:val="auto"/>
              </w:rPr>
            </w:pPr>
            <w:r>
              <w:rPr>
                <w:rFonts w:ascii="Arial" w:cs="Arial" w:eastAsia="Arial" w:hAnsi="Arial"/>
                <w:sz w:val="18"/>
                <w:szCs w:val="18"/>
                <w:b w:val="1"/>
                <w:bCs w:val="1"/>
                <w:color w:val="auto"/>
                <w:w w:val="89"/>
              </w:rPr>
              <w:t>Nine Months Ended May 31, 2010</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4"/>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2"/>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2"/>
              <w:spacing w:after="0" w:line="205" w:lineRule="exact"/>
              <w:rPr>
                <w:sz w:val="20"/>
                <w:szCs w:val="20"/>
                <w:color w:val="auto"/>
              </w:rPr>
            </w:pPr>
            <w:r>
              <w:rPr>
                <w:rFonts w:ascii="Arial" w:cs="Arial" w:eastAsia="Arial" w:hAnsi="Arial"/>
                <w:sz w:val="18"/>
                <w:szCs w:val="18"/>
                <w:b w:val="1"/>
                <w:bCs w:val="1"/>
                <w:color w:val="auto"/>
                <w:w w:val="89"/>
              </w:rPr>
              <w:t>Germany</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2"/>
              <w:spacing w:after="0" w:line="205" w:lineRule="exact"/>
              <w:rPr>
                <w:sz w:val="20"/>
                <w:szCs w:val="20"/>
                <w:color w:val="auto"/>
              </w:rPr>
            </w:pPr>
            <w:r>
              <w:rPr>
                <w:rFonts w:ascii="Arial" w:cs="Arial" w:eastAsia="Arial" w:hAnsi="Arial"/>
                <w:sz w:val="18"/>
                <w:szCs w:val="18"/>
                <w:b w:val="1"/>
                <w:bCs w:val="1"/>
                <w:color w:val="auto"/>
              </w:rPr>
              <w:t>ASEAN</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2"/>
              <w:spacing w:after="0" w:line="205" w:lineRule="exact"/>
              <w:rPr>
                <w:sz w:val="20"/>
                <w:szCs w:val="20"/>
                <w:color w:val="auto"/>
              </w:rPr>
            </w:pPr>
            <w:r>
              <w:rPr>
                <w:rFonts w:ascii="Arial" w:cs="Arial" w:eastAsia="Arial" w:hAnsi="Arial"/>
                <w:sz w:val="18"/>
                <w:szCs w:val="18"/>
                <w:b w:val="1"/>
                <w:bCs w:val="1"/>
                <w:color w:val="auto"/>
                <w:w w:val="92"/>
              </w:rPr>
              <w:t>All Other</w:t>
            </w:r>
          </w:p>
        </w:tc>
      </w:tr>
      <w:tr>
        <w:trPr>
          <w:trHeight w:val="204"/>
        </w:trPr>
        <w:tc>
          <w:tcPr>
            <w:tcW w:w="67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62,294,519</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8"/>
              </w:rPr>
              <w:t>18,042,624</w:t>
            </w:r>
          </w:p>
        </w:tc>
        <w:tc>
          <w:tcPr>
            <w:tcW w:w="22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86"/>
              </w:rPr>
              <w:t>10,350,856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8"/>
              </w:rPr>
              <w:t>33,901,039</w:t>
            </w:r>
          </w:p>
        </w:tc>
      </w:tr>
      <w:tr>
        <w:trPr>
          <w:trHeight w:val="211"/>
        </w:trPr>
        <w:tc>
          <w:tcPr>
            <w:tcW w:w="678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88"/>
              </w:rPr>
              <w:t>30,852,119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9,981,373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5,307,801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15,562,945</w:t>
            </w:r>
          </w:p>
        </w:tc>
      </w:tr>
      <w:tr>
        <w:trPr>
          <w:trHeight w:val="211"/>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5,664,630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3,029,361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1,113,340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1,521,928</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w w:val="91"/>
              </w:rPr>
              <w:t>Northern Technologies International Corporation’s share of equity in income of joint ventures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2,909,120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1,505,024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677,175</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726,921</w:t>
            </w:r>
          </w:p>
        </w:tc>
      </w:tr>
    </w:tbl>
    <w:p>
      <w:pPr>
        <w:spacing w:after="0" w:line="213" w:lineRule="exact"/>
        <w:rPr>
          <w:sz w:val="20"/>
          <w:szCs w:val="20"/>
          <w:color w:val="auto"/>
        </w:rPr>
      </w:pPr>
    </w:p>
    <w:p>
      <w:pPr>
        <w:ind w:right="200"/>
        <w:spacing w:after="0" w:line="325" w:lineRule="auto"/>
        <w:rPr>
          <w:sz w:val="20"/>
          <w:szCs w:val="20"/>
          <w:color w:val="auto"/>
        </w:rPr>
      </w:pPr>
      <w:r>
        <w:rPr>
          <w:rFonts w:ascii="Arial" w:cs="Arial" w:eastAsia="Arial" w:hAnsi="Arial"/>
          <w:sz w:val="16"/>
          <w:szCs w:val="16"/>
          <w:color w:val="auto"/>
        </w:rPr>
        <w:t>The Company records expenses that are directly attributable to the joint ventures on the consolidated statements of operations on the line “Expenses incurred in support of joint ventures”. The expenses include items such as employee compensation and benefit expenses, travel expense and consulting expense.</w:t>
      </w:r>
    </w:p>
    <w:p>
      <w:pPr>
        <w:spacing w:after="0" w:line="16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December 2010, the Company invested $38,217 and in January 2010, the Company invested $30,101, in a new joint venture in Russia to specifically engage in the oil and gas industry. The Company has a 50% ownership interest in the new Russian joint venture.</w:t>
      </w:r>
    </w:p>
    <w:p>
      <w:pPr>
        <w:spacing w:after="0" w:line="201" w:lineRule="exact"/>
        <w:rPr>
          <w:sz w:val="20"/>
          <w:szCs w:val="20"/>
          <w:color w:val="auto"/>
        </w:rPr>
      </w:pPr>
    </w:p>
    <w:p>
      <w:pPr>
        <w:ind w:left="620" w:hanging="615"/>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NOTE PAYABLE AND LINE OF CREDIT</w:t>
      </w:r>
    </w:p>
    <w:p>
      <w:pPr>
        <w:spacing w:after="0" w:line="24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connection with the purchase of its corporate headquarters, in September 2006, Northern Technologies Holding Company, LLC (“NTI LLC”) obtained a term loan from PNC Bank, National Association (“PNC Bank”) with a principal amount of $1,275,000 that was to mature on May 1, 2011. On January 10, 2011, NTI LLC refinanced its term loan in the then principal amount of approximately $1,141,788. The term loan matures on January 10, 2016, bears interest at an annual rate based on the daily LIBOR rate plus 2.15% and is payable in 59 consecutive monthly installments equal to approximately $6,343 (inclusive of principal but exclusive of interest) commencing in February 2011. The term loan is secured by a first lien on the real estate and building owned by NTI LLC and all of the assets of the Company and is guaranteed by the Company.</w:t>
      </w:r>
    </w:p>
    <w:p>
      <w:pPr>
        <w:spacing w:after="0" w:line="192"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As of May 31, 2011, the Company had a revolving line of credit with PNC Bank of $3,000,000 with no amounts outstanding as of such date. As of August 31, 2010, the Company had a demand line of credit of $2,300,000 with PNC Bank with no amounts outstanding as of such date. Any advances made under the revolving line of credit are due and payable on January 10, 2012.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9" w:name="page10"/>
    <w:bookmarkEnd w:id="9"/>
    <w:p>
      <w:pPr>
        <w:ind w:right="80"/>
        <w:spacing w:after="0" w:line="280" w:lineRule="auto"/>
        <w:rPr>
          <w:sz w:val="20"/>
          <w:szCs w:val="20"/>
          <w:color w:val="auto"/>
        </w:rPr>
      </w:pPr>
      <w:r>
        <w:rPr>
          <w:rFonts w:ascii="Arial" w:cs="Arial" w:eastAsia="Arial" w:hAnsi="Arial"/>
          <w:sz w:val="16"/>
          <w:szCs w:val="16"/>
          <w:color w:val="auto"/>
        </w:rPr>
        <w:t>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Outstanding amounts under the prior demand line of credit bore interest at an annual rate based on LIBOR plus</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2.25%. As of May 31, 2011, the interest rate was 2.50% and the weighted average rate was 2.43% for the nine months ended May 31, 2011. As of May 31, 2010, the interest rate was 3.33% and the weighted average rate was 3.31% for the nine months ended May 31, 2010.</w:t>
      </w:r>
    </w:p>
    <w:p>
      <w:pPr>
        <w:spacing w:after="0" w:line="218" w:lineRule="exact"/>
        <w:rPr>
          <w:sz w:val="20"/>
          <w:szCs w:val="20"/>
          <w:color w:val="auto"/>
        </w:rPr>
      </w:pPr>
    </w:p>
    <w:p>
      <w:pPr>
        <w:ind w:right="20"/>
        <w:spacing w:after="0" w:line="316" w:lineRule="auto"/>
        <w:rPr>
          <w:sz w:val="20"/>
          <w:szCs w:val="20"/>
          <w:color w:val="auto"/>
        </w:rPr>
      </w:pPr>
      <w:r>
        <w:rPr>
          <w:rFonts w:ascii="Arial" w:cs="Arial" w:eastAsia="Arial" w:hAnsi="Arial"/>
          <w:sz w:val="15"/>
          <w:szCs w:val="15"/>
          <w:color w:val="auto"/>
        </w:rPr>
        <w:t>Both the term loan and the line of credit are governed under two separate loan agreements (collectively, the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the Company is subject to a minimum fixed charge coverage ratio of 1.10:1.00.</w:t>
      </w:r>
    </w:p>
    <w:p>
      <w:pPr>
        <w:spacing w:after="0" w:line="167" w:lineRule="exact"/>
        <w:rPr>
          <w:sz w:val="20"/>
          <w:szCs w:val="20"/>
          <w:color w:val="auto"/>
        </w:rPr>
      </w:pPr>
    </w:p>
    <w:p>
      <w:pPr>
        <w:ind w:left="620" w:hanging="615"/>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During the nine months ended May 31, 2011, the Company did not purchase or retire any shares of its common stock. The following stock options to purchase shares of common stock were exercised during the nine months ended May 31, 2011:</w:t>
      </w:r>
    </w:p>
    <w:p>
      <w:pPr>
        <w:spacing w:after="0" w:line="220" w:lineRule="exact"/>
        <w:rPr>
          <w:sz w:val="20"/>
          <w:szCs w:val="20"/>
          <w:color w:val="auto"/>
        </w:rPr>
      </w:pPr>
    </w:p>
    <w:tbl>
      <w:tblPr>
        <w:tblLayout w:type="fixed"/>
        <w:tblInd w:w="3500" w:type="dxa"/>
        <w:tblCellMar>
          <w:top w:w="0" w:type="dxa"/>
          <w:left w:w="0" w:type="dxa"/>
          <w:bottom w:w="0" w:type="dxa"/>
          <w:right w:w="0" w:type="dxa"/>
        </w:tblCellMar>
      </w:tblPr>
      <w:tr>
        <w:trPr>
          <w:trHeight w:val="223"/>
        </w:trPr>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Options Exercised</w:t>
            </w:r>
          </w:p>
        </w:tc>
        <w:tc>
          <w:tcPr>
            <w:tcW w:w="10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0"/>
              </w:rPr>
              <w:t>Exercise Price</w:t>
            </w:r>
          </w:p>
        </w:tc>
      </w:tr>
      <w:tr>
        <w:trPr>
          <w:trHeight w:val="204"/>
        </w:trPr>
        <w:tc>
          <w:tcPr>
            <w:tcW w:w="1480" w:type="dxa"/>
            <w:vAlign w:val="bottom"/>
            <w:shd w:val="clear" w:color="auto" w:fill="CCEEFF"/>
          </w:tcPr>
          <w:p>
            <w:pPr>
              <w:jc w:val="right"/>
              <w:ind w:right="552"/>
              <w:spacing w:after="0" w:line="205" w:lineRule="exact"/>
              <w:rPr>
                <w:sz w:val="20"/>
                <w:szCs w:val="20"/>
                <w:color w:val="auto"/>
              </w:rPr>
            </w:pPr>
            <w:r>
              <w:rPr>
                <w:rFonts w:ascii="Arial" w:cs="Arial" w:eastAsia="Arial" w:hAnsi="Arial"/>
                <w:sz w:val="18"/>
                <w:szCs w:val="18"/>
                <w:color w:val="auto"/>
              </w:rPr>
              <w:t>40,000</w:t>
            </w:r>
          </w:p>
        </w:tc>
        <w:tc>
          <w:tcPr>
            <w:tcW w:w="144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32"/>
              <w:spacing w:after="0" w:line="205" w:lineRule="exact"/>
              <w:rPr>
                <w:sz w:val="20"/>
                <w:szCs w:val="20"/>
                <w:color w:val="auto"/>
              </w:rPr>
            </w:pPr>
            <w:r>
              <w:rPr>
                <w:rFonts w:ascii="Arial" w:cs="Arial" w:eastAsia="Arial" w:hAnsi="Arial"/>
                <w:sz w:val="18"/>
                <w:szCs w:val="18"/>
                <w:color w:val="auto"/>
              </w:rPr>
              <w:t>5.38</w:t>
            </w:r>
          </w:p>
        </w:tc>
      </w:tr>
      <w:tr>
        <w:trPr>
          <w:trHeight w:val="211"/>
        </w:trPr>
        <w:tc>
          <w:tcPr>
            <w:tcW w:w="1480" w:type="dxa"/>
            <w:vAlign w:val="bottom"/>
          </w:tcPr>
          <w:p>
            <w:pPr>
              <w:jc w:val="right"/>
              <w:ind w:right="552"/>
              <w:spacing w:after="0"/>
              <w:rPr>
                <w:sz w:val="20"/>
                <w:szCs w:val="20"/>
                <w:color w:val="auto"/>
              </w:rPr>
            </w:pPr>
            <w:r>
              <w:rPr>
                <w:rFonts w:ascii="Arial" w:cs="Arial" w:eastAsia="Arial" w:hAnsi="Arial"/>
                <w:sz w:val="18"/>
                <w:szCs w:val="18"/>
                <w:color w:val="auto"/>
              </w:rPr>
              <w:t>2,000</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532"/>
              <w:spacing w:after="0"/>
              <w:rPr>
                <w:sz w:val="20"/>
                <w:szCs w:val="20"/>
                <w:color w:val="auto"/>
              </w:rPr>
            </w:pPr>
            <w:r>
              <w:rPr>
                <w:rFonts w:ascii="Arial" w:cs="Arial" w:eastAsia="Arial" w:hAnsi="Arial"/>
                <w:sz w:val="18"/>
                <w:szCs w:val="18"/>
                <w:color w:val="auto"/>
              </w:rPr>
              <w:t>7.65</w:t>
            </w:r>
          </w:p>
        </w:tc>
      </w:tr>
      <w:tr>
        <w:trPr>
          <w:trHeight w:val="211"/>
        </w:trPr>
        <w:tc>
          <w:tcPr>
            <w:tcW w:w="148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666</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7.75</w:t>
            </w:r>
          </w:p>
        </w:tc>
      </w:tr>
      <w:tr>
        <w:trPr>
          <w:trHeight w:val="211"/>
        </w:trPr>
        <w:tc>
          <w:tcPr>
            <w:tcW w:w="1480" w:type="dxa"/>
            <w:vAlign w:val="bottom"/>
          </w:tcPr>
          <w:p>
            <w:pPr>
              <w:jc w:val="right"/>
              <w:ind w:right="552"/>
              <w:spacing w:after="0"/>
              <w:rPr>
                <w:sz w:val="20"/>
                <w:szCs w:val="20"/>
                <w:color w:val="auto"/>
              </w:rPr>
            </w:pPr>
            <w:r>
              <w:rPr>
                <w:rFonts w:ascii="Arial" w:cs="Arial" w:eastAsia="Arial" w:hAnsi="Arial"/>
                <w:sz w:val="18"/>
                <w:szCs w:val="18"/>
                <w:color w:val="auto"/>
              </w:rPr>
              <w:t>2,000</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532"/>
              <w:spacing w:after="0"/>
              <w:rPr>
                <w:sz w:val="20"/>
                <w:szCs w:val="20"/>
                <w:color w:val="auto"/>
              </w:rPr>
            </w:pPr>
            <w:r>
              <w:rPr>
                <w:rFonts w:ascii="Arial" w:cs="Arial" w:eastAsia="Arial" w:hAnsi="Arial"/>
                <w:sz w:val="18"/>
                <w:szCs w:val="18"/>
                <w:color w:val="auto"/>
              </w:rPr>
              <w:t>8.01</w:t>
            </w:r>
          </w:p>
        </w:tc>
      </w:tr>
      <w:tr>
        <w:trPr>
          <w:trHeight w:val="211"/>
        </w:trPr>
        <w:tc>
          <w:tcPr>
            <w:tcW w:w="148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4,000</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8.57</w:t>
            </w:r>
          </w:p>
        </w:tc>
      </w:tr>
      <w:tr>
        <w:trPr>
          <w:trHeight w:val="211"/>
        </w:trPr>
        <w:tc>
          <w:tcPr>
            <w:tcW w:w="1480" w:type="dxa"/>
            <w:vAlign w:val="bottom"/>
          </w:tcPr>
          <w:p>
            <w:pPr>
              <w:jc w:val="right"/>
              <w:ind w:right="552"/>
              <w:spacing w:after="0"/>
              <w:rPr>
                <w:sz w:val="20"/>
                <w:szCs w:val="20"/>
                <w:color w:val="auto"/>
              </w:rPr>
            </w:pPr>
            <w:r>
              <w:rPr>
                <w:rFonts w:ascii="Arial" w:cs="Arial" w:eastAsia="Arial" w:hAnsi="Arial"/>
                <w:sz w:val="18"/>
                <w:szCs w:val="18"/>
                <w:color w:val="auto"/>
              </w:rPr>
              <w:t>1,334</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532"/>
              <w:spacing w:after="0"/>
              <w:rPr>
                <w:sz w:val="20"/>
                <w:szCs w:val="20"/>
                <w:color w:val="auto"/>
              </w:rPr>
            </w:pPr>
            <w:r>
              <w:rPr>
                <w:rFonts w:ascii="Arial" w:cs="Arial" w:eastAsia="Arial" w:hAnsi="Arial"/>
                <w:sz w:val="18"/>
                <w:szCs w:val="18"/>
                <w:color w:val="auto"/>
              </w:rPr>
              <w:t>9.75</w:t>
            </w:r>
          </w:p>
        </w:tc>
      </w:tr>
      <w:tr>
        <w:trPr>
          <w:trHeight w:val="211"/>
        </w:trPr>
        <w:tc>
          <w:tcPr>
            <w:tcW w:w="148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4,000</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9.76</w:t>
            </w:r>
          </w:p>
        </w:tc>
      </w:tr>
      <w:tr>
        <w:trPr>
          <w:trHeight w:val="223"/>
        </w:trPr>
        <w:tc>
          <w:tcPr>
            <w:tcW w:w="1480" w:type="dxa"/>
            <w:vAlign w:val="bottom"/>
          </w:tcPr>
          <w:p>
            <w:pPr>
              <w:jc w:val="right"/>
              <w:ind w:right="552"/>
              <w:spacing w:after="0"/>
              <w:rPr>
                <w:sz w:val="20"/>
                <w:szCs w:val="20"/>
                <w:color w:val="auto"/>
              </w:rPr>
            </w:pPr>
            <w:r>
              <w:rPr>
                <w:rFonts w:ascii="Arial" w:cs="Arial" w:eastAsia="Arial" w:hAnsi="Arial"/>
                <w:sz w:val="18"/>
                <w:szCs w:val="18"/>
                <w:color w:val="auto"/>
              </w:rPr>
              <w:t>5,333</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ind w:right="532"/>
              <w:spacing w:after="0"/>
              <w:rPr>
                <w:sz w:val="20"/>
                <w:szCs w:val="20"/>
                <w:color w:val="auto"/>
              </w:rPr>
            </w:pPr>
            <w:r>
              <w:rPr>
                <w:rFonts w:ascii="Arial" w:cs="Arial" w:eastAsia="Arial" w:hAnsi="Arial"/>
                <w:sz w:val="18"/>
                <w:szCs w:val="18"/>
                <w:color w:val="auto"/>
              </w:rPr>
              <w:t>12.84</w:t>
            </w:r>
          </w:p>
        </w:tc>
      </w:tr>
    </w:tbl>
    <w:p>
      <w:pPr>
        <w:spacing w:after="0" w:line="213" w:lineRule="exact"/>
        <w:rPr>
          <w:sz w:val="20"/>
          <w:szCs w:val="20"/>
          <w:color w:val="auto"/>
        </w:rPr>
      </w:pPr>
    </w:p>
    <w:p>
      <w:pPr>
        <w:ind w:right="40"/>
        <w:spacing w:after="0" w:line="325" w:lineRule="auto"/>
        <w:rPr>
          <w:sz w:val="20"/>
          <w:szCs w:val="20"/>
          <w:color w:val="auto"/>
        </w:rPr>
      </w:pPr>
      <w:r>
        <w:rPr>
          <w:rFonts w:ascii="Arial" w:cs="Arial" w:eastAsia="Arial" w:hAnsi="Arial"/>
          <w:sz w:val="16"/>
          <w:szCs w:val="16"/>
          <w:color w:val="auto"/>
        </w:rPr>
        <w:t>The Company granted stock options under the Northern Technologies International Corporation Amended and Restated 2007 Stock Incentive Plan to purchase an aggregate of 30,000 shares of its common stock to various employees and directors during the nine months ended May 31, 2011.</w:t>
      </w:r>
    </w:p>
    <w:p>
      <w:pPr>
        <w:spacing w:after="0" w:line="161"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During the nine months ended May 31, 2011, the Company granted stock bonuses under the Northern Technologies International Corporation Amended and Restated 2007 Stock Incentive Plan for an aggregate of 22,686 shares of its common stock to various employees. The fair value of the shares of the Company’s common stock as of the date of grant of the stock bonuses was $319,649, based on the closing sale price of a share of the Company’s common stock on the date of grant. The fair value of common stock granted during the nine months ended May 31, 2011 was based on fiscal 2010 performance and was included in accrued liabilities at August 31, 2010.</w:t>
      </w:r>
    </w:p>
    <w:p>
      <w:pPr>
        <w:spacing w:after="0" w:line="21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During the nine months ended May 31, 2010, the Company did not purchase or retire any shares of its common stock. The following stock options to purchase shares of common stock were exercised during the nine months ended May 31, 2010: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00" w:type="dxa"/>
            <w:vAlign w:val="bottom"/>
          </w:tcPr>
          <w:p>
            <w:pPr>
              <w:spacing w:after="0"/>
              <w:rPr>
                <w:sz w:val="19"/>
                <w:szCs w:val="19"/>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Options Exercised</w:t>
            </w:r>
          </w:p>
        </w:tc>
        <w:tc>
          <w:tcPr>
            <w:tcW w:w="10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0"/>
              </w:rPr>
              <w:t>Exercise Price</w:t>
            </w:r>
          </w:p>
        </w:tc>
        <w:tc>
          <w:tcPr>
            <w:tcW w:w="3480" w:type="dxa"/>
            <w:vAlign w:val="bottom"/>
          </w:tcPr>
          <w:p>
            <w:pPr>
              <w:spacing w:after="0"/>
              <w:rPr>
                <w:sz w:val="19"/>
                <w:szCs w:val="19"/>
                <w:color w:val="auto"/>
              </w:rPr>
            </w:pPr>
          </w:p>
        </w:tc>
      </w:tr>
      <w:tr>
        <w:trPr>
          <w:trHeight w:val="204"/>
        </w:trPr>
        <w:tc>
          <w:tcPr>
            <w:tcW w:w="3500" w:type="dxa"/>
            <w:vAlign w:val="bottom"/>
          </w:tcPr>
          <w:p>
            <w:pPr>
              <w:spacing w:after="0"/>
              <w:rPr>
                <w:sz w:val="17"/>
                <w:szCs w:val="17"/>
                <w:color w:val="auto"/>
              </w:rPr>
            </w:pPr>
          </w:p>
        </w:tc>
        <w:tc>
          <w:tcPr>
            <w:tcW w:w="1480" w:type="dxa"/>
            <w:vAlign w:val="bottom"/>
            <w:shd w:val="clear" w:color="auto" w:fill="CCEEFF"/>
          </w:tcPr>
          <w:p>
            <w:pPr>
              <w:jc w:val="right"/>
              <w:ind w:right="632"/>
              <w:spacing w:after="0" w:line="205" w:lineRule="exact"/>
              <w:rPr>
                <w:sz w:val="20"/>
                <w:szCs w:val="20"/>
                <w:color w:val="auto"/>
              </w:rPr>
            </w:pPr>
            <w:r>
              <w:rPr>
                <w:rFonts w:ascii="Arial" w:cs="Arial" w:eastAsia="Arial" w:hAnsi="Arial"/>
                <w:sz w:val="18"/>
                <w:szCs w:val="18"/>
                <w:color w:val="auto"/>
              </w:rPr>
              <w:t>1,500</w:t>
            </w:r>
          </w:p>
        </w:tc>
        <w:tc>
          <w:tcPr>
            <w:tcW w:w="144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32"/>
              <w:spacing w:after="0" w:line="205" w:lineRule="exact"/>
              <w:rPr>
                <w:sz w:val="20"/>
                <w:szCs w:val="20"/>
                <w:color w:val="auto"/>
              </w:rPr>
            </w:pPr>
            <w:r>
              <w:rPr>
                <w:rFonts w:ascii="Arial" w:cs="Arial" w:eastAsia="Arial" w:hAnsi="Arial"/>
                <w:sz w:val="18"/>
                <w:szCs w:val="18"/>
                <w:color w:val="auto"/>
              </w:rPr>
              <w:t>6.15</w:t>
            </w:r>
          </w:p>
        </w:tc>
        <w:tc>
          <w:tcPr>
            <w:tcW w:w="3480" w:type="dxa"/>
            <w:vAlign w:val="bottom"/>
          </w:tcPr>
          <w:p>
            <w:pPr>
              <w:spacing w:after="0"/>
              <w:rPr>
                <w:sz w:val="17"/>
                <w:szCs w:val="17"/>
                <w:color w:val="auto"/>
              </w:rPr>
            </w:pPr>
          </w:p>
        </w:tc>
      </w:tr>
      <w:tr>
        <w:trPr>
          <w:trHeight w:val="211"/>
        </w:trPr>
        <w:tc>
          <w:tcPr>
            <w:tcW w:w="3500" w:type="dxa"/>
            <w:vAlign w:val="bottom"/>
          </w:tcPr>
          <w:p>
            <w:pPr>
              <w:spacing w:after="0"/>
              <w:rPr>
                <w:sz w:val="18"/>
                <w:szCs w:val="18"/>
                <w:color w:val="auto"/>
              </w:rPr>
            </w:pPr>
          </w:p>
        </w:tc>
        <w:tc>
          <w:tcPr>
            <w:tcW w:w="1480" w:type="dxa"/>
            <w:vAlign w:val="bottom"/>
          </w:tcPr>
          <w:p>
            <w:pPr>
              <w:jc w:val="right"/>
              <w:ind w:right="632"/>
              <w:spacing w:after="0"/>
              <w:rPr>
                <w:sz w:val="20"/>
                <w:szCs w:val="20"/>
                <w:color w:val="auto"/>
              </w:rPr>
            </w:pPr>
            <w:r>
              <w:rPr>
                <w:rFonts w:ascii="Arial" w:cs="Arial" w:eastAsia="Arial" w:hAnsi="Arial"/>
                <w:sz w:val="18"/>
                <w:szCs w:val="18"/>
                <w:color w:val="auto"/>
              </w:rPr>
              <w:t>8,000</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jc w:val="right"/>
              <w:ind w:right="532"/>
              <w:spacing w:after="0"/>
              <w:rPr>
                <w:sz w:val="20"/>
                <w:szCs w:val="20"/>
                <w:color w:val="auto"/>
              </w:rPr>
            </w:pPr>
            <w:r>
              <w:rPr>
                <w:rFonts w:ascii="Arial" w:cs="Arial" w:eastAsia="Arial" w:hAnsi="Arial"/>
                <w:sz w:val="18"/>
                <w:szCs w:val="18"/>
                <w:color w:val="auto"/>
              </w:rPr>
              <w:t>5.38</w:t>
            </w:r>
          </w:p>
        </w:tc>
        <w:tc>
          <w:tcPr>
            <w:tcW w:w="3480" w:type="dxa"/>
            <w:vAlign w:val="bottom"/>
          </w:tcPr>
          <w:p>
            <w:pPr>
              <w:spacing w:after="0"/>
              <w:rPr>
                <w:sz w:val="18"/>
                <w:szCs w:val="18"/>
                <w:color w:val="auto"/>
              </w:rPr>
            </w:pPr>
          </w:p>
        </w:tc>
      </w:tr>
      <w:tr>
        <w:trPr>
          <w:trHeight w:val="211"/>
        </w:trPr>
        <w:tc>
          <w:tcPr>
            <w:tcW w:w="3500" w:type="dxa"/>
            <w:vAlign w:val="bottom"/>
          </w:tcPr>
          <w:p>
            <w:pPr>
              <w:spacing w:after="0"/>
              <w:rPr>
                <w:sz w:val="18"/>
                <w:szCs w:val="18"/>
                <w:color w:val="auto"/>
              </w:rPr>
            </w:pPr>
          </w:p>
        </w:tc>
        <w:tc>
          <w:tcPr>
            <w:tcW w:w="148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2,000</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5.75</w:t>
            </w:r>
          </w:p>
        </w:tc>
        <w:tc>
          <w:tcPr>
            <w:tcW w:w="3480" w:type="dxa"/>
            <w:vAlign w:val="bottom"/>
          </w:tcPr>
          <w:p>
            <w:pPr>
              <w:spacing w:after="0"/>
              <w:rPr>
                <w:sz w:val="18"/>
                <w:szCs w:val="18"/>
                <w:color w:val="auto"/>
              </w:rPr>
            </w:pPr>
          </w:p>
        </w:tc>
      </w:tr>
      <w:tr>
        <w:trPr>
          <w:trHeight w:val="593"/>
        </w:trPr>
        <w:tc>
          <w:tcPr>
            <w:tcW w:w="3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42"/>
        </w:trPr>
        <w:tc>
          <w:tcPr>
            <w:tcW w:w="3500" w:type="dxa"/>
            <w:vAlign w:val="bottom"/>
            <w:tcBorders>
              <w:bottom w:val="single" w:sz="8" w:color="808080"/>
            </w:tcBorders>
          </w:tcPr>
          <w:p>
            <w:pPr>
              <w:spacing w:after="0"/>
              <w:rPr>
                <w:sz w:val="12"/>
                <w:szCs w:val="12"/>
                <w:color w:val="auto"/>
              </w:rPr>
            </w:pPr>
          </w:p>
        </w:tc>
        <w:tc>
          <w:tcPr>
            <w:tcW w:w="148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348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0" w:name="page11"/>
    <w:bookmarkEnd w:id="10"/>
    <w:p>
      <w:pPr>
        <w:ind w:right="180"/>
        <w:spacing w:after="0" w:line="262" w:lineRule="auto"/>
        <w:rPr>
          <w:sz w:val="20"/>
          <w:szCs w:val="20"/>
          <w:color w:val="auto"/>
        </w:rPr>
      </w:pPr>
      <w:r>
        <w:rPr>
          <w:rFonts w:ascii="Arial" w:cs="Arial" w:eastAsia="Arial" w:hAnsi="Arial"/>
          <w:sz w:val="18"/>
          <w:szCs w:val="18"/>
          <w:color w:val="auto"/>
        </w:rPr>
        <w:t>The Company granted stock options under the Northern Technologies International Corporation 2007 Stock Incentive Plan to purchase an aggregate of 128,333 shares of its common stock to various employees and directors during the nine months ended May 31, 2010.</w:t>
      </w:r>
    </w:p>
    <w:p>
      <w:pPr>
        <w:spacing w:after="0" w:line="20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September 2009, the Company completed a $3,552,000 registered direct offering in which it sold an aggregate of 480,000 shares of its common stock to institutional investors at a purchase price of $7.40 per share, resulting in net proceeds of $3,195,613, after deducting placement agent fees and expenses and the Company’s offering expenses.</w:t>
      </w:r>
    </w:p>
    <w:p>
      <w:pPr>
        <w:spacing w:after="0" w:line="210" w:lineRule="exact"/>
        <w:rPr>
          <w:sz w:val="20"/>
          <w:szCs w:val="20"/>
          <w:color w:val="auto"/>
        </w:rPr>
      </w:pPr>
    </w:p>
    <w:p>
      <w:pPr>
        <w:ind w:left="620" w:hanging="615"/>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TOTAL COMPREHENSIVE INCOME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The Company’s total comprehensive income (loss) was as follows: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48"/>
        </w:trPr>
        <w:tc>
          <w:tcPr>
            <w:tcW w:w="4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8"/>
                <w:szCs w:val="18"/>
                <w:b w:val="1"/>
                <w:bCs w:val="1"/>
                <w:color w:val="auto"/>
                <w:w w:val="97"/>
              </w:rPr>
              <w:t>Nine Months Ended</w:t>
            </w:r>
          </w:p>
        </w:tc>
      </w:tr>
      <w:tr>
        <w:trPr>
          <w:trHeight w:val="205"/>
        </w:trPr>
        <w:tc>
          <w:tcPr>
            <w:tcW w:w="4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10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98"/>
              </w:rPr>
              <w:t>May 31, 2011</w:t>
            </w: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98"/>
              </w:rPr>
              <w:t>May 31, 2010</w:t>
            </w: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jc w:val="right"/>
              <w:ind w:right="12"/>
              <w:spacing w:after="0" w:line="205" w:lineRule="exact"/>
              <w:rPr>
                <w:sz w:val="20"/>
                <w:szCs w:val="20"/>
                <w:color w:val="auto"/>
              </w:rPr>
            </w:pPr>
            <w:r>
              <w:rPr>
                <w:rFonts w:ascii="Arial" w:cs="Arial" w:eastAsia="Arial" w:hAnsi="Arial"/>
                <w:sz w:val="18"/>
                <w:szCs w:val="18"/>
                <w:b w:val="1"/>
                <w:bCs w:val="1"/>
                <w:color w:val="auto"/>
                <w:w w:val="88"/>
              </w:rPr>
              <w:t>May 31, 2011</w:t>
            </w: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98"/>
              </w:rPr>
              <w:t>May 31, 2010</w:t>
            </w:r>
          </w:p>
        </w:tc>
      </w:tr>
      <w:tr>
        <w:trPr>
          <w:trHeight w:val="204"/>
        </w:trPr>
        <w:tc>
          <w:tcPr>
            <w:tcW w:w="672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1,023,549</w:t>
            </w:r>
          </w:p>
        </w:tc>
        <w:tc>
          <w:tcPr>
            <w:tcW w:w="26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951,968</w:t>
            </w:r>
          </w:p>
        </w:tc>
        <w:tc>
          <w:tcPr>
            <w:tcW w:w="300" w:type="dxa"/>
            <w:vAlign w:val="bottom"/>
            <w:gridSpan w:val="2"/>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2,872,369</w:t>
            </w:r>
          </w:p>
        </w:tc>
        <w:tc>
          <w:tcPr>
            <w:tcW w:w="26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rPr>
              <w:t>1,734,314</w:t>
            </w:r>
          </w:p>
        </w:tc>
      </w:tr>
      <w:tr>
        <w:trPr>
          <w:trHeight w:val="211"/>
        </w:trPr>
        <w:tc>
          <w:tcPr>
            <w:tcW w:w="6720" w:type="dxa"/>
            <w:vAlign w:val="bottom"/>
            <w:gridSpan w:val="2"/>
          </w:tcPr>
          <w:p>
            <w:pPr>
              <w:spacing w:after="0"/>
              <w:rPr>
                <w:sz w:val="20"/>
                <w:szCs w:val="20"/>
                <w:color w:val="auto"/>
              </w:rPr>
            </w:pPr>
            <w:r>
              <w:rPr>
                <w:rFonts w:ascii="Arial" w:cs="Arial" w:eastAsia="Arial" w:hAnsi="Arial"/>
                <w:sz w:val="18"/>
                <w:szCs w:val="18"/>
                <w:color w:val="auto"/>
              </w:rPr>
              <w:t>Other comprehensive income (loss) – foreign currency translation adjustment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576,937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(1,379,530)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7"/>
              </w:rPr>
              <w:t>1,735,139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(1,483,466)</w:t>
            </w:r>
          </w:p>
        </w:tc>
      </w:tr>
      <w:tr>
        <w:trPr>
          <w:trHeight w:val="257"/>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1,600,486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(427,562)</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4,607,508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250,848</w:t>
            </w:r>
          </w:p>
        </w:tc>
      </w:tr>
      <w:tr>
        <w:trPr>
          <w:trHeight w:val="427"/>
        </w:trPr>
        <w:tc>
          <w:tcPr>
            <w:tcW w:w="4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10.</w:t>
            </w:r>
          </w:p>
        </w:tc>
        <w:tc>
          <w:tcPr>
            <w:tcW w:w="6260" w:type="dxa"/>
            <w:vAlign w:val="bottom"/>
            <w:tcBorders>
              <w:top w:val="single" w:sz="8" w:color="CCEEFF"/>
            </w:tcBorders>
          </w:tcPr>
          <w:p>
            <w:pPr>
              <w:ind w:left="240"/>
              <w:spacing w:after="0"/>
              <w:rPr>
                <w:sz w:val="20"/>
                <w:szCs w:val="20"/>
                <w:color w:val="auto"/>
              </w:rPr>
            </w:pPr>
            <w:r>
              <w:rPr>
                <w:rFonts w:ascii="Arial" w:cs="Arial" w:eastAsia="Arial" w:hAnsi="Arial"/>
                <w:sz w:val="18"/>
                <w:szCs w:val="18"/>
                <w:b w:val="1"/>
                <w:bCs w:val="1"/>
                <w:color w:val="auto"/>
              </w:rPr>
              <w:t>NET INCOME PER COMMON SHARE</w:t>
            </w: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bl>
    <w:p>
      <w:pPr>
        <w:spacing w:after="0" w:line="22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207"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No options to purchase shares of common stock were excluded from the computation of common share equivalents for both the three and nine months ended May 31, 2011. Options to purchase shares of common stock of 39,000 were excluded from the computation of common share equivalents for both the three and nine months ended May 31, 2010, as stock option exercise prices were greater than the market price of a share of common stock.</w:t>
      </w:r>
    </w:p>
    <w:p>
      <w:pPr>
        <w:spacing w:after="0" w:line="174" w:lineRule="exact"/>
        <w:rPr>
          <w:sz w:val="20"/>
          <w:szCs w:val="20"/>
          <w:color w:val="auto"/>
        </w:rPr>
      </w:pPr>
    </w:p>
    <w:p>
      <w:pPr>
        <w:ind w:left="700" w:hanging="695"/>
        <w:spacing w:after="0"/>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several stock-based compensation plans under which stock options and other stock-based awards have been granted, including the Northern Technologies International Corporation Amended and Restated 2007 Stock Incentive Plan (the “2007 Plan”), the Northern Technologies International Corporation 2000 Stock Incentive Plan (the “2000 Plan”) and the Northern Technologies International Corporation Employee Stock Purchase Plan (the “ESPP”). The Compensation Committee of the Board of Directors and the Board of Directors administers all of these plans.</w:t>
      </w:r>
    </w:p>
    <w:p>
      <w:pPr>
        <w:spacing w:after="0" w:line="189"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The 2007 Plan replaced the 2000 Plan, which was terminated with respect to future grants, but continues to govern grants outstanding under such plan. 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plus the number of shares subject to awards outstanding under the prior 2000 Plan as of January 20, 2011 but only to the extent that such outstanding awards are forfeited, expire or otherwise terminate without the issuance of such shares, are available for issuance under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1" w:name="page12"/>
    <w:bookmarkEnd w:id="11"/>
    <w:p>
      <w:pPr>
        <w:ind w:right="20"/>
        <w:spacing w:after="0" w:line="249"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8" w:lineRule="exact"/>
        <w:rPr>
          <w:sz w:val="20"/>
          <w:szCs w:val="20"/>
          <w:color w:val="auto"/>
        </w:rPr>
      </w:pPr>
    </w:p>
    <w:p>
      <w:pPr>
        <w:ind w:right="300"/>
        <w:spacing w:after="0" w:line="282" w:lineRule="auto"/>
        <w:rPr>
          <w:sz w:val="20"/>
          <w:szCs w:val="20"/>
          <w:color w:val="auto"/>
        </w:rPr>
      </w:pPr>
      <w:r>
        <w:rPr>
          <w:rFonts w:ascii="Arial" w:cs="Arial" w:eastAsia="Arial" w:hAnsi="Arial"/>
          <w:sz w:val="16"/>
          <w:szCs w:val="16"/>
          <w:color w:val="auto"/>
        </w:rPr>
        <w:t>The Company granted options to purchase 30,000 and 128,333 shares of its common stock during the nine months ended May 31, 2011 and 2010, respectively. The fair value of option grants is determined at date of grant, using the Black-Scholes option pricing model with the assumptions listed below. Based on these valuations, the Company recognized compensation expense of $150,109 and $141,315 during the nine months ended May 31, 2011 and 2010, respectively, related to the options that vested during such time period. The stock-based expense recorded reduced after-tax net income per share by $0.02 for each of the nine months ended May 31, 2011 and 2010. As of May 31, 2011, the total compensation cost for non-vested options not yet recognized in the Company’s consolidated statements of operations was $193,334 net of estimated forfeitures. Additional stock-based compensation expense of $39,366 is expected through the remainder of fiscal year 2011, and expense of $125,891 and $28,076 is expected to be recognized during fiscal 2012 and fiscal 2013, respectively. Future option grants will impact the compensation expense recognized.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24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00" w:type="dxa"/>
            <w:vAlign w:val="bottom"/>
          </w:tcPr>
          <w:p>
            <w:pPr>
              <w:spacing w:after="0"/>
              <w:rPr>
                <w:sz w:val="19"/>
                <w:szCs w:val="19"/>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5"/>
              </w:rPr>
              <w:t>May 31,</w:t>
            </w:r>
          </w:p>
        </w:tc>
        <w:tc>
          <w:tcPr>
            <w:tcW w:w="840" w:type="dxa"/>
            <w:vAlign w:val="bottom"/>
            <w:tcBorders>
              <w:bottom w:val="single" w:sz="8" w:color="auto"/>
            </w:tcBorders>
          </w:tcPr>
          <w:p>
            <w:pPr>
              <w:spacing w:after="0"/>
              <w:rPr>
                <w:sz w:val="19"/>
                <w:szCs w:val="19"/>
                <w:color w:val="auto"/>
              </w:rPr>
            </w:pPr>
          </w:p>
        </w:tc>
      </w:tr>
      <w:tr>
        <w:trPr>
          <w:trHeight w:val="204"/>
        </w:trPr>
        <w:tc>
          <w:tcPr>
            <w:tcW w:w="9200" w:type="dxa"/>
            <w:vAlign w:val="bottom"/>
          </w:tcPr>
          <w:p>
            <w:pPr>
              <w:spacing w:after="0"/>
              <w:rPr>
                <w:sz w:val="17"/>
                <w:szCs w:val="17"/>
                <w:color w:val="auto"/>
              </w:rPr>
            </w:pPr>
          </w:p>
        </w:tc>
        <w:tc>
          <w:tcPr>
            <w:tcW w:w="1060" w:type="dxa"/>
            <w:vAlign w:val="bottom"/>
            <w:tcBorders>
              <w:bottom w:val="single" w:sz="8" w:color="auto"/>
            </w:tcBorders>
          </w:tcPr>
          <w:p>
            <w:pPr>
              <w:jc w:val="right"/>
              <w:ind w:right="352"/>
              <w:spacing w:after="0" w:line="205" w:lineRule="exact"/>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2"/>
              <w:spacing w:after="0" w:line="205" w:lineRule="exact"/>
              <w:rPr>
                <w:sz w:val="20"/>
                <w:szCs w:val="20"/>
                <w:color w:val="auto"/>
              </w:rPr>
            </w:pPr>
            <w:r>
              <w:rPr>
                <w:rFonts w:ascii="Arial" w:cs="Arial" w:eastAsia="Arial" w:hAnsi="Arial"/>
                <w:sz w:val="18"/>
                <w:szCs w:val="18"/>
                <w:b w:val="1"/>
                <w:bCs w:val="1"/>
                <w:color w:val="auto"/>
                <w:w w:val="99"/>
              </w:rPr>
              <w:t>2010</w:t>
            </w:r>
          </w:p>
        </w:tc>
      </w:tr>
      <w:tr>
        <w:trPr>
          <w:trHeight w:val="204"/>
        </w:trPr>
        <w:tc>
          <w:tcPr>
            <w:tcW w:w="92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Dividend yield</w:t>
            </w:r>
          </w:p>
        </w:tc>
        <w:tc>
          <w:tcPr>
            <w:tcW w:w="10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0.00%</w:t>
            </w:r>
          </w:p>
        </w:tc>
      </w:tr>
      <w:tr>
        <w:trPr>
          <w:trHeight w:val="211"/>
        </w:trPr>
        <w:tc>
          <w:tcPr>
            <w:tcW w:w="9200" w:type="dxa"/>
            <w:vAlign w:val="bottom"/>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11"/>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3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5 years</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 years</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0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w:t>
            </w:r>
          </w:p>
        </w:tc>
      </w:tr>
    </w:tbl>
    <w:p>
      <w:pPr>
        <w:spacing w:after="0" w:line="213" w:lineRule="exact"/>
        <w:rPr>
          <w:sz w:val="20"/>
          <w:szCs w:val="20"/>
          <w:color w:val="auto"/>
        </w:rPr>
      </w:pPr>
    </w:p>
    <w:p>
      <w:pPr>
        <w:ind w:right="480"/>
        <w:spacing w:after="0" w:line="325" w:lineRule="auto"/>
        <w:rPr>
          <w:sz w:val="20"/>
          <w:szCs w:val="20"/>
          <w:color w:val="auto"/>
        </w:rPr>
      </w:pPr>
      <w:r>
        <w:rPr>
          <w:rFonts w:ascii="Arial" w:cs="Arial" w:eastAsia="Arial" w:hAnsi="Arial"/>
          <w:sz w:val="16"/>
          <w:szCs w:val="16"/>
          <w:color w:val="auto"/>
        </w:rPr>
        <w:t>The weighted average per share fair value of options granted during the nine months ended May 31, 2011 and 2010 was $3.60 and $2.98, respectively. The weighted average remaining contractual life of the options outstanding as of May 31, 2011 and 2010 was 2.94 years and 2.71 years, respectively.</w:t>
      </w:r>
    </w:p>
    <w:p>
      <w:pPr>
        <w:spacing w:after="0" w:line="155" w:lineRule="exact"/>
        <w:rPr>
          <w:sz w:val="20"/>
          <w:szCs w:val="20"/>
          <w:color w:val="auto"/>
        </w:rPr>
      </w:pPr>
    </w:p>
    <w:p>
      <w:pPr>
        <w:ind w:left="700" w:hanging="695"/>
        <w:spacing w:after="0"/>
        <w:tabs>
          <w:tab w:leader="none" w:pos="7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4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Net sales by geographic location as a percentage of total consolidated net sales for the three and nine months ended May 31, 2011 and May 31, 2010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240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8"/>
                <w:szCs w:val="18"/>
                <w:b w:val="1"/>
                <w:bCs w:val="1"/>
                <w:color w:val="auto"/>
              </w:rPr>
              <w:t>Nine Months Ended</w:t>
            </w:r>
          </w:p>
        </w:tc>
      </w:tr>
      <w:tr>
        <w:trPr>
          <w:trHeight w:val="205"/>
        </w:trPr>
        <w:tc>
          <w:tcPr>
            <w:tcW w:w="6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jc w:val="right"/>
              <w:ind w:right="72"/>
              <w:spacing w:after="0" w:line="205" w:lineRule="exact"/>
              <w:rPr>
                <w:sz w:val="20"/>
                <w:szCs w:val="20"/>
                <w:color w:val="auto"/>
              </w:rPr>
            </w:pPr>
            <w:r>
              <w:rPr>
                <w:rFonts w:ascii="Arial" w:cs="Arial" w:eastAsia="Arial" w:hAnsi="Arial"/>
                <w:sz w:val="18"/>
                <w:szCs w:val="18"/>
                <w:b w:val="1"/>
                <w:bCs w:val="1"/>
                <w:color w:val="auto"/>
                <w:w w:val="87"/>
              </w:rPr>
              <w:t>May 31, 2011</w:t>
            </w:r>
          </w:p>
        </w:tc>
        <w:tc>
          <w:tcPr>
            <w:tcW w:w="1260" w:type="dxa"/>
            <w:vAlign w:val="bottom"/>
            <w:gridSpan w:val="2"/>
          </w:tcPr>
          <w:p>
            <w:pPr>
              <w:jc w:val="right"/>
              <w:ind w:right="52"/>
              <w:spacing w:after="0" w:line="205" w:lineRule="exact"/>
              <w:rPr>
                <w:sz w:val="20"/>
                <w:szCs w:val="20"/>
                <w:color w:val="auto"/>
              </w:rPr>
            </w:pPr>
            <w:r>
              <w:rPr>
                <w:rFonts w:ascii="Arial" w:cs="Arial" w:eastAsia="Arial" w:hAnsi="Arial"/>
                <w:sz w:val="18"/>
                <w:szCs w:val="18"/>
                <w:b w:val="1"/>
                <w:bCs w:val="1"/>
                <w:color w:val="auto"/>
                <w:w w:val="99"/>
              </w:rPr>
              <w:t>May 31, 2010</w:t>
            </w:r>
          </w:p>
        </w:tc>
        <w:tc>
          <w:tcPr>
            <w:tcW w:w="100" w:type="dxa"/>
            <w:vAlign w:val="bottom"/>
          </w:tcPr>
          <w:p>
            <w:pPr>
              <w:spacing w:after="0"/>
              <w:rPr>
                <w:sz w:val="17"/>
                <w:szCs w:val="17"/>
                <w:color w:val="auto"/>
              </w:rPr>
            </w:pPr>
          </w:p>
        </w:tc>
        <w:tc>
          <w:tcPr>
            <w:tcW w:w="1160" w:type="dxa"/>
            <w:vAlign w:val="bottom"/>
          </w:tcPr>
          <w:p>
            <w:pPr>
              <w:jc w:val="right"/>
              <w:ind w:right="72"/>
              <w:spacing w:after="0" w:line="205" w:lineRule="exact"/>
              <w:rPr>
                <w:sz w:val="20"/>
                <w:szCs w:val="20"/>
                <w:color w:val="auto"/>
              </w:rPr>
            </w:pPr>
            <w:r>
              <w:rPr>
                <w:rFonts w:ascii="Arial" w:cs="Arial" w:eastAsia="Arial" w:hAnsi="Arial"/>
                <w:sz w:val="18"/>
                <w:szCs w:val="18"/>
                <w:b w:val="1"/>
                <w:bCs w:val="1"/>
                <w:color w:val="auto"/>
                <w:w w:val="88"/>
              </w:rPr>
              <w:t>May 31, 2011</w:t>
            </w:r>
          </w:p>
        </w:tc>
        <w:tc>
          <w:tcPr>
            <w:tcW w:w="100" w:type="dxa"/>
            <w:vAlign w:val="bottom"/>
          </w:tcPr>
          <w:p>
            <w:pPr>
              <w:spacing w:after="0"/>
              <w:rPr>
                <w:sz w:val="17"/>
                <w:szCs w:val="17"/>
                <w:color w:val="auto"/>
              </w:rPr>
            </w:pPr>
          </w:p>
        </w:tc>
        <w:tc>
          <w:tcPr>
            <w:tcW w:w="1140" w:type="dxa"/>
            <w:vAlign w:val="bottom"/>
          </w:tcPr>
          <w:p>
            <w:pPr>
              <w:jc w:val="right"/>
              <w:ind w:right="52"/>
              <w:spacing w:after="0" w:line="205" w:lineRule="exact"/>
              <w:rPr>
                <w:sz w:val="20"/>
                <w:szCs w:val="20"/>
                <w:color w:val="auto"/>
              </w:rPr>
            </w:pPr>
            <w:r>
              <w:rPr>
                <w:rFonts w:ascii="Arial" w:cs="Arial" w:eastAsia="Arial" w:hAnsi="Arial"/>
                <w:sz w:val="18"/>
                <w:szCs w:val="18"/>
                <w:b w:val="1"/>
                <w:bCs w:val="1"/>
                <w:color w:val="auto"/>
                <w:w w:val="88"/>
              </w:rPr>
              <w:t>May 31, 2010</w:t>
            </w:r>
          </w:p>
        </w:tc>
      </w:tr>
      <w:tr>
        <w:trPr>
          <w:trHeight w:val="204"/>
        </w:trPr>
        <w:tc>
          <w:tcPr>
            <w:tcW w:w="60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Inside the U.S.A. to unaffiliated customers</w:t>
            </w:r>
          </w:p>
        </w:tc>
        <w:tc>
          <w:tcPr>
            <w:tcW w:w="5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73.4%</w:t>
            </w:r>
          </w:p>
        </w:tc>
      </w:tr>
      <w:tr>
        <w:trPr>
          <w:trHeight w:val="211"/>
        </w:trPr>
        <w:tc>
          <w:tcPr>
            <w:tcW w:w="6020" w:type="dxa"/>
            <w:vAlign w:val="bottom"/>
          </w:tcPr>
          <w:p>
            <w:pPr>
              <w:spacing w:after="0"/>
              <w:rPr>
                <w:sz w:val="20"/>
                <w:szCs w:val="20"/>
                <w:color w:val="auto"/>
              </w:rPr>
            </w:pPr>
            <w:r>
              <w:rPr>
                <w:rFonts w:ascii="Arial" w:cs="Arial" w:eastAsia="Arial" w:hAnsi="Arial"/>
                <w:sz w:val="18"/>
                <w:szCs w:val="18"/>
                <w:color w:val="auto"/>
              </w:rPr>
              <w:t>Outside the U.S.A. to:</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1"/>
        </w:trPr>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Joint ventures in which the Company is a shareholder directly and indirectly</w:t>
            </w:r>
          </w:p>
        </w:tc>
        <w:tc>
          <w:tcPr>
            <w:tcW w:w="16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15.2</w:t>
            </w:r>
          </w:p>
        </w:tc>
        <w:tc>
          <w:tcPr>
            <w:tcW w:w="1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20.6</w:t>
            </w:r>
          </w:p>
        </w:tc>
        <w:tc>
          <w:tcPr>
            <w:tcW w:w="12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15.6</w:t>
            </w:r>
          </w:p>
        </w:tc>
        <w:tc>
          <w:tcPr>
            <w:tcW w:w="12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18.8</w:t>
            </w:r>
          </w:p>
        </w:tc>
      </w:tr>
      <w:tr>
        <w:trPr>
          <w:trHeight w:val="211"/>
        </w:trPr>
        <w:tc>
          <w:tcPr>
            <w:tcW w:w="6020" w:type="dxa"/>
            <w:vAlign w:val="bottom"/>
          </w:tcPr>
          <w:p>
            <w:pPr>
              <w:ind w:left="320"/>
              <w:spacing w:after="0"/>
              <w:rPr>
                <w:sz w:val="20"/>
                <w:szCs w:val="20"/>
                <w:color w:val="auto"/>
              </w:rPr>
            </w:pPr>
            <w:r>
              <w:rPr>
                <w:rFonts w:ascii="Arial" w:cs="Arial" w:eastAsia="Arial" w:hAnsi="Arial"/>
                <w:sz w:val="18"/>
                <w:szCs w:val="18"/>
                <w:color w:val="auto"/>
              </w:rPr>
              <w:t>Unaffiliated customers</w:t>
            </w:r>
          </w:p>
        </w:tc>
        <w:tc>
          <w:tcPr>
            <w:tcW w:w="500" w:type="dxa"/>
            <w:vAlign w:val="bottom"/>
          </w:tcPr>
          <w:p>
            <w:pPr>
              <w:spacing w:after="0"/>
              <w:rPr>
                <w:sz w:val="18"/>
                <w:szCs w:val="18"/>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7.8</w:t>
            </w:r>
          </w:p>
        </w:tc>
      </w:tr>
      <w:tr>
        <w:trPr>
          <w:trHeight w:val="204"/>
        </w:trPr>
        <w:tc>
          <w:tcPr>
            <w:tcW w:w="60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2" w:name="page13"/>
    <w:bookmarkEnd w:id="12"/>
    <w:p>
      <w:pPr>
        <w:ind w:right="220"/>
        <w:spacing w:after="0" w:line="262"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and nine months ended May 31, 2011 and 2010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5"/>
              </w:rPr>
              <w:t>Three Months Ended May 31,</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86"/>
        </w:trPr>
        <w:tc>
          <w:tcPr>
            <w:tcW w:w="38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gridSpan w:val="2"/>
          </w:tcPr>
          <w:p>
            <w:pPr>
              <w:jc w:val="center"/>
              <w:spacing w:after="0" w:line="186" w:lineRule="exact"/>
              <w:rPr>
                <w:sz w:val="20"/>
                <w:szCs w:val="20"/>
                <w:color w:val="auto"/>
              </w:rPr>
            </w:pPr>
            <w:r>
              <w:rPr>
                <w:rFonts w:ascii="Arial" w:cs="Arial" w:eastAsia="Arial" w:hAnsi="Arial"/>
                <w:sz w:val="18"/>
                <w:szCs w:val="18"/>
                <w:b w:val="1"/>
                <w:bCs w:val="1"/>
                <w:color w:val="auto"/>
                <w:w w:val="87"/>
              </w:rPr>
              <w:t>% of Total Fees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52"/>
              <w:spacing w:after="0" w:line="186" w:lineRule="exact"/>
              <w:rPr>
                <w:sz w:val="20"/>
                <w:szCs w:val="20"/>
                <w:color w:val="auto"/>
              </w:rPr>
            </w:pPr>
            <w:r>
              <w:rPr>
                <w:rFonts w:ascii="Arial" w:cs="Arial" w:eastAsia="Arial" w:hAnsi="Arial"/>
                <w:sz w:val="18"/>
                <w:szCs w:val="18"/>
                <w:b w:val="1"/>
                <w:bCs w:val="1"/>
                <w:color w:val="auto"/>
                <w:w w:val="89"/>
              </w:rPr>
              <w:t>% of Total Fees</w:t>
            </w:r>
          </w:p>
        </w:tc>
      </w:tr>
      <w:tr>
        <w:trPr>
          <w:trHeight w:val="211"/>
        </w:trPr>
        <w:tc>
          <w:tcPr>
            <w:tcW w:w="3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r>
      <w:tr>
        <w:trPr>
          <w:trHeight w:val="211"/>
        </w:trPr>
        <w:tc>
          <w:tcPr>
            <w:tcW w:w="3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92"/>
              <w:spacing w:after="0"/>
              <w:rPr>
                <w:sz w:val="20"/>
                <w:szCs w:val="20"/>
                <w:color w:val="auto"/>
              </w:rPr>
            </w:pPr>
            <w:r>
              <w:rPr>
                <w:rFonts w:ascii="Arial" w:cs="Arial" w:eastAsia="Arial" w:hAnsi="Arial"/>
                <w:sz w:val="18"/>
                <w:szCs w:val="18"/>
                <w:b w:val="1"/>
                <w:bCs w:val="1"/>
                <w:color w:val="auto"/>
                <w:w w:val="86"/>
              </w:rPr>
              <w:t>Provided to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Provided to</w:t>
            </w:r>
          </w:p>
        </w:tc>
      </w:tr>
      <w:tr>
        <w:trPr>
          <w:trHeight w:val="229"/>
        </w:trPr>
        <w:tc>
          <w:tcPr>
            <w:tcW w:w="38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7"/>
              </w:rPr>
              <w:t>Joint Ventures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Joint Ventures</w:t>
            </w:r>
          </w:p>
        </w:tc>
      </w:tr>
      <w:tr>
        <w:trPr>
          <w:trHeight w:val="204"/>
        </w:trPr>
        <w:tc>
          <w:tcPr>
            <w:tcW w:w="38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Japan</w:t>
            </w:r>
          </w:p>
        </w:tc>
        <w:tc>
          <w:tcPr>
            <w:tcW w:w="278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324,185</w:t>
            </w:r>
          </w:p>
        </w:tc>
        <w:tc>
          <w:tcPr>
            <w:tcW w:w="14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20.0%</w:t>
            </w:r>
          </w:p>
        </w:tc>
        <w:tc>
          <w:tcPr>
            <w:tcW w:w="24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219,783</w:t>
            </w:r>
          </w:p>
        </w:tc>
        <w:tc>
          <w:tcPr>
            <w:tcW w:w="14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19.3%</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Germany</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279,125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240,624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21.1%</w:t>
            </w: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250,116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141,137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France</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181,764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126,702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147,791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97,747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Sweden</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131,450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102,437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84,573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72,736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224,581</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139,129</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04"/>
        </w:trPr>
        <w:tc>
          <w:tcPr>
            <w:tcW w:w="38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2"/>
              </w:rPr>
              <w:t>1,623,585</w:t>
            </w:r>
          </w:p>
        </w:tc>
        <w:tc>
          <w:tcPr>
            <w:tcW w:w="14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2"/>
              </w:rPr>
              <w:t>1,140,295</w:t>
            </w:r>
          </w:p>
        </w:tc>
        <w:tc>
          <w:tcPr>
            <w:tcW w:w="14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r>
      <w:tr>
        <w:trPr>
          <w:trHeight w:val="448"/>
        </w:trPr>
        <w:tc>
          <w:tcPr>
            <w:tcW w:w="38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8"/>
              </w:rPr>
              <w:t>Nine Months Ended May 31,</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86"/>
        </w:trPr>
        <w:tc>
          <w:tcPr>
            <w:tcW w:w="38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gridSpan w:val="2"/>
          </w:tcPr>
          <w:p>
            <w:pPr>
              <w:jc w:val="center"/>
              <w:spacing w:after="0" w:line="186" w:lineRule="exact"/>
              <w:rPr>
                <w:sz w:val="20"/>
                <w:szCs w:val="20"/>
                <w:color w:val="auto"/>
              </w:rPr>
            </w:pPr>
            <w:r>
              <w:rPr>
                <w:rFonts w:ascii="Arial" w:cs="Arial" w:eastAsia="Arial" w:hAnsi="Arial"/>
                <w:sz w:val="18"/>
                <w:szCs w:val="18"/>
                <w:b w:val="1"/>
                <w:bCs w:val="1"/>
                <w:color w:val="auto"/>
                <w:w w:val="87"/>
              </w:rPr>
              <w:t>% of Total Fees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52"/>
              <w:spacing w:after="0" w:line="186" w:lineRule="exact"/>
              <w:rPr>
                <w:sz w:val="20"/>
                <w:szCs w:val="20"/>
                <w:color w:val="auto"/>
              </w:rPr>
            </w:pPr>
            <w:r>
              <w:rPr>
                <w:rFonts w:ascii="Arial" w:cs="Arial" w:eastAsia="Arial" w:hAnsi="Arial"/>
                <w:sz w:val="18"/>
                <w:szCs w:val="18"/>
                <w:b w:val="1"/>
                <w:bCs w:val="1"/>
                <w:color w:val="auto"/>
                <w:w w:val="89"/>
              </w:rPr>
              <w:t>% of Total Fees</w:t>
            </w:r>
          </w:p>
        </w:tc>
      </w:tr>
      <w:tr>
        <w:trPr>
          <w:trHeight w:val="211"/>
        </w:trPr>
        <w:tc>
          <w:tcPr>
            <w:tcW w:w="3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5"/>
              </w:rPr>
              <w:t>for Services</w:t>
            </w:r>
          </w:p>
        </w:tc>
      </w:tr>
      <w:tr>
        <w:trPr>
          <w:trHeight w:val="211"/>
        </w:trPr>
        <w:tc>
          <w:tcPr>
            <w:tcW w:w="3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92"/>
              <w:spacing w:after="0"/>
              <w:rPr>
                <w:sz w:val="20"/>
                <w:szCs w:val="20"/>
                <w:color w:val="auto"/>
              </w:rPr>
            </w:pPr>
            <w:r>
              <w:rPr>
                <w:rFonts w:ascii="Arial" w:cs="Arial" w:eastAsia="Arial" w:hAnsi="Arial"/>
                <w:sz w:val="18"/>
                <w:szCs w:val="18"/>
                <w:b w:val="1"/>
                <w:bCs w:val="1"/>
                <w:color w:val="auto"/>
                <w:w w:val="86"/>
              </w:rPr>
              <w:t>Provided to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Provided to</w:t>
            </w:r>
          </w:p>
        </w:tc>
      </w:tr>
      <w:tr>
        <w:trPr>
          <w:trHeight w:val="229"/>
        </w:trPr>
        <w:tc>
          <w:tcPr>
            <w:tcW w:w="38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7"/>
              </w:rPr>
              <w:t>Joint Ventures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Joint Ventures</w:t>
            </w:r>
          </w:p>
        </w:tc>
      </w:tr>
      <w:tr>
        <w:trPr>
          <w:trHeight w:val="204"/>
        </w:trPr>
        <w:tc>
          <w:tcPr>
            <w:tcW w:w="38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Japan</w:t>
            </w:r>
          </w:p>
        </w:tc>
        <w:tc>
          <w:tcPr>
            <w:tcW w:w="278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833,354</w:t>
            </w:r>
          </w:p>
        </w:tc>
        <w:tc>
          <w:tcPr>
            <w:tcW w:w="14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18.6%</w:t>
            </w:r>
          </w:p>
        </w:tc>
        <w:tc>
          <w:tcPr>
            <w:tcW w:w="24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662,195</w:t>
            </w:r>
          </w:p>
        </w:tc>
        <w:tc>
          <w:tcPr>
            <w:tcW w:w="14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19.2%</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Germany</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800,877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761,723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22.1%</w:t>
            </w: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611,985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441,945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France</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505,354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363,095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10.6%</w:t>
            </w: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414,567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299,905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Sweden</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425,561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288,510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243,917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211,092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1"/>
        </w:trPr>
        <w:tc>
          <w:tcPr>
            <w:tcW w:w="3820" w:type="dxa"/>
            <w:vAlign w:val="bottom"/>
          </w:tcPr>
          <w:p>
            <w:pPr>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641,899</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413,098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04"/>
        </w:trPr>
        <w:tc>
          <w:tcPr>
            <w:tcW w:w="38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2"/>
              </w:rPr>
              <w:t>4,477,514</w:t>
            </w:r>
          </w:p>
        </w:tc>
        <w:tc>
          <w:tcPr>
            <w:tcW w:w="144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ind w:right="60"/>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2"/>
              </w:rPr>
              <w:t>3,441,563</w:t>
            </w:r>
          </w:p>
        </w:tc>
        <w:tc>
          <w:tcPr>
            <w:tcW w:w="142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100.0%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and nine months ended May 31, 2011 and 2010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8"/>
                <w:szCs w:val="18"/>
                <w:b w:val="1"/>
                <w:bCs w:val="1"/>
                <w:color w:val="auto"/>
                <w:w w:val="99"/>
              </w:rPr>
              <w:t>Nine Months Ended</w:t>
            </w:r>
          </w:p>
        </w:tc>
      </w:tr>
      <w:tr>
        <w:trPr>
          <w:trHeight w:val="205"/>
        </w:trPr>
        <w:tc>
          <w:tcPr>
            <w:tcW w:w="6720" w:type="dxa"/>
            <w:vAlign w:val="bottom"/>
          </w:tcPr>
          <w:p>
            <w:pPr>
              <w:spacing w:after="0"/>
              <w:rPr>
                <w:sz w:val="17"/>
                <w:szCs w:val="17"/>
                <w:color w:val="auto"/>
              </w:rPr>
            </w:pPr>
          </w:p>
        </w:tc>
        <w:tc>
          <w:tcPr>
            <w:tcW w:w="110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98"/>
              </w:rPr>
              <w:t>May 31, 2011</w:t>
            </w: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98"/>
              </w:rPr>
              <w:t>May 31, 2010</w:t>
            </w: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98"/>
              </w:rPr>
              <w:t>May 31, 2011</w:t>
            </w: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98"/>
              </w:rPr>
              <w:t>May 31, 2010</w:t>
            </w:r>
          </w:p>
        </w:tc>
      </w:tr>
      <w:tr>
        <w:trPr>
          <w:trHeight w:val="204"/>
        </w:trPr>
        <w:tc>
          <w:tcPr>
            <w:tcW w:w="67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ZERUST® sales</w:t>
            </w:r>
          </w:p>
        </w:tc>
        <w:tc>
          <w:tcPr>
            <w:tcW w:w="2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4,855,535</w:t>
            </w:r>
          </w:p>
        </w:tc>
        <w:tc>
          <w:tcPr>
            <w:tcW w:w="30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3,072,037</w:t>
            </w:r>
          </w:p>
        </w:tc>
        <w:tc>
          <w:tcPr>
            <w:tcW w:w="26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0"/>
              </w:rPr>
              <w:t>13,307,276</w:t>
            </w:r>
          </w:p>
        </w:tc>
        <w:tc>
          <w:tcPr>
            <w:tcW w:w="30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8,485,046</w:t>
            </w:r>
          </w:p>
        </w:tc>
      </w:tr>
      <w:tr>
        <w:trPr>
          <w:trHeight w:val="224"/>
        </w:trPr>
        <w:tc>
          <w:tcPr>
            <w:tcW w:w="6720" w:type="dxa"/>
            <w:vAlign w:val="bottom"/>
          </w:tcPr>
          <w:p>
            <w:pPr>
              <w:spacing w:after="0"/>
              <w:rPr>
                <w:sz w:val="20"/>
                <w:szCs w:val="20"/>
                <w:color w:val="auto"/>
              </w:rPr>
            </w:pPr>
            <w:r>
              <w:rPr>
                <w:rFonts w:ascii="Arial" w:cs="Arial" w:eastAsia="Arial" w:hAnsi="Arial"/>
                <w:sz w:val="18"/>
                <w:szCs w:val="18"/>
                <w:color w:val="auto"/>
              </w:rPr>
              <w:t>Natur-Tec™ sales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245,243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165,161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670,061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340,032</w:t>
            </w:r>
          </w:p>
        </w:tc>
      </w:tr>
      <w:tr>
        <w:trPr>
          <w:trHeight w:val="204"/>
        </w:trPr>
        <w:tc>
          <w:tcPr>
            <w:tcW w:w="67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Total net sales</w:t>
            </w:r>
          </w:p>
        </w:tc>
        <w:tc>
          <w:tcPr>
            <w:tcW w:w="2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5,100,778</w:t>
            </w:r>
          </w:p>
        </w:tc>
        <w:tc>
          <w:tcPr>
            <w:tcW w:w="30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3,237,198</w:t>
            </w:r>
          </w:p>
        </w:tc>
        <w:tc>
          <w:tcPr>
            <w:tcW w:w="26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0"/>
              </w:rPr>
              <w:t>13,977,337</w:t>
            </w:r>
          </w:p>
        </w:tc>
        <w:tc>
          <w:tcPr>
            <w:tcW w:w="300" w:type="dxa"/>
            <w:vAlign w:val="bottom"/>
            <w:gridSpan w:val="2"/>
            <w:shd w:val="clear" w:color="auto" w:fill="CCEEFF"/>
          </w:tcPr>
          <w:p>
            <w:pPr>
              <w:ind w:left="100"/>
              <w:spacing w:after="0" w:line="205"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8,825,078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sales for the three and nine months ended May 31, 2011 and 2010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8"/>
                <w:szCs w:val="18"/>
                <w:b w:val="1"/>
                <w:bCs w:val="1"/>
                <w:color w:val="auto"/>
                <w:w w:val="98"/>
              </w:rPr>
              <w:t>Three Months Ended</w:t>
            </w: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186"/>
        </w:trPr>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ind w:right="72"/>
              <w:spacing w:after="0" w:line="187"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ind w:right="72"/>
              <w:spacing w:after="0" w:line="187" w:lineRule="exact"/>
              <w:rPr>
                <w:sz w:val="20"/>
                <w:szCs w:val="20"/>
                <w:color w:val="auto"/>
              </w:rPr>
            </w:pPr>
            <w:r>
              <w:rPr>
                <w:rFonts w:ascii="Arial" w:cs="Arial" w:eastAsia="Arial" w:hAnsi="Arial"/>
                <w:sz w:val="18"/>
                <w:szCs w:val="18"/>
                <w:b w:val="1"/>
                <w:bCs w:val="1"/>
                <w:color w:val="auto"/>
                <w:w w:val="94"/>
              </w:rPr>
              <w:t>% of</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72"/>
              <w:spacing w:after="0" w:line="187" w:lineRule="exact"/>
              <w:rPr>
                <w:sz w:val="20"/>
                <w:szCs w:val="20"/>
                <w:color w:val="auto"/>
              </w:rPr>
            </w:pPr>
            <w:r>
              <w:rPr>
                <w:rFonts w:ascii="Arial" w:cs="Arial" w:eastAsia="Arial" w:hAnsi="Arial"/>
                <w:sz w:val="18"/>
                <w:szCs w:val="18"/>
                <w:b w:val="1"/>
                <w:bCs w:val="1"/>
                <w:color w:val="auto"/>
                <w:w w:val="94"/>
              </w:rPr>
              <w:t>% of</w:t>
            </w:r>
          </w:p>
        </w:tc>
      </w:tr>
      <w:tr>
        <w:trPr>
          <w:trHeight w:val="211"/>
        </w:trPr>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Product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Product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Product</w:t>
            </w:r>
          </w:p>
        </w:tc>
      </w:tr>
      <w:tr>
        <w:trPr>
          <w:trHeight w:val="229"/>
        </w:trPr>
        <w:tc>
          <w:tcPr>
            <w:tcW w:w="2020" w:type="dxa"/>
            <w:vAlign w:val="bottom"/>
          </w:tcPr>
          <w:p>
            <w:pPr>
              <w:spacing w:after="0"/>
              <w:rPr>
                <w:sz w:val="19"/>
                <w:szCs w:val="19"/>
                <w:color w:val="auto"/>
              </w:rPr>
            </w:pPr>
          </w:p>
        </w:tc>
        <w:tc>
          <w:tcPr>
            <w:tcW w:w="1220" w:type="dxa"/>
            <w:vAlign w:val="bottom"/>
            <w:gridSpan w:val="3"/>
          </w:tcPr>
          <w:p>
            <w:pPr>
              <w:ind w:left="140"/>
              <w:spacing w:after="0"/>
              <w:rPr>
                <w:sz w:val="20"/>
                <w:szCs w:val="20"/>
                <w:color w:val="auto"/>
              </w:rPr>
            </w:pPr>
            <w:r>
              <w:rPr>
                <w:rFonts w:ascii="Arial" w:cs="Arial" w:eastAsia="Arial" w:hAnsi="Arial"/>
                <w:sz w:val="18"/>
                <w:szCs w:val="18"/>
                <w:b w:val="1"/>
                <w:bCs w:val="1"/>
                <w:color w:val="auto"/>
                <w:w w:val="96"/>
              </w:rPr>
              <w:t>May 31, 2011</w:t>
            </w:r>
          </w:p>
        </w:tc>
        <w:tc>
          <w:tcPr>
            <w:tcW w:w="80" w:type="dxa"/>
            <w:vAlign w:val="bottom"/>
          </w:tcPr>
          <w:p>
            <w:pPr>
              <w:spacing w:after="0"/>
              <w:rPr>
                <w:sz w:val="19"/>
                <w:szCs w:val="19"/>
                <w:color w:val="auto"/>
              </w:rPr>
            </w:pPr>
          </w:p>
        </w:tc>
        <w:tc>
          <w:tcPr>
            <w:tcW w:w="88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Sales*</w:t>
            </w:r>
          </w:p>
        </w:tc>
        <w:tc>
          <w:tcPr>
            <w:tcW w:w="10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6"/>
              </w:rPr>
              <w:t>May 31, 2010</w:t>
            </w:r>
          </w:p>
        </w:tc>
        <w:tc>
          <w:tcPr>
            <w:tcW w:w="80" w:type="dxa"/>
            <w:vAlign w:val="bottom"/>
          </w:tcPr>
          <w:p>
            <w:pPr>
              <w:spacing w:after="0"/>
              <w:rPr>
                <w:sz w:val="19"/>
                <w:szCs w:val="19"/>
                <w:color w:val="auto"/>
              </w:rPr>
            </w:pPr>
          </w:p>
        </w:tc>
        <w:tc>
          <w:tcPr>
            <w:tcW w:w="88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Sales*</w:t>
            </w:r>
          </w:p>
        </w:tc>
        <w:tc>
          <w:tcPr>
            <w:tcW w:w="8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6"/>
              </w:rPr>
              <w:t>May 31, 2011</w:t>
            </w:r>
          </w:p>
        </w:tc>
        <w:tc>
          <w:tcPr>
            <w:tcW w:w="17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4"/>
              </w:rPr>
              <w:t>% of Product Sales*</w:t>
            </w: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w w:val="96"/>
              </w:rPr>
              <w:t>May 31, 2010</w:t>
            </w:r>
          </w:p>
        </w:tc>
        <w:tc>
          <w:tcPr>
            <w:tcW w:w="100" w:type="dxa"/>
            <w:vAlign w:val="bottom"/>
          </w:tcPr>
          <w:p>
            <w:pPr>
              <w:spacing w:after="0"/>
              <w:rPr>
                <w:sz w:val="19"/>
                <w:szCs w:val="19"/>
                <w:color w:val="auto"/>
              </w:rPr>
            </w:pPr>
          </w:p>
        </w:tc>
        <w:tc>
          <w:tcPr>
            <w:tcW w:w="88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Sales*</w:t>
            </w:r>
          </w:p>
        </w:tc>
      </w:tr>
      <w:tr>
        <w:trPr>
          <w:trHeight w:val="204"/>
        </w:trPr>
        <w:tc>
          <w:tcPr>
            <w:tcW w:w="2020" w:type="dxa"/>
            <w:vAlign w:val="bottom"/>
          </w:tcPr>
          <w:p>
            <w:pPr>
              <w:spacing w:after="0" w:line="204" w:lineRule="exact"/>
              <w:rPr>
                <w:sz w:val="20"/>
                <w:szCs w:val="20"/>
                <w:color w:val="auto"/>
              </w:rPr>
            </w:pPr>
            <w:r>
              <w:rPr>
                <w:rFonts w:ascii="Arial" w:cs="Arial" w:eastAsia="Arial" w:hAnsi="Arial"/>
                <w:sz w:val="18"/>
                <w:szCs w:val="18"/>
                <w:color w:val="auto"/>
              </w:rPr>
              <w:t>Direct cost of sales</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12"/>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ZERUST® cost of sales</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2,758,270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1,682,812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7,288,098</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4,585,073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11"/>
        </w:trPr>
        <w:tc>
          <w:tcPr>
            <w:tcW w:w="2020" w:type="dxa"/>
            <w:vAlign w:val="bottom"/>
          </w:tcPr>
          <w:p>
            <w:pPr>
              <w:spacing w:after="0"/>
              <w:rPr>
                <w:sz w:val="20"/>
                <w:szCs w:val="20"/>
                <w:color w:val="auto"/>
              </w:rPr>
            </w:pPr>
            <w:r>
              <w:rPr>
                <w:rFonts w:ascii="Arial" w:cs="Arial" w:eastAsia="Arial" w:hAnsi="Arial"/>
                <w:sz w:val="18"/>
                <w:szCs w:val="18"/>
                <w:color w:val="auto"/>
                <w:w w:val="98"/>
              </w:rPr>
              <w:t>Natur-Tec™ cost of sales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216,880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111,541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574,315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230,488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67.8%</w:t>
            </w:r>
          </w:p>
        </w:tc>
      </w:tr>
      <w:tr>
        <w:trPr>
          <w:trHeight w:val="211"/>
        </w:trPr>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Indirect cost of sales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483,701</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378,549</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1,293,375</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955,484</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192"/>
        </w:trPr>
        <w:tc>
          <w:tcPr>
            <w:tcW w:w="2020" w:type="dxa"/>
            <w:vAlign w:val="bottom"/>
          </w:tcPr>
          <w:p>
            <w:pPr>
              <w:ind w:left="260"/>
              <w:spacing w:after="0" w:line="192" w:lineRule="exact"/>
              <w:rPr>
                <w:sz w:val="20"/>
                <w:szCs w:val="20"/>
                <w:color w:val="auto"/>
              </w:rPr>
            </w:pPr>
            <w:r>
              <w:rPr>
                <w:rFonts w:ascii="Arial" w:cs="Arial" w:eastAsia="Arial" w:hAnsi="Arial"/>
                <w:sz w:val="18"/>
                <w:szCs w:val="18"/>
                <w:color w:val="auto"/>
                <w:w w:val="95"/>
              </w:rPr>
              <w:t>Total net cost of goods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3"/>
        </w:trPr>
        <w:tc>
          <w:tcPr>
            <w:tcW w:w="2020" w:type="dxa"/>
            <w:vAlign w:val="bottom"/>
          </w:tcPr>
          <w:p>
            <w:pPr>
              <w:spacing w:after="0"/>
              <w:rPr>
                <w:sz w:val="20"/>
                <w:szCs w:val="20"/>
                <w:color w:val="auto"/>
              </w:rPr>
            </w:pPr>
            <w:r>
              <w:rPr>
                <w:rFonts w:ascii="Arial" w:cs="Arial" w:eastAsia="Arial" w:hAnsi="Arial"/>
                <w:sz w:val="18"/>
                <w:szCs w:val="18"/>
                <w:color w:val="auto"/>
              </w:rPr>
              <w:t>sold</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3,458,851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2,172,902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9,155,788</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5,771,045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593"/>
        </w:trPr>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gridSpan w:val="2"/>
          </w:tcPr>
          <w:p>
            <w:pPr>
              <w:jc w:val="right"/>
              <w:ind w:right="452"/>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42"/>
        </w:trPr>
        <w:tc>
          <w:tcPr>
            <w:tcW w:w="20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6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 The percent of product sales is calculated by dividing the direct cost of sales for each individual segment category by the net sales for each segment category.</w:t>
      </w:r>
    </w:p>
    <w:p>
      <w:pPr>
        <w:spacing w:after="0" w:line="26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216" w:lineRule="exact"/>
        <w:rPr>
          <w:sz w:val="20"/>
          <w:szCs w:val="20"/>
          <w:color w:val="auto"/>
        </w:rPr>
      </w:pPr>
    </w:p>
    <w:p>
      <w:pPr>
        <w:ind w:right="20"/>
        <w:spacing w:after="0" w:line="363" w:lineRule="auto"/>
        <w:rPr>
          <w:sz w:val="20"/>
          <w:szCs w:val="20"/>
          <w:color w:val="auto"/>
        </w:rPr>
      </w:pPr>
      <w:r>
        <w:rPr>
          <w:rFonts w:ascii="Arial" w:cs="Arial" w:eastAsia="Arial" w:hAnsi="Arial"/>
          <w:sz w:val="15"/>
          <w:szCs w:val="15"/>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The geographical distribution of long-lived assets is set forth as follows:</w:t>
            </w: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49"/>
        </w:trPr>
        <w:tc>
          <w:tcPr>
            <w:tcW w:w="7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May 31,</w:t>
            </w:r>
          </w:p>
        </w:tc>
        <w:tc>
          <w:tcPr>
            <w:tcW w:w="820" w:type="dxa"/>
            <w:vAlign w:val="bottom"/>
            <w:tcBorders>
              <w:bottom w:val="single" w:sz="8" w:color="auto"/>
            </w:tcBorders>
          </w:tcPr>
          <w:p>
            <w:pPr>
              <w:spacing w:after="0"/>
              <w:rPr>
                <w:sz w:val="24"/>
                <w:szCs w:val="24"/>
                <w:color w:val="auto"/>
              </w:rPr>
            </w:pPr>
          </w:p>
        </w:tc>
      </w:tr>
      <w:tr>
        <w:trPr>
          <w:trHeight w:val="204"/>
        </w:trPr>
        <w:tc>
          <w:tcPr>
            <w:tcW w:w="7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line="205"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2"/>
              <w:spacing w:after="0" w:line="205" w:lineRule="exact"/>
              <w:rPr>
                <w:sz w:val="20"/>
                <w:szCs w:val="20"/>
                <w:color w:val="auto"/>
              </w:rPr>
            </w:pPr>
            <w:r>
              <w:rPr>
                <w:rFonts w:ascii="Arial" w:cs="Arial" w:eastAsia="Arial" w:hAnsi="Arial"/>
                <w:sz w:val="18"/>
                <w:szCs w:val="18"/>
                <w:b w:val="1"/>
                <w:bCs w:val="1"/>
                <w:color w:val="auto"/>
              </w:rPr>
              <w:t>2010</w:t>
            </w:r>
          </w:p>
        </w:tc>
      </w:tr>
      <w:tr>
        <w:trPr>
          <w:trHeight w:val="204"/>
        </w:trPr>
        <w:tc>
          <w:tcPr>
            <w:tcW w:w="71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United States</w:t>
            </w:r>
          </w:p>
        </w:tc>
        <w:tc>
          <w:tcPr>
            <w:tcW w:w="2240" w:type="dxa"/>
            <w:vAlign w:val="bottom"/>
            <w:gridSpan w:val="2"/>
            <w:shd w:val="clear" w:color="auto" w:fill="CCEEFF"/>
          </w:tcPr>
          <w:p>
            <w:pPr>
              <w:jc w:val="right"/>
              <w:ind w:right="3"/>
              <w:spacing w:after="0" w:line="204"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2"/>
              </w:rPr>
              <w:t>3,466,634</w:t>
            </w:r>
          </w:p>
        </w:tc>
        <w:tc>
          <w:tcPr>
            <w:tcW w:w="300" w:type="dxa"/>
            <w:vAlign w:val="bottom"/>
            <w:gridSpan w:val="2"/>
            <w:shd w:val="clear" w:color="auto" w:fill="CCEEFF"/>
          </w:tcPr>
          <w:p>
            <w:pPr>
              <w:jc w:val="right"/>
              <w:ind w:right="23"/>
              <w:spacing w:after="0" w:line="204"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7"/>
              </w:rPr>
              <w:t>3,452,530</w:t>
            </w:r>
          </w:p>
        </w:tc>
      </w:tr>
      <w:tr>
        <w:trPr>
          <w:trHeight w:val="211"/>
        </w:trPr>
        <w:tc>
          <w:tcPr>
            <w:tcW w:w="7180" w:type="dxa"/>
            <w:vAlign w:val="bottom"/>
          </w:tcPr>
          <w:p>
            <w:pPr>
              <w:spacing w:after="0"/>
              <w:rPr>
                <w:sz w:val="20"/>
                <w:szCs w:val="20"/>
                <w:color w:val="auto"/>
              </w:rPr>
            </w:pPr>
            <w:r>
              <w:rPr>
                <w:rFonts w:ascii="Arial" w:cs="Arial" w:eastAsia="Arial" w:hAnsi="Arial"/>
                <w:sz w:val="18"/>
                <w:szCs w:val="18"/>
                <w:color w:val="auto"/>
              </w:rPr>
              <w:t>Brazil</w:t>
            </w:r>
          </w:p>
        </w:tc>
        <w:tc>
          <w:tcPr>
            <w:tcW w:w="2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125,858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44"/>
        </w:trPr>
        <w:tc>
          <w:tcPr>
            <w:tcW w:w="718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Consolidated</w:t>
            </w:r>
          </w:p>
        </w:tc>
        <w:tc>
          <w:tcPr>
            <w:tcW w:w="2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32"/>
              <w:spacing w:after="0" w:line="204" w:lineRule="exact"/>
              <w:rPr>
                <w:sz w:val="20"/>
                <w:szCs w:val="20"/>
                <w:color w:val="auto"/>
              </w:rPr>
            </w:pPr>
            <w:r>
              <w:rPr>
                <w:rFonts w:ascii="Arial" w:cs="Arial" w:eastAsia="Arial" w:hAnsi="Arial"/>
                <w:sz w:val="18"/>
                <w:szCs w:val="18"/>
                <w:color w:val="auto"/>
                <w:w w:val="92"/>
              </w:rPr>
              <w:t>3,592,492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87"/>
              </w:rPr>
              <w:t>3,452,530</w:t>
            </w:r>
          </w:p>
        </w:tc>
      </w:tr>
    </w:tbl>
    <w:p>
      <w:pPr>
        <w:spacing w:after="0" w:line="225"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Long-lived assets consist primarily of property and equipment. These assets are periodically reviewed to assure the net realizable value from the estimated future production based on forecasted sales exceeds the carrying value of the assets.</w:t>
      </w:r>
    </w:p>
    <w:p>
      <w:pPr>
        <w:spacing w:after="0" w:line="201" w:lineRule="exact"/>
        <w:rPr>
          <w:sz w:val="20"/>
          <w:szCs w:val="20"/>
          <w:color w:val="auto"/>
        </w:rPr>
      </w:pPr>
    </w:p>
    <w:p>
      <w:pPr>
        <w:ind w:left="700" w:hanging="695"/>
        <w:spacing w:after="0"/>
        <w:tabs>
          <w:tab w:leader="none" w:pos="7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year ended August 31, 2009, the Company was awarded multiple research and development contracts. The Company accrues proceeds received under the grants and offsets research and development expenses incurred in equal installments over the timelines associated with completion of the grants specific objectives and milestones. At May 31, 2011 and August 31, 2010, the Company deferred amounts received of $0 and $186,365, respectively, in other accrued liabilities, as the Company had not yet performed under the obligations of the contracts.</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Company expenses all costs related to product research and development as incurred. The Company incurred $3,308,515 and $2,526,478 of expense during the nine months ended May 31, 2011 and 2010, respectively, in connection with its research and development activities. These costs related to product research and development are the net amount after being reduced by reimbursements related to the awarding of the multiple research and development contracts of $219,175 and $400,094 for the nine months ended May 31, 2011 and 2010, respectively. The net fees are accounted for in the “Research and Development Expenses” section of the consolidated statements of operations.</w:t>
      </w:r>
    </w:p>
    <w:p>
      <w:pPr>
        <w:spacing w:after="0" w:line="186" w:lineRule="exact"/>
        <w:rPr>
          <w:sz w:val="20"/>
          <w:szCs w:val="20"/>
          <w:color w:val="auto"/>
        </w:rPr>
      </w:pPr>
    </w:p>
    <w:p>
      <w:pPr>
        <w:ind w:left="700" w:hanging="695"/>
        <w:spacing w:after="0"/>
        <w:tabs>
          <w:tab w:leader="none" w:pos="7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4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August 27, 2010, the Company’s Board of Directors, upon recommendation of the Compensation Committee, approved the material terms of an annual bonus plan for the Company’s executive officers and certain employees for the fiscal year ending August 31, 2011, the purpose of which is to align the interests of the Company, its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92" w:lineRule="exact"/>
        <w:rPr>
          <w:sz w:val="20"/>
          <w:szCs w:val="20"/>
          <w:color w:val="auto"/>
        </w:rPr>
      </w:pPr>
    </w:p>
    <w:p>
      <w:pPr>
        <w:ind w:left="960" w:hanging="137"/>
        <w:spacing w:after="0" w:line="262"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amount available under the bonus plan will be up to 25% of the Company’s pre-bonus earnings before interest, taxes and other income (“EBITOI”);</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4" w:name="page15"/>
    <w:bookmarkEnd w:id="14"/>
    <w:p>
      <w:pPr>
        <w:ind w:left="960" w:hanging="137"/>
        <w:spacing w:after="0" w:line="262"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amount available under the bonus plan will be $0 if EBITOI, as adjusted to take into account amounts to be paid under the bonus plan, fall below 70% of target EBITOI; and</w:t>
      </w:r>
    </w:p>
    <w:p>
      <w:pPr>
        <w:spacing w:after="0" w:line="207" w:lineRule="exact"/>
        <w:rPr>
          <w:rFonts w:ascii="Arial" w:cs="Arial" w:eastAsia="Arial" w:hAnsi="Arial"/>
          <w:sz w:val="18"/>
          <w:szCs w:val="18"/>
          <w:color w:val="auto"/>
        </w:rPr>
      </w:pPr>
    </w:p>
    <w:p>
      <w:pPr>
        <w:jc w:val="both"/>
        <w:ind w:left="960" w:hanging="137"/>
        <w:spacing w:after="0" w:line="25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of bonuses under the plan will be purely discretionary and will be paid to executive officer participants in both cash and stock, the exact amount and percentages of which will be determined by the Company’s Board of Directors, upon recommendation of the Compensation Committee.</w:t>
      </w:r>
    </w:p>
    <w:p>
      <w:pPr>
        <w:spacing w:after="0" w:line="21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There was $1,186,705 for management bonuses accrued for nine months ended May 31, 2011 compared to a management bonus accrual of $571,044 for the nine months ended May 31, 2010.</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leases property located at 23205 Mercantile Road, Beachwood, Ohio for research and development purposes. Total rent expense for the nine months ended May 31, 2011 and 2010 was $180,264 and $91,220 respectively. Remaining rentals payable under such leases are as follows: fiscal 2011 - $59,845; fiscal 2012 - $238,500; fiscal 2013 - $238,500; fiscal 2014 - $59,500 and thereafter - $0.</w:t>
      </w:r>
    </w:p>
    <w:p>
      <w:pPr>
        <w:spacing w:after="0" w:line="2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One customer accounted for 10.6% of the Company’s trade receivables, excluding joint ventures at August 31, 2010. One joint venture accounted for 49.4% of the Company’s trade joint venture receivables at May 31, 2011. One joint venture accounted for 36.4% of the Company’s trade joint venture receivables at August 31, 2010.</w:t>
      </w:r>
    </w:p>
    <w:p>
      <w:pPr>
        <w:spacing w:after="0" w:line="2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From time to time, the Company is involved in various legal actions arising in the normal course of business. Management is of the opinion that any judgment or settlement resulting from any currently pending or threatened actions would not have a material adverse effect on the Company’s financial position or consolidated results of operations.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5" w:name="page16"/>
    <w:bookmarkEnd w:id="15"/>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NTIC develops and markets proprietary environmentally beneficial products and technical services in over 55 countries either directly or via a network of joint ventures and independent distributors. NTIC’s primary business is corrosion prevention. From this base, NTIC has expanded into three new business areas that have started recently to generate revenue (1) corrosion prevention technologies specifically designed for the oil and gas industry, which NTIC sells both directly as well as through joint ventures and independent agents; (2) a proprietary portfolio of bio-plastic compounds and finished products marketed under the Natur-Tec® brand, which NTIC sells directly as well as through distributors and independent agents; and (3) technology and equipment that converts waste plastic into diesel, gasoline and heavy fractions, which is exclusively licensed and sold in North America and Asia through NTIC’s joint venture Polymer Energy, LLC.</w:t>
      </w:r>
    </w:p>
    <w:p>
      <w:pPr>
        <w:spacing w:after="0" w:line="192"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NTIC has been selling its proprietary ZERUST® brand rust and corrosion inhibiting products and services to the automotive, electronics, electrical, mechanical, military and retail consumer markets for over 35 years. NTIC also offers worldwide on-site technical consulting for rust and corrosion prevention issues. In North America, NTIC markets its technical services and products principally to industrial users by a direct sales force as well as a network of independent distributors and agents. NTIC’s technical service consultants work directly with the end users of NTIC’s products to analyze their specific needs and develop systems to meet their technical requirements.</w:t>
      </w: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NTIC has developed proprietary corrosion inhibiting technologies for use in the mitigation of corrosion on capital assets used in the petroleum and chemical process industries and is initially targeting the sale of these new ZERUST® products to the oil and gas industry sector. During fiscal 2009, NTIC announced the signing of a multi-year contract between NTIC’s Brazilian subsidiary (Zerust Prevenção de Corrosão S.A.) and Petroleo Brasileiro S.A. (Petrobras) to install and service proprietary corrosion protection technologies on the roofs of an initial set of aboveground oil storage tanks at the Petrobras REDUC refinery in Rio de Janeiro, Brazil. Also during fiscal 2009, NTIC signed multiple joint research and development contracts with Petrobras’s research and development group at the Leopoldo Américo Miguez de Mello Research &amp; Development Center (CENPES) pursuant to which the parties will undertake a 20-month Petrobras funded effort to explore, understand and resolve bottom plate corrosion issues in aboveground storage tanks. A second 12-month Petrobras sponsored project has also started aimed at field trials of certain pipeline protection technologies. All of these projects continued during fiscal 2010 and the first nine months of fiscal</w:t>
      </w:r>
    </w:p>
    <w:p>
      <w:pPr>
        <w:ind w:right="160"/>
        <w:spacing w:after="0" w:line="246" w:lineRule="auto"/>
        <w:rPr>
          <w:sz w:val="20"/>
          <w:szCs w:val="20"/>
          <w:color w:val="auto"/>
        </w:rPr>
      </w:pPr>
      <w:r>
        <w:rPr>
          <w:rFonts w:ascii="Arial" w:cs="Arial" w:eastAsia="Arial" w:hAnsi="Arial"/>
          <w:sz w:val="18"/>
          <w:szCs w:val="18"/>
          <w:color w:val="auto"/>
        </w:rPr>
        <w:t>2011. During fiscal 2011, NTIC’s Brazilian subsidiary signed a Phase 2 expanded contract with Petrobras to supply an additional $2.6 million (BRL$ 4.21 million) in ZERUST® FlangeSaver™ products to help protect several more of Petrobras’ off-shore oil production rigs from corrosion damage. It is anticipated that the majority of this contract will be fulfilled during fiscal 2012.</w:t>
      </w:r>
    </w:p>
    <w:p>
      <w:pPr>
        <w:spacing w:after="0" w:line="22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NTIC also is pursuing opportunities to market its ZERUST® corrosion prevention technology to other potential customers in the oil and gas industry across several countries through NTIC’s joint venture partners and other strategic partners. During fiscal 2010, NTIC entered into agreements with Iromad VZ, LLC and GF Consulting Services LLC to provide sales and marketing services for NTIC’s oil and gas industry specific corrosion prevention technologies with a particular focus on the markets in the United States, Venezuela, Mexico and Spain. NTIC</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380"/>
          </w:cols>
          <w:pgMar w:left="240" w:top="266" w:right="279" w:bottom="1440" w:gutter="0" w:footer="0" w:header="0"/>
        </w:sectPr>
      </w:pPr>
    </w:p>
    <w:bookmarkStart w:id="16" w:name="page17"/>
    <w:bookmarkEnd w:id="16"/>
    <w:p>
      <w:pPr>
        <w:ind w:right="20"/>
        <w:spacing w:after="0" w:line="262" w:lineRule="auto"/>
        <w:rPr>
          <w:sz w:val="20"/>
          <w:szCs w:val="20"/>
          <w:color w:val="auto"/>
        </w:rPr>
      </w:pPr>
      <w:r>
        <w:rPr>
          <w:rFonts w:ascii="Arial" w:cs="Arial" w:eastAsia="Arial" w:hAnsi="Arial"/>
          <w:sz w:val="18"/>
          <w:szCs w:val="18"/>
          <w:color w:val="auto"/>
        </w:rPr>
        <w:t>believes the sale of its ZERUST® products to customers in the oil and gas industry will involve a long sales cycle, likely including a one- to two-year trial period with each customer and a slow integration process thereafter.</w:t>
      </w:r>
    </w:p>
    <w:p>
      <w:pPr>
        <w:spacing w:after="0" w:line="20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 addition to ZERUST® products and services, NTIC develops and markets a portfolio of bio-based and/or biodegradable (compostable) polymer resin compounds and finished products under the Natur-Tec® brand. The Natur-Tec® bioplastics portfolio includes flexible film, foam, rigid injection molded materials and engineered plastics. Natur-Tec® biodegradable and compostable finished products include shopping and grocery bags, lawn and leaf bags, can liners, pet waste collection bags, cutlery, packaging foam and coated paper products and are engineered to be fully biodegradable in a composting environment. During fiscal 2010 and the first nine months of fiscal 2011, NTIC focused on adding additional distributors and generating initial sales with these distributors. During third quarter of fiscal 2011, NTIC signed a memorandum of understanding with the Indian conglomerate ITC Limited to jointly develop and commercialize biopolymer-paper products targeted at the consumer goods packaging market in India. The two companies will jointly develop solutions in the Indian market towards providing biodegradable/compostable products such as food service ware, food packaging, personal care product packaging and other fast-moving consumer goods packaging. The biopolymer materials will be manufactured by Harita-NTI, NTIC’s Indian joint venture, for integration with paper manufactured by ITC’s Paperboards and Specialty Papers Division (PSPD). Both companies also collaboratively will develop and promote joint branding and messaging for these products. In addition, during third quarter of fiscal 2011, NTIC entered into an agreement with Italy based Naturfuels S.r.l. to distribute its Natur-Tec® bioplastic materials and products in the Italian market. Under the terms of the distribution agreement, NTIC will supply Naturfuels with its patented high-strength Natur-Tec® BF703BX compostable film grade resin to be used for the production of bio-plastic shopping and garbage bags on conventional plastic film production equipment. BF703BX resin based film has been previously certified to be fully compostable in strict accordance to the European standard of EN13432 for compostable plastics by AIB-Vincotte, a respected Belgian third-party certification provider.</w:t>
      </w:r>
    </w:p>
    <w:p>
      <w:pPr>
        <w:spacing w:after="0" w:line="2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NTIC’s Polymer Energy LLC joint venture develops and promotes a system that uses catalytic pyrolysis to convert waste plastic (primarily polyolefins) into hydrocarbons (primarily a mix of diesels, gasoline and heavy fractions) resulting in an economically viable and environmentally responsible alternative to current methods of recycling and disposal of waste plastic. Each unit can process up to ten tons of waste plastic per day, and the modular design allows for easily scalable capacity. The crude output is high-grade and can be further processed in a refinery or used as an input for co-generation of electricity. During fiscal 2010 and the first nine months of fiscal 2011, NTIC’s Polymer Energy LLC joint venture focused on making design improvements to the Polymer Energy™ equipment and generating initial interest from potential customers in India, Thailand and Indonesia.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4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NTIC participates in 26 active joint venture arrangements in North America, South America, Europe, Asia and the Middle East. Each of these joint ventures generally manufactures and markets finished products in the geographic territory to which it is assigned. While most of NTIC’s joint ventures exclusively sell rust and corrosion inhibiting packaging and products to industrial customers, NTIC also has joint ventures that manufacture, market and sell corrosion prevention solutions for the oil and gas industry and Polymer Energy™ equipment that converts waste plastic into diesel, gasoline and heavy fractions. NTIC historically has funded its joint venture investments with cash generated from operations.</w:t>
      </w:r>
    </w:p>
    <w:p>
      <w:pPr>
        <w:spacing w:after="0" w:line="192"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NTIC’s receipt of funds from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its German joint venture, NTIC recognizes an agreed upon quarterly fee for such services. With respect to its ASEAN joint venture holding company, NTIC does not receive a fee for such services, but rather receives a bi-annual dividend based on available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380"/>
          </w:cols>
          <w:pgMar w:left="240" w:top="272" w:right="279" w:bottom="1440" w:gutter="0" w:footer="0" w:header="0"/>
        </w:sectPr>
      </w:pPr>
    </w:p>
    <w:bookmarkStart w:id="17" w:name="page18"/>
    <w:bookmarkEnd w:id="17"/>
    <w:p>
      <w:pPr>
        <w:ind w:right="80"/>
        <w:spacing w:after="0" w:line="291" w:lineRule="auto"/>
        <w:rPr>
          <w:sz w:val="20"/>
          <w:szCs w:val="20"/>
          <w:color w:val="auto"/>
        </w:rPr>
      </w:pPr>
      <w:r>
        <w:rPr>
          <w:rFonts w:ascii="Arial" w:cs="Arial" w:eastAsia="Arial" w:hAnsi="Arial"/>
          <w:sz w:val="16"/>
          <w:szCs w:val="16"/>
          <w:color w:val="auto"/>
        </w:rPr>
        <w:t>cash. NTIC recognizes equity income from its joint ventures based on the overall profitability of the entity. The profits of NTIC’s joint ventures are shared by the respective joint venture owners in accordance with their respective ownership percentages. NTIC typically owns only 50% or less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8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NTIC does not consolidate the results of its joint ventures, other than commencing in the fourth quarter of 2010, Zerust Prevenção de Corrosão S.A., NTIC’s subsidiary in Brazil (“Zerust Brazil”). NTIC holds 85% of the equity and 85% of the voting rights of Zerust Brazil. Prior to the fourth quarter of fiscal 2010 and the preparation of NTIC’s fiscal 2010 financial statements, NTIC accounted for its Zerust Brazil investment under the equity method. NTIC owned only 50%, which it considered to be less than a majority, of the equity and voting rights of Zerust Brazil prior to September 2006. NTIC acquired an additional 35% ownership interest in Zerust Brazil in September 2006 and held 85% of the equity and voting rights thereafter. Prior to the fourth quarter of fiscal 2010, NTIC held the additional 35% ownership interest in Zerust Brazil with the intent of finding an acquiring party, believing its majority control of Zerust Brazil would be temporary and determined not to consolidate Zerust Brazil because the impact on NTIC’s consolidated financial statements was immaterial. During the fourth quarter of fiscal 2010, NTIC stopped pursuing a buyer of the 35% ownership interest and decided to consolidate the financial results of Zerust Brazil as of and for the fiscal year ended August 31, 2010. NTIC believes that the impact of not consolidating Zerust Brazil on NTIC’s consolidated financial statements for periods prior to the fourth quarter of fiscal 2010 was immaterial to NTIC’s consolidated financial statements.</w:t>
      </w:r>
    </w:p>
    <w:p>
      <w:pPr>
        <w:spacing w:after="0" w:line="200" w:lineRule="exact"/>
        <w:rPr>
          <w:sz w:val="20"/>
          <w:szCs w:val="20"/>
          <w:color w:val="auto"/>
        </w:rPr>
      </w:pPr>
    </w:p>
    <w:p>
      <w:pPr>
        <w:ind w:right="140"/>
        <w:spacing w:after="0" w:line="325" w:lineRule="auto"/>
        <w:rPr>
          <w:sz w:val="20"/>
          <w:szCs w:val="20"/>
          <w:color w:val="auto"/>
        </w:rPr>
      </w:pPr>
      <w:r>
        <w:rPr>
          <w:rFonts w:ascii="Arial" w:cs="Arial" w:eastAsia="Arial" w:hAnsi="Arial"/>
          <w:sz w:val="16"/>
          <w:szCs w:val="16"/>
          <w:color w:val="auto"/>
        </w:rPr>
        <w:t>The following is a summary of certain line items of NTIC’s consolidated statements of operations for the three months ended May 31, 2010 as reported and on a pro forma basis, assuming the consolidation of Zerust Brazil on NTIC’s consolidated financial statements as of the beginning of such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12"/>
              <w:spacing w:after="0"/>
              <w:rPr>
                <w:sz w:val="20"/>
                <w:szCs w:val="20"/>
                <w:color w:val="auto"/>
              </w:rPr>
            </w:pPr>
            <w:r>
              <w:rPr>
                <w:rFonts w:ascii="Arial" w:cs="Arial" w:eastAsia="Arial" w:hAnsi="Arial"/>
                <w:sz w:val="18"/>
                <w:szCs w:val="18"/>
                <w:b w:val="1"/>
                <w:bCs w:val="1"/>
                <w:color w:val="auto"/>
                <w:w w:val="94"/>
              </w:rPr>
              <w:t>Zerust</w:t>
            </w: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Eliminated 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6880" w:type="dxa"/>
            <w:vAlign w:val="bottom"/>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As Reported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Brazil</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Consolidation</w:t>
            </w:r>
          </w:p>
        </w:tc>
        <w:tc>
          <w:tcPr>
            <w:tcW w:w="10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w w:val="93"/>
              </w:rPr>
              <w:t>Pro Forma</w:t>
            </w:r>
          </w:p>
        </w:tc>
      </w:tr>
      <w:tr>
        <w:trPr>
          <w:trHeight w:val="204"/>
        </w:trPr>
        <w:tc>
          <w:tcPr>
            <w:tcW w:w="68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4"/>
              </w:rPr>
              <w:t>3,237,198</w:t>
            </w:r>
          </w:p>
        </w:tc>
        <w:tc>
          <w:tcPr>
            <w:tcW w:w="26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706,888</w:t>
            </w:r>
          </w:p>
        </w:tc>
        <w:tc>
          <w:tcPr>
            <w:tcW w:w="42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(52,092)</w:t>
            </w:r>
          </w:p>
        </w:tc>
        <w:tc>
          <w:tcPr>
            <w:tcW w:w="2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2"/>
              </w:rPr>
              <w:t>3,891,994</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2,172,902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364,225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2,485,035</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1,064,296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342,663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1,406,959</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2,651,829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2,563,671</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2,857,979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230,198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3,088,177</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858,146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112,465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882,453</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841,968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103,716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857,526</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951,968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103,716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967,526</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15,557</w:t>
            </w:r>
          </w:p>
        </w:tc>
      </w:tr>
      <w:tr>
        <w:trPr>
          <w:trHeight w:val="211"/>
        </w:trPr>
        <w:tc>
          <w:tcPr>
            <w:tcW w:w="6880" w:type="dxa"/>
            <w:vAlign w:val="bottom"/>
          </w:tcPr>
          <w:p>
            <w:pPr>
              <w:spacing w:after="0"/>
              <w:rPr>
                <w:sz w:val="20"/>
                <w:szCs w:val="20"/>
                <w:color w:val="auto"/>
              </w:rPr>
            </w:pPr>
            <w:r>
              <w:rPr>
                <w:rFonts w:ascii="Arial" w:cs="Arial" w:eastAsia="Arial" w:hAnsi="Arial"/>
                <w:sz w:val="18"/>
                <w:szCs w:val="18"/>
                <w:color w:val="auto"/>
              </w:rPr>
              <w:t>Net income attributable to controlling interest</w:t>
            </w:r>
          </w:p>
        </w:tc>
        <w:tc>
          <w:tcPr>
            <w:tcW w:w="18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951,968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88,158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(88,158)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951,968</w:t>
            </w:r>
          </w:p>
        </w:tc>
      </w:tr>
      <w:tr>
        <w:trPr>
          <w:trHeight w:val="211"/>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diluted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r>
    </w:tbl>
    <w:p>
      <w:pPr>
        <w:spacing w:after="0" w:line="225" w:lineRule="exact"/>
        <w:rPr>
          <w:sz w:val="20"/>
          <w:szCs w:val="20"/>
          <w:color w:val="auto"/>
        </w:rPr>
      </w:pPr>
    </w:p>
    <w:p>
      <w:pPr>
        <w:ind w:right="180"/>
        <w:spacing w:after="0" w:line="325" w:lineRule="auto"/>
        <w:rPr>
          <w:sz w:val="20"/>
          <w:szCs w:val="20"/>
          <w:color w:val="auto"/>
        </w:rPr>
      </w:pPr>
      <w:r>
        <w:rPr>
          <w:rFonts w:ascii="Arial" w:cs="Arial" w:eastAsia="Arial" w:hAnsi="Arial"/>
          <w:sz w:val="16"/>
          <w:szCs w:val="16"/>
          <w:color w:val="auto"/>
        </w:rPr>
        <w:t>The following is a summary of certain line items of NTIC’s consolidated statements of operations for the nine months ended May 31, 2010 as reported and on a pro forma basis, assuming the consolidation of Zerust Brazil on NTIC’s consolidated financial statements as of the beginning of such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b w:val="1"/>
                <w:bCs w:val="1"/>
                <w:color w:val="auto"/>
              </w:rPr>
              <w:t>Zerust</w:t>
            </w: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Eliminated in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40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As Reported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Brazil</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Consolidation</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3"/>
              </w:rPr>
              <w:t>Pro Forma</w:t>
            </w:r>
          </w:p>
        </w:tc>
      </w:tr>
      <w:tr>
        <w:trPr>
          <w:trHeight w:val="204"/>
        </w:trPr>
        <w:tc>
          <w:tcPr>
            <w:tcW w:w="40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w:t>
            </w:r>
          </w:p>
        </w:tc>
        <w:tc>
          <w:tcPr>
            <w:tcW w:w="3900" w:type="dxa"/>
            <w:vAlign w:val="bottom"/>
            <w:gridSpan w:val="2"/>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  8,825,078</w:t>
            </w:r>
          </w:p>
        </w:tc>
        <w:tc>
          <w:tcPr>
            <w:tcW w:w="1100" w:type="dxa"/>
            <w:vAlign w:val="bottom"/>
            <w:gridSpan w:val="2"/>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rPr>
              <w:t>$ 1,668,220</w:t>
            </w:r>
          </w:p>
        </w:tc>
        <w:tc>
          <w:tcPr>
            <w:tcW w:w="42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(83,964)</w:t>
            </w:r>
          </w:p>
        </w:tc>
        <w:tc>
          <w:tcPr>
            <w:tcW w:w="1100" w:type="dxa"/>
            <w:vAlign w:val="bottom"/>
            <w:gridSpan w:val="2"/>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7"/>
              </w:rPr>
              <w:t>$10,409,334</w:t>
            </w:r>
          </w:p>
        </w:tc>
      </w:tr>
      <w:tr>
        <w:trPr>
          <w:trHeight w:val="211"/>
        </w:trPr>
        <w:tc>
          <w:tcPr>
            <w:tcW w:w="4040" w:type="dxa"/>
            <w:vAlign w:val="bottom"/>
          </w:tcPr>
          <w:p>
            <w:pPr>
              <w:spacing w:after="0"/>
              <w:rPr>
                <w:sz w:val="20"/>
                <w:szCs w:val="20"/>
                <w:color w:val="auto"/>
              </w:rPr>
            </w:pPr>
            <w:r>
              <w:rPr>
                <w:rFonts w:ascii="Arial" w:cs="Arial" w:eastAsia="Arial" w:hAnsi="Arial"/>
                <w:sz w:val="18"/>
                <w:szCs w:val="18"/>
                <w:color w:val="auto"/>
              </w:rPr>
              <w:t>Cost of goods sold</w:t>
            </w:r>
          </w:p>
        </w:tc>
        <w:tc>
          <w:tcPr>
            <w:tcW w:w="3900" w:type="dxa"/>
            <w:vAlign w:val="bottom"/>
            <w:gridSpan w:val="2"/>
          </w:tcPr>
          <w:p>
            <w:pPr>
              <w:jc w:val="right"/>
              <w:ind w:right="12"/>
              <w:spacing w:after="0"/>
              <w:rPr>
                <w:sz w:val="20"/>
                <w:szCs w:val="20"/>
                <w:color w:val="auto"/>
              </w:rPr>
            </w:pPr>
            <w:r>
              <w:rPr>
                <w:rFonts w:ascii="Arial" w:cs="Arial" w:eastAsia="Arial" w:hAnsi="Arial"/>
                <w:sz w:val="18"/>
                <w:szCs w:val="18"/>
                <w:color w:val="auto"/>
              </w:rPr>
              <w:t>5,771,045</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891,214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(83,964)</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6,578,295</w:t>
            </w:r>
          </w:p>
        </w:tc>
      </w:tr>
      <w:tr>
        <w:trPr>
          <w:trHeight w:val="211"/>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9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3,054,033</w:t>
            </w:r>
          </w:p>
        </w:tc>
        <w:tc>
          <w:tcPr>
            <w:tcW w:w="1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777,006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3,831,039</w:t>
            </w:r>
          </w:p>
        </w:tc>
      </w:tr>
      <w:tr>
        <w:trPr>
          <w:trHeight w:val="211"/>
        </w:trPr>
        <w:tc>
          <w:tcPr>
            <w:tcW w:w="404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3900" w:type="dxa"/>
            <w:vAlign w:val="bottom"/>
            <w:gridSpan w:val="2"/>
          </w:tcPr>
          <w:p>
            <w:pPr>
              <w:jc w:val="right"/>
              <w:ind w:right="12"/>
              <w:spacing w:after="0"/>
              <w:rPr>
                <w:sz w:val="20"/>
                <w:szCs w:val="20"/>
                <w:color w:val="auto"/>
              </w:rPr>
            </w:pPr>
            <w:r>
              <w:rPr>
                <w:rFonts w:ascii="Arial" w:cs="Arial" w:eastAsia="Arial" w:hAnsi="Arial"/>
                <w:sz w:val="18"/>
                <w:szCs w:val="18"/>
                <w:color w:val="auto"/>
              </w:rPr>
              <w:t>6,350,683</w:t>
            </w: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(45,062)</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6,305,621</w:t>
            </w:r>
          </w:p>
        </w:tc>
      </w:tr>
      <w:tr>
        <w:trPr>
          <w:trHeight w:val="211"/>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9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7,841,847</w:t>
            </w:r>
          </w:p>
        </w:tc>
        <w:tc>
          <w:tcPr>
            <w:tcW w:w="1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716,250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8,558,097</w:t>
            </w:r>
          </w:p>
        </w:tc>
      </w:tr>
      <w:tr>
        <w:trPr>
          <w:trHeight w:val="211"/>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3900" w:type="dxa"/>
            <w:vAlign w:val="bottom"/>
            <w:gridSpan w:val="2"/>
          </w:tcPr>
          <w:p>
            <w:pPr>
              <w:jc w:val="right"/>
              <w:ind w:right="12"/>
              <w:spacing w:after="0"/>
              <w:rPr>
                <w:sz w:val="20"/>
                <w:szCs w:val="20"/>
                <w:color w:val="auto"/>
              </w:rPr>
            </w:pPr>
            <w:r>
              <w:rPr>
                <w:rFonts w:ascii="Arial" w:cs="Arial" w:eastAsia="Arial" w:hAnsi="Arial"/>
                <w:sz w:val="18"/>
                <w:szCs w:val="18"/>
                <w:color w:val="auto"/>
              </w:rPr>
              <w:t>1,562,869</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60,756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(45,062)</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1,578,563</w:t>
            </w:r>
          </w:p>
        </w:tc>
      </w:tr>
      <w:tr>
        <w:trPr>
          <w:trHeight w:val="211"/>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39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1,515,314</w:t>
            </w:r>
          </w:p>
        </w:tc>
        <w:tc>
          <w:tcPr>
            <w:tcW w:w="1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53,014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(45,062)</w:t>
            </w:r>
          </w:p>
        </w:tc>
        <w:tc>
          <w:tcPr>
            <w:tcW w:w="11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1,523,266</w:t>
            </w:r>
          </w:p>
        </w:tc>
      </w:tr>
      <w:tr>
        <w:trPr>
          <w:trHeight w:val="593"/>
        </w:trPr>
        <w:tc>
          <w:tcPr>
            <w:tcW w:w="4040" w:type="dxa"/>
            <w:vAlign w:val="bottom"/>
          </w:tcPr>
          <w:p>
            <w:pPr>
              <w:spacing w:after="0"/>
              <w:rPr>
                <w:sz w:val="24"/>
                <w:szCs w:val="24"/>
                <w:color w:val="auto"/>
              </w:rPr>
            </w:pPr>
          </w:p>
        </w:tc>
        <w:tc>
          <w:tcPr>
            <w:tcW w:w="2840" w:type="dxa"/>
            <w:vAlign w:val="bottom"/>
          </w:tcPr>
          <w:p>
            <w:pPr>
              <w:jc w:val="right"/>
              <w:ind w:right="992"/>
              <w:spacing w:after="0"/>
              <w:rPr>
                <w:sz w:val="20"/>
                <w:szCs w:val="20"/>
                <w:color w:val="auto"/>
              </w:rPr>
            </w:pPr>
            <w:r>
              <w:rPr>
                <w:rFonts w:ascii="Arial" w:cs="Arial" w:eastAsia="Arial" w:hAnsi="Arial"/>
                <w:sz w:val="18"/>
                <w:szCs w:val="18"/>
                <w:color w:val="auto"/>
              </w:rPr>
              <w:t>17</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42"/>
        </w:trPr>
        <w:tc>
          <w:tcPr>
            <w:tcW w:w="4040" w:type="dxa"/>
            <w:vAlign w:val="bottom"/>
            <w:tcBorders>
              <w:bottom w:val="single" w:sz="8" w:color="808080"/>
            </w:tcBorders>
          </w:tcPr>
          <w:p>
            <w:pPr>
              <w:spacing w:after="0"/>
              <w:rPr>
                <w:sz w:val="12"/>
                <w:szCs w:val="12"/>
                <w:color w:val="auto"/>
              </w:rPr>
            </w:pPr>
          </w:p>
        </w:tc>
        <w:tc>
          <w:tcPr>
            <w:tcW w:w="284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9"/>
        </w:trPr>
        <w:tc>
          <w:tcPr>
            <w:tcW w:w="5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As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Zerust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w w:val="92"/>
              </w:rPr>
              <w:t>Eliminated in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rPr>
              <w:t>Pro</w:t>
            </w:r>
          </w:p>
        </w:tc>
        <w:tc>
          <w:tcPr>
            <w:tcW w:w="0" w:type="dxa"/>
            <w:vAlign w:val="bottom"/>
          </w:tcPr>
          <w:p>
            <w:pPr>
              <w:spacing w:after="0"/>
              <w:rPr>
                <w:sz w:val="1"/>
                <w:szCs w:val="1"/>
                <w:color w:val="auto"/>
              </w:rPr>
            </w:pPr>
          </w:p>
        </w:tc>
      </w:tr>
      <w:tr>
        <w:trPr>
          <w:trHeight w:val="193"/>
        </w:trPr>
        <w:tc>
          <w:tcPr>
            <w:tcW w:w="5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8"/>
              </w:rPr>
              <w:t>Reported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Brazil</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6"/>
              </w:rPr>
              <w:t>Consolidation</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Forma</w:t>
            </w:r>
          </w:p>
        </w:tc>
        <w:tc>
          <w:tcPr>
            <w:tcW w:w="0" w:type="dxa"/>
            <w:vAlign w:val="bottom"/>
          </w:tcPr>
          <w:p>
            <w:pPr>
              <w:spacing w:after="0"/>
              <w:rPr>
                <w:sz w:val="1"/>
                <w:szCs w:val="1"/>
                <w:color w:val="auto"/>
              </w:rPr>
            </w:pPr>
          </w:p>
        </w:tc>
      </w:tr>
      <w:tr>
        <w:trPr>
          <w:trHeight w:val="205"/>
        </w:trPr>
        <w:tc>
          <w:tcPr>
            <w:tcW w:w="5180" w:type="dxa"/>
            <w:vAlign w:val="bottom"/>
          </w:tcPr>
          <w:p>
            <w:pPr>
              <w:spacing w:after="0" w:line="204" w:lineRule="exact"/>
              <w:rPr>
                <w:sz w:val="20"/>
                <w:szCs w:val="20"/>
                <w:color w:val="auto"/>
              </w:rPr>
            </w:pPr>
            <w:r>
              <w:rPr>
                <w:rFonts w:ascii="Arial" w:cs="Arial" w:eastAsia="Arial" w:hAnsi="Arial"/>
                <w:sz w:val="18"/>
                <w:szCs w:val="18"/>
                <w:color w:val="auto"/>
              </w:rPr>
              <w:t>Net income</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2"/>
              <w:spacing w:after="0" w:line="205" w:lineRule="exact"/>
              <w:rPr>
                <w:sz w:val="20"/>
                <w:szCs w:val="20"/>
                <w:color w:val="auto"/>
              </w:rPr>
            </w:pPr>
            <w:r>
              <w:rPr>
                <w:rFonts w:ascii="Arial" w:cs="Arial" w:eastAsia="Arial" w:hAnsi="Arial"/>
                <w:sz w:val="18"/>
                <w:szCs w:val="18"/>
                <w:color w:val="auto"/>
                <w:w w:val="94"/>
              </w:rPr>
              <w:t>1,734,314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2"/>
              <w:spacing w:after="0" w:line="205" w:lineRule="exact"/>
              <w:rPr>
                <w:sz w:val="20"/>
                <w:szCs w:val="20"/>
                <w:color w:val="auto"/>
              </w:rPr>
            </w:pPr>
            <w:r>
              <w:rPr>
                <w:rFonts w:ascii="Arial" w:cs="Arial" w:eastAsia="Arial" w:hAnsi="Arial"/>
                <w:sz w:val="18"/>
                <w:szCs w:val="18"/>
                <w:color w:val="auto"/>
              </w:rPr>
              <w:t>53,014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5" w:lineRule="exact"/>
              <w:rPr>
                <w:sz w:val="20"/>
                <w:szCs w:val="20"/>
                <w:color w:val="auto"/>
              </w:rPr>
            </w:pPr>
            <w:r>
              <w:rPr>
                <w:rFonts w:ascii="Arial" w:cs="Arial" w:eastAsia="Arial" w:hAnsi="Arial"/>
                <w:sz w:val="18"/>
                <w:szCs w:val="18"/>
                <w:color w:val="auto"/>
              </w:rPr>
              <w:t>(45,062)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2"/>
              <w:spacing w:after="0" w:line="205" w:lineRule="exact"/>
              <w:rPr>
                <w:sz w:val="20"/>
                <w:szCs w:val="20"/>
                <w:color w:val="auto"/>
              </w:rPr>
            </w:pPr>
            <w:r>
              <w:rPr>
                <w:rFonts w:ascii="Arial" w:cs="Arial" w:eastAsia="Arial" w:hAnsi="Arial"/>
                <w:sz w:val="18"/>
                <w:szCs w:val="18"/>
                <w:color w:val="auto"/>
                <w:w w:val="92"/>
              </w:rPr>
              <w:t>1,742,266</w:t>
            </w:r>
          </w:p>
        </w:tc>
        <w:tc>
          <w:tcPr>
            <w:tcW w:w="0" w:type="dxa"/>
            <w:vAlign w:val="bottom"/>
          </w:tcPr>
          <w:p>
            <w:pPr>
              <w:spacing w:after="0"/>
              <w:rPr>
                <w:sz w:val="1"/>
                <w:szCs w:val="1"/>
                <w:color w:val="auto"/>
              </w:rPr>
            </w:pP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7,952</w:t>
            </w:r>
          </w:p>
        </w:tc>
        <w:tc>
          <w:tcPr>
            <w:tcW w:w="0" w:type="dxa"/>
            <w:vAlign w:val="bottom"/>
          </w:tcPr>
          <w:p>
            <w:pPr>
              <w:spacing w:after="0"/>
              <w:rPr>
                <w:sz w:val="1"/>
                <w:szCs w:val="1"/>
                <w:color w:val="auto"/>
              </w:rPr>
            </w:pPr>
          </w:p>
        </w:tc>
      </w:tr>
      <w:tr>
        <w:trPr>
          <w:trHeight w:val="211"/>
        </w:trPr>
        <w:tc>
          <w:tcPr>
            <w:tcW w:w="5180" w:type="dxa"/>
            <w:vAlign w:val="bottom"/>
          </w:tcPr>
          <w:p>
            <w:pPr>
              <w:spacing w:after="0"/>
              <w:rPr>
                <w:sz w:val="20"/>
                <w:szCs w:val="20"/>
                <w:color w:val="auto"/>
              </w:rPr>
            </w:pPr>
            <w:r>
              <w:rPr>
                <w:rFonts w:ascii="Arial" w:cs="Arial" w:eastAsia="Arial" w:hAnsi="Arial"/>
                <w:sz w:val="18"/>
                <w:szCs w:val="18"/>
                <w:color w:val="auto"/>
              </w:rPr>
              <w:t>Net income attributable to controlling interest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1,734,314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45,062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1,734,314</w:t>
            </w:r>
          </w:p>
        </w:tc>
        <w:tc>
          <w:tcPr>
            <w:tcW w:w="0" w:type="dxa"/>
            <w:vAlign w:val="bottom"/>
          </w:tcPr>
          <w:p>
            <w:pPr>
              <w:spacing w:after="0"/>
              <w:rPr>
                <w:sz w:val="1"/>
                <w:szCs w:val="1"/>
                <w:color w:val="auto"/>
              </w:rPr>
            </w:pP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diluted share</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NTIC has not consolidated the Polymer Energy LLC joint venture in NTIC’s consolidated financial statements for the nine months ended May 31, 2011 or 2010 or any prior period since Polymer Energy LLC has had limited activity since its inception in 2003 and NTIC believes that the impact of not consolidating this entity on NTIC’s consolidated financial statement has been immaterial. Prior to fiscal 2010, Polymer Energy LLC did not have any financial activity including assets, liabilities, capital contributions, revenues or expenses. During fiscal 2010, the only financial activity of Polymer Energy LLC was the receipt of license fees which were distributed to its owners in proportion to their respective ownership percentages. Since NTIC owns a 62.5% ownership interest in Polymer Energy LLC, NTIC received and recorded a portion of these fees for services provided to joint ventures in its fiscal 2010 consolidated financial statements. No license fees were received by Polymer Energy LLC and no other financial activity took place during the nine months ended May 31, 2011. Accordingly, during the nine months ended May 31, 2011, NTIC received and recorded no fees for services provided to joint ventures in its consolidated financial statements attributable to its ownership interest in Polymer Energy LLC.</w:t>
      </w:r>
    </w:p>
    <w:p>
      <w:pPr>
        <w:spacing w:after="0" w:line="19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NTIC considers its German joint venture and ASEAN joint venture holding company to be individually significant to NTIC’s consolidated assets and income; and therefore, provides certain additional information regarding these joint ventures in the notes to NTIC’s consolidated financial statements and in this section of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47" w:lineRule="exact"/>
        <w:rPr>
          <w:sz w:val="20"/>
          <w:szCs w:val="20"/>
          <w:color w:val="auto"/>
        </w:rPr>
      </w:pPr>
    </w:p>
    <w:p>
      <w:pPr>
        <w:ind w:right="640"/>
        <w:spacing w:after="0" w:line="363" w:lineRule="auto"/>
        <w:rPr>
          <w:sz w:val="20"/>
          <w:szCs w:val="20"/>
          <w:color w:val="auto"/>
        </w:rPr>
      </w:pPr>
      <w:r>
        <w:rPr>
          <w:rFonts w:ascii="Arial" w:cs="Arial" w:eastAsia="Arial" w:hAnsi="Arial"/>
          <w:sz w:val="15"/>
          <w:szCs w:val="15"/>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37"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NTIC’s consolidated net sales increased 57.6% and 58.4% during the three and nine months ended May 31, 2011, respectively, compared to the three and nine months ended May 31, 2010. These increases were primarily a result of increased sales of ZERUST® rust and corrosion inhibiting packaging products and services and sales to NTIC’s joint ventures and the consolidation of Zerust Brazil on NTIC’s consolidated financial statements. During the three and nine months ended May 31, 2011, 95.2% of NTIC’s consolidated net sales were derived from sales of ZERUST® products and services, which increased 58.1% and 56.8% to $4,855,535 and $13,307,276 during the three and nine months ended May 31, 2011, respectively, compared to $3,072,037 and $8,485,046 during the three and nine months ended May 31, 2010, respectively, due to increased demand primarily as a result of the economic recovery of the domestic manufacturing sector, the addition of new customers and the consolidation of Zerust Brazil, partially offset by decreased pricing due to increased competition. During the three and nine months ended May 31, 2011, 4.8% of NTIC’s consolidated net sales were derived from sales of Natur-Tec® products compared to 5.1% and 3.9% during the three and nine months ended May 31, 2010, respectively. Net sales of Natur-Tec® products increased 48.5% and 97.1% during the three and nine months ended May 31, 2011, respectively, compared to the three and nine months ended May 31, 2010. These increases were primarily due to the addition of new Natur-Tec® distributors on the West Coast of the United States.</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Cost of goods sold as a percentage of net sales increased slightly to 67.8% and 65.5% for the three and nine months ended May 31, 2011, respectively, compared to 67.1% and 65.4% for the three and nine months ended May 31, 2010, respectively, primarily as a result of slightly reduced margins resulting from a slight increase in raw material prices, partially offset by increased net sales.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9" w:name="page20"/>
    <w:bookmarkEnd w:id="19"/>
    <w:p>
      <w:pPr>
        <w:ind w:right="80"/>
        <w:spacing w:after="0" w:line="283" w:lineRule="auto"/>
        <w:rPr>
          <w:sz w:val="20"/>
          <w:szCs w:val="20"/>
          <w:color w:val="auto"/>
        </w:rPr>
      </w:pPr>
      <w:r>
        <w:rPr>
          <w:rFonts w:ascii="Arial" w:cs="Arial" w:eastAsia="Arial" w:hAnsi="Arial"/>
          <w:sz w:val="16"/>
          <w:szCs w:val="16"/>
          <w:color w:val="auto"/>
        </w:rPr>
        <w:t>NTIC’s equity in income of joint ventures increased 14.1% and 56.4% during the three and nine months ended May 31, 2011, respectively. Equity in income of joint ventures was $1,724,477 and $4,549,267 during the three and nine months ended May 31, 2011, respectively, compared to $1,511,534 and $2,909,120 during the three and nine months ended May 31, 2010, respectively. NTIC recognized a 42.4% and 30.1% increase in fees for services provided to joint ventures during the three and nine months ended May 31, 2011, respectively, compared to the three and nine months ended May 31, 2010. Both of these increases were primarily a result of a 39.3% increase in total net sales of NTIC’s joint ventures during the nine months ended May 31, 2011 compared to the nine months ended May 31, 2010. This increase in total net sales of NTIC’s joint ventures was primarily a result of the targeting of new business opportunities and the economic recovery, to some extent, of the international manufacturing sector that the NTIC joint venture network serves.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NTIC’s total operating expenses increased 32.9% during the nine months ended May 31, 2011 compared to the nine months ended May 31, 2010 primarily as 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result of the consolidation of Zerust Brazil on NTIC’s consolidated financial statements, an increase in personnel expenses and an increase in the accrual of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management bonus. NTIC expenses all costs related to product research and development as incurred. NTIC incurred $3,308,515 and $2,526,478 of expense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May 31, 2011 and 2010, respectively, in connection with its research and development activities. These costs related to product</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research and development are the net amount after being reduced by reimbursements related to the awarding of the multiple research and development contracts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$219,175 and $400,094 for the nine months ended May 31, 2011 and 2010, respectively. NTIC anticipates that it will spend between $4,000,000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$4,500,000 in total during fiscal 2011 on research and development activities related to its core and new technologies. This estimate is a net range after being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reduced by reimbursements related to the awarding of multiple research and development contracts.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NTIC increased 7.5% to $1,023,549, or $0.23 per diluted common share, for the three months ended May 31, 2011 compared to</w:t>
      </w:r>
    </w:p>
    <w:p>
      <w:pPr>
        <w:spacing w:after="0" w:line="3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$951,968, or $0.22 per diluted common share, for the three months ended May 31, 2010. Net income attributable to NTIC increased 65.6%, to $2,872,369, or $0.66 per diluted common share, for the nine months ended May 31, 2011 compared to $1,734,314, or $0.41 per diluted common share, for the nine months ended May 31, 2010. These increases were primarily the result of increased income from NTIC’s joint ventures and gross profit, partially offset by an increase in operating expenses. NTIC anticipates that its quarterly net income will remain subject to significant volatility primarily due to the financial performance of its joint ventures and sales of its ZERUST® products and services into the oil and gas industry and Natur-Tec® bioplastics products, which sales fluctuate more on a quarterly basis than the traditional ZERUST® business.</w:t>
      </w:r>
    </w:p>
    <w:p>
      <w:pPr>
        <w:spacing w:after="0" w:line="194"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NTIC’s working capital was $8,905,217 at May 31, 2011, including $2,676,921 in cash and cash equivalents compared to $5,918,923 at August 31, 2010, including $1,776,162 in cash and cash equivalents.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three months ended May 31, 2011 and May 31, 2010.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6"/>
              </w:rPr>
              <w:t>Three Months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1"/>
        </w:trPr>
        <w:tc>
          <w:tcPr>
            <w:tcW w:w="398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w w:val="89"/>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Ended</w:t>
            </w:r>
          </w:p>
        </w:tc>
        <w:tc>
          <w:tcPr>
            <w:tcW w:w="1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w:t>
            </w:r>
          </w:p>
        </w:tc>
      </w:tr>
      <w:tr>
        <w:trPr>
          <w:trHeight w:val="229"/>
        </w:trPr>
        <w:tc>
          <w:tcPr>
            <w:tcW w:w="3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8"/>
              </w:rPr>
              <w:t>May 31, 2011</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3"/>
              </w:rPr>
              <w:t>Net Sales</w:t>
            </w:r>
          </w:p>
        </w:tc>
        <w:tc>
          <w:tcPr>
            <w:tcW w:w="120" w:type="dxa"/>
            <w:vAlign w:val="bottom"/>
          </w:tcPr>
          <w:p>
            <w:pPr>
              <w:spacing w:after="0"/>
              <w:rPr>
                <w:sz w:val="19"/>
                <w:szCs w:val="19"/>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May 31, 2010</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3"/>
              </w:rPr>
              <w:t>Net Sales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Change</w:t>
            </w:r>
          </w:p>
        </w:tc>
      </w:tr>
      <w:tr>
        <w:trPr>
          <w:trHeight w:val="204"/>
        </w:trPr>
        <w:tc>
          <w:tcPr>
            <w:tcW w:w="39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 excluding joint ventures</w:t>
            </w:r>
          </w:p>
        </w:tc>
        <w:tc>
          <w:tcPr>
            <w:tcW w:w="1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4,367,589</w:t>
            </w:r>
          </w:p>
        </w:tc>
        <w:tc>
          <w:tcPr>
            <w:tcW w:w="1200" w:type="dxa"/>
            <w:vAlign w:val="bottom"/>
            <w:gridSpan w:val="3"/>
            <w:shd w:val="clear" w:color="auto" w:fill="CCEEFF"/>
          </w:tcPr>
          <w:p>
            <w:pPr>
              <w:jc w:val="right"/>
              <w:spacing w:after="0" w:line="205" w:lineRule="exact"/>
              <w:rPr>
                <w:sz w:val="20"/>
                <w:szCs w:val="20"/>
                <w:color w:val="auto"/>
              </w:rPr>
            </w:pPr>
            <w:r>
              <w:rPr>
                <w:rFonts w:ascii="Arial" w:cs="Arial" w:eastAsia="Arial" w:hAnsi="Arial"/>
                <w:sz w:val="18"/>
                <w:szCs w:val="18"/>
                <w:color w:val="auto"/>
              </w:rPr>
              <w:t>85.6%</w:t>
            </w:r>
          </w:p>
        </w:tc>
        <w:tc>
          <w:tcPr>
            <w:tcW w:w="30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2,559467</w:t>
            </w:r>
          </w:p>
        </w:tc>
        <w:tc>
          <w:tcPr>
            <w:tcW w:w="11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79.1%</w:t>
            </w:r>
          </w:p>
        </w:tc>
        <w:tc>
          <w:tcPr>
            <w:tcW w:w="24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2"/>
              </w:rPr>
              <w:t>1,808,122</w:t>
            </w:r>
          </w:p>
        </w:tc>
        <w:tc>
          <w:tcPr>
            <w:tcW w:w="112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70.6%</w:t>
            </w:r>
          </w:p>
        </w:tc>
      </w:tr>
      <w:tr>
        <w:trPr>
          <w:trHeight w:val="211"/>
        </w:trPr>
        <w:tc>
          <w:tcPr>
            <w:tcW w:w="398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733,189</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677,731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55,458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3,458,851</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2,172,902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1,285,949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11"/>
        </w:trPr>
        <w:tc>
          <w:tcPr>
            <w:tcW w:w="398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1,724,477</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1,511,534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212,943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14.1%</w:t>
            </w: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1,623,585</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1,140,295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483,290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11"/>
        </w:trPr>
        <w:tc>
          <w:tcPr>
            <w:tcW w:w="3980" w:type="dxa"/>
            <w:vAlign w:val="bottom"/>
          </w:tcPr>
          <w:p>
            <w:pPr>
              <w:spacing w:after="0"/>
              <w:rPr>
                <w:sz w:val="20"/>
                <w:szCs w:val="20"/>
                <w:color w:val="auto"/>
              </w:rPr>
            </w:pPr>
            <w:r>
              <w:rPr>
                <w:rFonts w:ascii="Arial" w:cs="Arial" w:eastAsia="Arial" w:hAnsi="Arial"/>
                <w:sz w:val="18"/>
                <w:szCs w:val="18"/>
                <w:color w:val="auto"/>
              </w:rPr>
              <w:t>Selling expenses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1,167,630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819,572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348,058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42.5%</w:t>
            </w: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1,126,823</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869,183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257,640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11"/>
        </w:trPr>
        <w:tc>
          <w:tcPr>
            <w:tcW w:w="398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244,959</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208,444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36,515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1,207,889</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960,780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247,109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593"/>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gridSpan w:val="3"/>
          </w:tcPr>
          <w:p>
            <w:pPr>
              <w:jc w:val="right"/>
              <w:ind w:right="912"/>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42"/>
        </w:trPr>
        <w:tc>
          <w:tcPr>
            <w:tcW w:w="39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sets forth NTIC’s results of operations for the nine months ended May 31, 2011 and May 31, 2010.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8"/>
              </w:rPr>
              <w:t>Nine Months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1"/>
        </w:trPr>
        <w:tc>
          <w:tcPr>
            <w:tcW w:w="410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w w:val="95"/>
              </w:rPr>
              <w:t>Nine Months Ended</w:t>
            </w:r>
          </w:p>
        </w:tc>
        <w:tc>
          <w:tcPr>
            <w:tcW w:w="10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8"/>
                <w:szCs w:val="18"/>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412"/>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w:t>
            </w:r>
          </w:p>
        </w:tc>
      </w:tr>
      <w:tr>
        <w:trPr>
          <w:trHeight w:val="229"/>
        </w:trPr>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72"/>
              <w:spacing w:after="0"/>
              <w:rPr>
                <w:sz w:val="20"/>
                <w:szCs w:val="20"/>
                <w:color w:val="auto"/>
              </w:rPr>
            </w:pPr>
            <w:r>
              <w:rPr>
                <w:rFonts w:ascii="Arial" w:cs="Arial" w:eastAsia="Arial" w:hAnsi="Arial"/>
                <w:sz w:val="18"/>
                <w:szCs w:val="18"/>
                <w:b w:val="1"/>
                <w:bCs w:val="1"/>
                <w:color w:val="auto"/>
                <w:w w:val="96"/>
              </w:rPr>
              <w:t>May 31, 2011</w:t>
            </w:r>
          </w:p>
        </w:tc>
        <w:tc>
          <w:tcPr>
            <w:tcW w:w="10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b w:val="1"/>
                <w:bCs w:val="1"/>
                <w:color w:val="auto"/>
                <w:w w:val="93"/>
              </w:rPr>
              <w:t>Net Sales</w:t>
            </w:r>
          </w:p>
        </w:tc>
        <w:tc>
          <w:tcPr>
            <w:tcW w:w="1200" w:type="dxa"/>
            <w:vAlign w:val="bottom"/>
            <w:gridSpan w:val="3"/>
          </w:tcPr>
          <w:p>
            <w:pPr>
              <w:ind w:left="120"/>
              <w:spacing w:after="0"/>
              <w:rPr>
                <w:sz w:val="20"/>
                <w:szCs w:val="20"/>
                <w:color w:val="auto"/>
              </w:rPr>
            </w:pPr>
            <w:r>
              <w:rPr>
                <w:rFonts w:ascii="Arial" w:cs="Arial" w:eastAsia="Arial" w:hAnsi="Arial"/>
                <w:sz w:val="18"/>
                <w:szCs w:val="18"/>
                <w:b w:val="1"/>
                <w:bCs w:val="1"/>
                <w:color w:val="auto"/>
                <w:w w:val="96"/>
              </w:rPr>
              <w:t>May 31, 2010</w:t>
            </w:r>
          </w:p>
        </w:tc>
        <w:tc>
          <w:tcPr>
            <w:tcW w:w="12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b w:val="1"/>
                <w:bCs w:val="1"/>
                <w:color w:val="auto"/>
                <w:w w:val="93"/>
              </w:rPr>
              <w:t>Net Sales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w w:val="87"/>
              </w:rPr>
              <w:t>Change</w:t>
            </w:r>
          </w:p>
        </w:tc>
        <w:tc>
          <w:tcPr>
            <w:tcW w:w="120" w:type="dxa"/>
            <w:vAlign w:val="bottom"/>
          </w:tcPr>
          <w:p>
            <w:pPr>
              <w:spacing w:after="0"/>
              <w:rPr>
                <w:sz w:val="19"/>
                <w:szCs w:val="19"/>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b w:val="1"/>
                <w:bCs w:val="1"/>
                <w:color w:val="auto"/>
              </w:rPr>
              <w:t>Change</w:t>
            </w:r>
          </w:p>
        </w:tc>
      </w:tr>
      <w:tr>
        <w:trPr>
          <w:trHeight w:val="20"/>
        </w:trPr>
        <w:tc>
          <w:tcPr>
            <w:tcW w:w="4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04"/>
        </w:trPr>
        <w:tc>
          <w:tcPr>
            <w:tcW w:w="41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sales, excluding joint ventures</w:t>
            </w:r>
          </w:p>
        </w:tc>
        <w:tc>
          <w:tcPr>
            <w:tcW w:w="1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11,906,999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85.2%</w:t>
            </w:r>
          </w:p>
        </w:tc>
        <w:tc>
          <w:tcPr>
            <w:tcW w:w="28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9"/>
              </w:rPr>
              <w:t>7,164,784</w:t>
            </w:r>
          </w:p>
        </w:tc>
        <w:tc>
          <w:tcPr>
            <w:tcW w:w="11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81.2%</w:t>
            </w:r>
          </w:p>
        </w:tc>
        <w:tc>
          <w:tcPr>
            <w:tcW w:w="240" w:type="dxa"/>
            <w:vAlign w:val="bottom"/>
            <w:gridSpan w:val="2"/>
            <w:shd w:val="clear" w:color="auto" w:fill="CCEEFF"/>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line="205" w:lineRule="exact"/>
              <w:rPr>
                <w:sz w:val="20"/>
                <w:szCs w:val="20"/>
                <w:color w:val="auto"/>
              </w:rPr>
            </w:pPr>
            <w:r>
              <w:rPr>
                <w:rFonts w:ascii="Arial" w:cs="Arial" w:eastAsia="Arial" w:hAnsi="Arial"/>
                <w:sz w:val="18"/>
                <w:szCs w:val="18"/>
                <w:color w:val="auto"/>
                <w:w w:val="92"/>
              </w:rPr>
              <w:t>4,742,215</w:t>
            </w:r>
          </w:p>
        </w:tc>
        <w:tc>
          <w:tcPr>
            <w:tcW w:w="11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66.2%</w:t>
            </w:r>
          </w:p>
        </w:tc>
      </w:tr>
      <w:tr>
        <w:trPr>
          <w:trHeight w:val="211"/>
        </w:trPr>
        <w:tc>
          <w:tcPr>
            <w:tcW w:w="41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8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2,070,338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1,660,294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410,044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24.7%</w:t>
            </w:r>
          </w:p>
        </w:tc>
      </w:tr>
      <w:tr>
        <w:trPr>
          <w:trHeight w:val="211"/>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9,155,788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5,771,045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3,384,743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11"/>
        </w:trPr>
        <w:tc>
          <w:tcPr>
            <w:tcW w:w="410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8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4,549,267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2,909,120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1,640,147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56.4%</w:t>
            </w:r>
          </w:p>
        </w:tc>
      </w:tr>
      <w:tr>
        <w:trPr>
          <w:trHeight w:val="211"/>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4,477,514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3,441,563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1,035,951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11"/>
        </w:trPr>
        <w:tc>
          <w:tcPr>
            <w:tcW w:w="4100" w:type="dxa"/>
            <w:vAlign w:val="bottom"/>
          </w:tcPr>
          <w:p>
            <w:pPr>
              <w:spacing w:after="0"/>
              <w:rPr>
                <w:sz w:val="20"/>
                <w:szCs w:val="20"/>
                <w:color w:val="auto"/>
              </w:rPr>
            </w:pPr>
            <w:r>
              <w:rPr>
                <w:rFonts w:ascii="Arial" w:cs="Arial" w:eastAsia="Arial" w:hAnsi="Arial"/>
                <w:sz w:val="18"/>
                <w:szCs w:val="18"/>
                <w:color w:val="auto"/>
              </w:rPr>
              <w:t>Selling expenses</w:t>
            </w:r>
          </w:p>
        </w:tc>
        <w:tc>
          <w:tcPr>
            <w:tcW w:w="18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3,088,237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9"/>
              </w:rPr>
              <w:t>2,004,094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w w:val="92"/>
              </w:rPr>
              <w:t>1,084,143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54.1%</w:t>
            </w:r>
          </w:p>
        </w:tc>
      </w:tr>
      <w:tr>
        <w:trPr>
          <w:trHeight w:val="211"/>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3,300,626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2,628,447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672,179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11"/>
        </w:trPr>
        <w:tc>
          <w:tcPr>
            <w:tcW w:w="410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8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722,955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682,828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40,127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1"/>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3,308,515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2,526,478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782,037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r>
    </w:tbl>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57.6% and 58.4% to $5,100,778 and $13,977,337, respectively during the three and nine months ended May</w:t>
      </w:r>
      <w:r>
        <w:rPr>
          <w:rFonts w:ascii="Arial" w:cs="Arial" w:eastAsia="Arial" w:hAnsi="Arial"/>
          <w:sz w:val="16"/>
          <w:szCs w:val="16"/>
          <w:i w:val="1"/>
          <w:iCs w:val="1"/>
          <w:color w:val="auto"/>
        </w:rPr>
        <w:t xml:space="preserve"> </w:t>
      </w:r>
      <w:r>
        <w:rPr>
          <w:rFonts w:ascii="Arial" w:cs="Arial" w:eastAsia="Arial" w:hAnsi="Arial"/>
          <w:sz w:val="16"/>
          <w:szCs w:val="16"/>
          <w:color w:val="auto"/>
        </w:rPr>
        <w:t>31, 2011 compared to the three and nine months ended May 31, 2010. NTIC’s consolidated net sales to unaffiliated customers excluding NTIC’s joint ventures increased 70.6% and 66.2% to $4,367,589 and $11,906,999, respectively, during the three and nine months ended May 31, 2011 compared to the same respective prior year periods. These increases were primarily a result of increased sales of ZERUST® rust and corrosion inhibiting packaging products and services and the consolidation of Zerust Brazil on NTIC’s consolidated financial statements. Net sales to joint ventures decreased 8.2% to $733,189 during the three months ended May 31, 2011 compared to the same prior year period and increased 24.7% to $2,070,338 during the nine months ended May 31, 2011 compared to the same prior year period. These increases were due to increases in demand primarily as a result of the economic recovery of the international manufacturing sector, partially offset by decreased pricing due to increased competition.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category for the three and nine months ended May 28, 2011 and 2010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8"/>
                <w:szCs w:val="18"/>
                <w:b w:val="1"/>
                <w:bCs w:val="1"/>
                <w:color w:val="auto"/>
                <w:w w:val="99"/>
              </w:rPr>
              <w:t>Nine Months Ended</w:t>
            </w:r>
          </w:p>
        </w:tc>
      </w:tr>
      <w:tr>
        <w:trPr>
          <w:trHeight w:val="205"/>
        </w:trPr>
        <w:tc>
          <w:tcPr>
            <w:tcW w:w="6720" w:type="dxa"/>
            <w:vAlign w:val="bottom"/>
          </w:tcPr>
          <w:p>
            <w:pPr>
              <w:spacing w:after="0"/>
              <w:rPr>
                <w:sz w:val="17"/>
                <w:szCs w:val="17"/>
                <w:color w:val="auto"/>
              </w:rPr>
            </w:pPr>
          </w:p>
        </w:tc>
        <w:tc>
          <w:tcPr>
            <w:tcW w:w="110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98"/>
              </w:rPr>
              <w:t>May 31, 2011</w:t>
            </w: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98"/>
              </w:rPr>
              <w:t>May 31, 2010</w:t>
            </w: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98"/>
              </w:rPr>
              <w:t>May 31, 2011</w:t>
            </w:r>
          </w:p>
        </w:tc>
        <w:tc>
          <w:tcPr>
            <w:tcW w:w="100" w:type="dxa"/>
            <w:vAlign w:val="bottom"/>
          </w:tcPr>
          <w:p>
            <w:pPr>
              <w:spacing w:after="0"/>
              <w:rPr>
                <w:sz w:val="17"/>
                <w:szCs w:val="17"/>
                <w:color w:val="auto"/>
              </w:rPr>
            </w:pPr>
          </w:p>
        </w:tc>
        <w:tc>
          <w:tcPr>
            <w:tcW w:w="1100" w:type="dxa"/>
            <w:vAlign w:val="bottom"/>
            <w:tcBorders>
              <w:bottom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98"/>
              </w:rPr>
              <w:t>May 31, 2010</w:t>
            </w:r>
          </w:p>
        </w:tc>
      </w:tr>
      <w:tr>
        <w:trPr>
          <w:trHeight w:val="204"/>
        </w:trPr>
        <w:tc>
          <w:tcPr>
            <w:tcW w:w="67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ZERUST® sales</w:t>
            </w:r>
          </w:p>
        </w:tc>
        <w:tc>
          <w:tcPr>
            <w:tcW w:w="2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4,855,535</w:t>
            </w:r>
          </w:p>
        </w:tc>
        <w:tc>
          <w:tcPr>
            <w:tcW w:w="30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3,072,037</w:t>
            </w:r>
          </w:p>
        </w:tc>
        <w:tc>
          <w:tcPr>
            <w:tcW w:w="26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0"/>
              </w:rPr>
              <w:t>13,307,276</w:t>
            </w:r>
          </w:p>
        </w:tc>
        <w:tc>
          <w:tcPr>
            <w:tcW w:w="30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8,485,046</w:t>
            </w:r>
          </w:p>
        </w:tc>
      </w:tr>
      <w:tr>
        <w:trPr>
          <w:trHeight w:val="211"/>
        </w:trPr>
        <w:tc>
          <w:tcPr>
            <w:tcW w:w="6720" w:type="dxa"/>
            <w:vAlign w:val="bottom"/>
          </w:tcPr>
          <w:p>
            <w:pPr>
              <w:spacing w:after="0"/>
              <w:rPr>
                <w:sz w:val="20"/>
                <w:szCs w:val="20"/>
                <w:color w:val="auto"/>
              </w:rPr>
            </w:pPr>
            <w:r>
              <w:rPr>
                <w:rFonts w:ascii="Arial" w:cs="Arial" w:eastAsia="Arial" w:hAnsi="Arial"/>
                <w:sz w:val="18"/>
                <w:szCs w:val="18"/>
                <w:color w:val="auto"/>
              </w:rPr>
              <w:t>Natur-Tec™ sales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245,243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165,161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670,061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340,032</w:t>
            </w:r>
          </w:p>
        </w:tc>
      </w:tr>
      <w:tr>
        <w:trPr>
          <w:trHeight w:val="204"/>
        </w:trPr>
        <w:tc>
          <w:tcPr>
            <w:tcW w:w="67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 North American net sales</w:t>
            </w:r>
          </w:p>
        </w:tc>
        <w:tc>
          <w:tcPr>
            <w:tcW w:w="2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5,100,778</w:t>
            </w:r>
          </w:p>
        </w:tc>
        <w:tc>
          <w:tcPr>
            <w:tcW w:w="30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3,237,198</w:t>
            </w:r>
          </w:p>
        </w:tc>
        <w:tc>
          <w:tcPr>
            <w:tcW w:w="26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0"/>
              </w:rPr>
              <w:t>13,977,337</w:t>
            </w:r>
          </w:p>
        </w:tc>
        <w:tc>
          <w:tcPr>
            <w:tcW w:w="300" w:type="dxa"/>
            <w:vAlign w:val="bottom"/>
            <w:gridSpan w:val="2"/>
            <w:shd w:val="clear" w:color="auto" w:fill="CCEEFF"/>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4" w:lineRule="exact"/>
              <w:rPr>
                <w:sz w:val="20"/>
                <w:szCs w:val="20"/>
                <w:color w:val="auto"/>
              </w:rPr>
            </w:pPr>
            <w:r>
              <w:rPr>
                <w:rFonts w:ascii="Arial" w:cs="Arial" w:eastAsia="Arial" w:hAnsi="Arial"/>
                <w:sz w:val="18"/>
                <w:szCs w:val="18"/>
                <w:color w:val="auto"/>
                <w:w w:val="97"/>
              </w:rPr>
              <w:t>8,825,078</w:t>
            </w:r>
          </w:p>
        </w:tc>
      </w:tr>
    </w:tbl>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During the three and nine months ended May 31, 2011, 95.2% of NTIC’s consolidated net sales were derived from sales of ZERUST® products and services, which increased 58.1% and 56.8% to $4,855,535 and $13,307,276 during the three and nine months ended May 31, 2011, respectively, compared to $3,072,037 and $8,485,046 during the three and nine months ended May 31, 2010, respectively, due to increased demand primarily as a result of the economic recovery of the domestic manufacturing sector, the addition of new customers and the consolidation of Zerust Brazil, partially offset by decreased pricing due to increased competition. Overall demand for ZERUST® products and services depends heavily on the overall health of the industrial markets in which NTIC sells its products, including in particular the automotive market.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during the three and nine months ended May 31, 2011 included $831,290 and $2,382,913, respectively, of sales made by Zerust Brazil, and of those sales, $114,545 and $741,567, respectively, in sales were made to the oil and gas industry sector in Brazil. As previously disclosed, during the fourth quarter of fiscal 2010, Zerust Brazil received purchase orders for ZERUST® FlangeSaver™ products from Petrobras representing an aggregate of $1.4 million. During third quarter of fiscal 2011, NTIC fulfilled the remaining product from this first contract and subsequently entered into a second contract for ZERUST® FlangeSaver™ products representing an aggregate of</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1" w:name="page22"/>
    <w:bookmarkEnd w:id="21"/>
    <w:p>
      <w:pPr>
        <w:spacing w:after="0" w:line="253" w:lineRule="auto"/>
        <w:rPr>
          <w:sz w:val="20"/>
          <w:szCs w:val="20"/>
          <w:color w:val="auto"/>
        </w:rPr>
      </w:pPr>
      <w:r>
        <w:rPr>
          <w:rFonts w:ascii="Arial" w:cs="Arial" w:eastAsia="Arial" w:hAnsi="Arial"/>
          <w:sz w:val="18"/>
          <w:szCs w:val="18"/>
          <w:color w:val="auto"/>
        </w:rPr>
        <w:t>$2.6 million. NTIC anticipates sales to Petrobras under this second contract mostly during fiscal 2012 as Petrobras continues to roll this product out to more of its platforms. NTIC also anticipates that its sales of ZERUST® products and services into the oil and gas industry will remain subject to significant volatility from quarter to quarter as sales are converted and purchase orders are filled.</w:t>
      </w:r>
    </w:p>
    <w:p>
      <w:pPr>
        <w:spacing w:after="0" w:line="216"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Net sales of Natur-Tec® products increased 48.5% and 97.1% to $245,243 and $670,061 during the three and nine months ended May 31, 2011, respectively, compared to the three and nine months ended May 31, 2010. These increases were primarily due to the addition of new Natur-Tec® distributors on the West Coast of the United States. NTIC anticipates additional revenue in future periods from anticipated sales of film-grade resin to customers in both the North American and European markets, primarily to meet anticipated demand for biodegradable plastic bags that comply with various regulations. Additionally, NTIC is continuing to strengthen and expand its West Coast distribution network in California, while expanding its industrial distribution reach to geographical “green” hotspots such as Oregon, Washington, Minnesota and New England. NTIC is also targeting key national and regional retailers utilizing independent sales agents. Demand for the Natur-Tec® products depends primarily on market acceptance of the products and the extent of NTIC’s distribution network, which as of May 31, 2011 consisted of approximately 16 distributors and independent manufacturer’s sales representatives.</w:t>
      </w:r>
    </w:p>
    <w:p>
      <w:pPr>
        <w:spacing w:after="0" w:line="195" w:lineRule="exact"/>
        <w:rPr>
          <w:sz w:val="20"/>
          <w:szCs w:val="20"/>
          <w:color w:val="auto"/>
        </w:rPr>
      </w:pPr>
    </w:p>
    <w:p>
      <w:pPr>
        <w:ind w:right="20"/>
        <w:spacing w:after="0" w:line="316" w:lineRule="auto"/>
        <w:rPr>
          <w:sz w:val="20"/>
          <w:szCs w:val="20"/>
          <w:color w:val="auto"/>
        </w:rPr>
      </w:pPr>
      <w:r>
        <w:rPr>
          <w:rFonts w:ascii="Arial" w:cs="Arial" w:eastAsia="Arial" w:hAnsi="Arial"/>
          <w:sz w:val="15"/>
          <w:szCs w:val="15"/>
          <w:i w:val="1"/>
          <w:iCs w:val="1"/>
          <w:color w:val="auto"/>
        </w:rPr>
        <w:t>Cost of Goods Sold</w:t>
      </w:r>
      <w:r>
        <w:rPr>
          <w:rFonts w:ascii="Arial" w:cs="Arial" w:eastAsia="Arial" w:hAnsi="Arial"/>
          <w:sz w:val="15"/>
          <w:szCs w:val="15"/>
          <w:color w:val="auto"/>
        </w:rPr>
        <w:t>. Cost of goods sold increased 59.2% and 58.7% for the three and nine months ended May 31, 2011, respectively, compared to the three and</w:t>
      </w:r>
      <w:r>
        <w:rPr>
          <w:rFonts w:ascii="Arial" w:cs="Arial" w:eastAsia="Arial" w:hAnsi="Arial"/>
          <w:sz w:val="15"/>
          <w:szCs w:val="15"/>
          <w:i w:val="1"/>
          <w:iCs w:val="1"/>
          <w:color w:val="auto"/>
        </w:rPr>
        <w:t xml:space="preserve"> </w:t>
      </w:r>
      <w:r>
        <w:rPr>
          <w:rFonts w:ascii="Arial" w:cs="Arial" w:eastAsia="Arial" w:hAnsi="Arial"/>
          <w:sz w:val="15"/>
          <w:szCs w:val="15"/>
          <w:color w:val="auto"/>
        </w:rPr>
        <w:t>nine months ended May 31, 2010 primarily as a result of increased net sales as described above. Cost of goods sold as a percentage of net sales increased slightly to 67.8% and 65.5% for the three and nine months ended May 31, 2011, respectively, compared to 67.1% and 65.4% for the three and nine months ended May 31, 2010, respectively, primarily as a result of slightly reduced margins resulting from a slight increase in raw material prices, partially offset by increased net sales.</w:t>
      </w:r>
    </w:p>
    <w:p>
      <w:pPr>
        <w:spacing w:after="0" w:line="17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 xml:space="preserve">Equity in Income of Joint Ventures. </w:t>
      </w:r>
      <w:r>
        <w:rPr>
          <w:rFonts w:ascii="Arial" w:cs="Arial" w:eastAsia="Arial" w:hAnsi="Arial"/>
          <w:sz w:val="16"/>
          <w:szCs w:val="16"/>
          <w:color w:val="auto"/>
        </w:rPr>
        <w:t>NTIC had equity in income of joint ventures of $1,724,477 and $4,549,267 during the three and nine months ended May 31,</w:t>
      </w:r>
      <w:r>
        <w:rPr>
          <w:rFonts w:ascii="Arial" w:cs="Arial" w:eastAsia="Arial" w:hAnsi="Arial"/>
          <w:sz w:val="16"/>
          <w:szCs w:val="16"/>
          <w:i w:val="1"/>
          <w:iCs w:val="1"/>
          <w:color w:val="auto"/>
        </w:rPr>
        <w:t xml:space="preserve"> </w:t>
      </w:r>
      <w:r>
        <w:rPr>
          <w:rFonts w:ascii="Arial" w:cs="Arial" w:eastAsia="Arial" w:hAnsi="Arial"/>
          <w:sz w:val="16"/>
          <w:szCs w:val="16"/>
          <w:color w:val="auto"/>
        </w:rPr>
        <w:t>2011, respectively, compared to equity in income of joint ventures of $1,511,534 and $2,909,120 during the three and nine months ended May 31, 2010, respectively. The increase in equity in income was due to increased profitability of NTIC’s joint ventures primarily resulting from increased sales. Of the total equity in income of joint ventures, NTIC had equity in income of joint ventures of $2,550,188 attributable to its joint venture in Germany during the nine months ended May 31, 2011 compared to $1,505,024 attributable to its joint venture in Germany during the nine months ended May 31, 2010. Of the total equity in income of joint ventures, NTIC had equity in income of joint ventures of $912,449 attributable to its ASEAN joint venture holding company during the nine months ended May 31, 2011 compared to $677,175 attributable to its ASEAN joint venture holding company during the nine months ended May 31, 2010. NTIC had equity in income of all other joint ventures of $1,086,630 during the nine months ended May 31, 2011 compared to $726,921 during the nine months ended May 31, 2011.</w:t>
      </w:r>
    </w:p>
    <w:p>
      <w:pPr>
        <w:spacing w:after="0" w:line="197" w:lineRule="exact"/>
        <w:rPr>
          <w:sz w:val="20"/>
          <w:szCs w:val="20"/>
          <w:color w:val="auto"/>
        </w:rPr>
      </w:pPr>
    </w:p>
    <w:p>
      <w:pPr>
        <w:jc w:val="both"/>
        <w:ind w:right="100"/>
        <w:spacing w:after="0" w:line="285" w:lineRule="auto"/>
        <w:rPr>
          <w:sz w:val="20"/>
          <w:szCs w:val="20"/>
          <w:color w:val="auto"/>
        </w:rPr>
      </w:pPr>
      <w:r>
        <w:rPr>
          <w:rFonts w:ascii="Arial" w:cs="Arial" w:eastAsia="Arial" w:hAnsi="Arial"/>
          <w:sz w:val="16"/>
          <w:szCs w:val="16"/>
          <w:i w:val="1"/>
          <w:iCs w:val="1"/>
          <w:color w:val="auto"/>
        </w:rPr>
        <w:t xml:space="preserve">Fees for Services Provided to Joint Ventures. </w:t>
      </w:r>
      <w:r>
        <w:rPr>
          <w:rFonts w:ascii="Arial" w:cs="Arial" w:eastAsia="Arial" w:hAnsi="Arial"/>
          <w:sz w:val="16"/>
          <w:szCs w:val="16"/>
          <w:color w:val="auto"/>
        </w:rPr>
        <w:t>NTIC recognized fee income for services provided to joint ventures of $1,623,585 and $4,477,514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nine months ended May 31, 2011, respectively, compared to $1,140,295 and $3,441,563 during the three and nine months ended May 31, 2010, respectively, representing an increase of 42.4% and 30.1%, respectively. These increases in fees for services provided to joint ventures were due primarily to increases in net sales of NTIC’s joint ventures, which increased to $86,744,626 in the nine months ended May 31, 2011 compared to $62,294,519 in the nine months ended May 31, 2010, representing an increase of 39.2%. Sales of NTIC’s joint ventures are not included in NTIC’s product sales and are not combined with NTIC’s sales in NTIC’s consolidated financial statements or in any description of NTIC’s sales.</w:t>
      </w:r>
    </w:p>
    <w:p>
      <w:pPr>
        <w:spacing w:after="0" w:line="19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Of the total fee income for services provided to its joint ventures, fees of $800,877 were attributable to NTIC’s joint venture in Germany during the nine months ended May 31, 2011 compared to $761,722 attributable to its joint venture in Germany during the nine months ended May 31, 2010. This slight increase was the result of foreign currency exchange rate fluctuations. NTIC does not receive fees attributable to its ASEAN joint venture holding company. NTIC receives dividend payments based on fees paid from the joint ventures that comprise the ASEAN investments.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2" w:name="page23"/>
    <w:bookmarkEnd w:id="22"/>
    <w:p>
      <w:pPr>
        <w:ind w:right="20"/>
        <w:spacing w:after="0" w:line="278" w:lineRule="auto"/>
        <w:rPr>
          <w:sz w:val="20"/>
          <w:szCs w:val="20"/>
          <w:color w:val="auto"/>
        </w:rPr>
      </w:pPr>
      <w:r>
        <w:rPr>
          <w:rFonts w:ascii="Arial" w:cs="Arial" w:eastAsia="Arial" w:hAnsi="Arial"/>
          <w:sz w:val="16"/>
          <w:szCs w:val="16"/>
          <w:color w:val="auto"/>
        </w:rPr>
        <w:t>NTIC sponsors a worldwide joint venture conference approximately every three to four years in which all of NTIC’s joint ventures and subsidiaries are invited to participate. NTIC defers a portion of its fees for services provided to joint ventures in each accounting period leading up to the next conference, reflecting that NTIC has not fully earned the payments received during that period. The next joint venture conference is scheduled to be held in the summer of 2012. There was no additional deferred income recorded within other accrued liabilities during the nine months ended May 31, 2011 related to this future conference since $288,000 had been accrued over the past three fiscal years, which represents the amount that NTIC expects to spend every three years to hold the</w:t>
      </w:r>
    </w:p>
    <w:p>
      <w:pPr>
        <w:spacing w:after="0" w:line="1"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auto"/>
        </w:rPr>
        <w:t>conference. This amount is based on the historical experience of NTIC, current conditions and the intentions of NTIC’s management. NTIC does not anticipate deferring any additional fees for services provided to joint ventures until after the next conference. The costs associated with these joint venture conferences are offset against the deferral as incurred, generally in the period in which the conference is held and immediately before</w:t>
      </w:r>
      <w:r>
        <w:rPr>
          <w:rFonts w:ascii="Arial" w:cs="Arial" w:eastAsia="Arial" w:hAnsi="Arial"/>
          <w:sz w:val="16"/>
          <w:szCs w:val="16"/>
          <w:b w:val="1"/>
          <w:bCs w:val="1"/>
          <w:color w:val="auto"/>
        </w:rPr>
        <w:t>.</w:t>
      </w:r>
    </w:p>
    <w:p>
      <w:pPr>
        <w:spacing w:after="0" w:line="18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42.5% for the three months ended May 31, 2011 compared to the same period in fiscal 2010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in compensation and employee benefits, lab testing related expenses, commission expenses, travel and related expenses, consulting expenses and selling expenses incurred at Zerust Brazil. NTIC’s selling expenses increased 54.1% for the nine months ended May 31, 2011 compared to the same period in fiscal 2010 due to increases in compensation and employee benefits, lab testing related expenses, commission expenses, travel and related expenses and selling expenses incurred at Zerust Brazil. As a percentage of net sales, selling expenses decreased to 22.9% and 22.1% during the three and nine months ended May 31, 2011, respectively, from 25.3% and 22.7% during the three and nine months ended May 31, 2010, respectively, due to smaller proportional increases in selling expenses, compared to the increases in net sales.</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29.6% for the three months ended May 31, 2011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fiscal 2010 due to increases in compensation and related benefits, and general and administrative expenses incurred at Zerust Brazil, partially offset by decreases in consulting expenses, loan write-off and auditing and tax expense. NTIC’s general and administrative expenses increased 25.6% for the nine months ended May 31, 2011compared to the same period in fiscal 2010 due to increases in compensation and related benefits and general and administrative expenses incurred at Zerust Brazil which were not consolidated in the nine months ended May 31, 2010, partially offset by decreases in consulting expenses and loan write-off. As a percentage of net sales, general and administrative expenses decreased to 22.1% and 23.6% for the three and nine months ended May 31, 2011, respectively, from 26.9% and 29.8% for the three and nine months ended May 31, 2010, respectively, primarily as a result of fixed general and administrative expenses spread over increased net sales.</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Expenses Incurred in Support of Joint Ventures. </w:t>
      </w:r>
      <w:r>
        <w:rPr>
          <w:rFonts w:ascii="Arial" w:cs="Arial" w:eastAsia="Arial" w:hAnsi="Arial"/>
          <w:sz w:val="18"/>
          <w:szCs w:val="18"/>
          <w:color w:val="auto"/>
        </w:rPr>
        <w:t>Expenses incurred in support of NTIC’s joint ventures were $244,959 and $722,955 during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May 31, 2011, respectively, compared to $208,444 and $682,828 during the three and nine months ended May 31, 2010, representing an increase of 8.6% and 0.8%, respectively.</w:t>
      </w:r>
    </w:p>
    <w:p>
      <w:pPr>
        <w:spacing w:after="0" w:line="216"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NTIC’s research and development expenses increased 25.7% and 31.0% for the three and nine months ended May 31, 2011,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compared to the same respective periods in fiscal 2010 due to increases in salary and benefits and lab testing related expenses, partially offset by a decrease in consulting expenses.</w:t>
      </w:r>
    </w:p>
    <w:p>
      <w:pPr>
        <w:spacing w:after="0" w:line="216" w:lineRule="exact"/>
        <w:rPr>
          <w:sz w:val="20"/>
          <w:szCs w:val="20"/>
          <w:color w:val="auto"/>
        </w:rPr>
      </w:pPr>
    </w:p>
    <w:p>
      <w:pPr>
        <w:ind w:right="80"/>
        <w:spacing w:after="0" w:line="325"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NTIC’s interest income increased to $8,522 and $13,131 during the three and nine months ended May 31, 2011, respectively, compared to $864</w:t>
      </w:r>
      <w:r>
        <w:rPr>
          <w:rFonts w:ascii="Arial" w:cs="Arial" w:eastAsia="Arial" w:hAnsi="Arial"/>
          <w:sz w:val="16"/>
          <w:szCs w:val="16"/>
          <w:i w:val="1"/>
          <w:iCs w:val="1"/>
          <w:color w:val="auto"/>
        </w:rPr>
        <w:t xml:space="preserve"> </w:t>
      </w:r>
      <w:r>
        <w:rPr>
          <w:rFonts w:ascii="Arial" w:cs="Arial" w:eastAsia="Arial" w:hAnsi="Arial"/>
          <w:sz w:val="16"/>
          <w:szCs w:val="16"/>
          <w:color w:val="auto"/>
        </w:rPr>
        <w:t>and $5,607 during the three and nine months ended May 31, 2010, respectively, primarily due to increased cash balances earning interest.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NTIC’s interest expense decreased to $7,880 and $53,355 during the three and nine months ended May 31, 2011, respectively, compared to</w:t>
      </w:r>
    </w:p>
    <w:p>
      <w:pPr>
        <w:spacing w:after="0" w:line="39"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$23,867 and $73,637 during the three and nine months ended May 31, 2010, respectively, primarily due to the refinancing of NTIC’s term loan and its decreased term loan balance during the most recent periods.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3" w:name="page24"/>
    <w:bookmarkEnd w:id="23"/>
    <w:p>
      <w:pPr>
        <w:ind w:right="60"/>
        <w:spacing w:after="0" w:line="325" w:lineRule="auto"/>
        <w:rPr>
          <w:sz w:val="20"/>
          <w:szCs w:val="20"/>
          <w:color w:val="auto"/>
        </w:rPr>
      </w:pPr>
      <w:r>
        <w:rPr>
          <w:rFonts w:ascii="Arial" w:cs="Arial" w:eastAsia="Arial" w:hAnsi="Arial"/>
          <w:sz w:val="16"/>
          <w:szCs w:val="16"/>
          <w:i w:val="1"/>
          <w:iCs w:val="1"/>
          <w:color w:val="auto"/>
        </w:rPr>
        <w:t>Income Before Income Tax Expense (Benefit)</w:t>
      </w:r>
      <w:r>
        <w:rPr>
          <w:rFonts w:ascii="Arial" w:cs="Arial" w:eastAsia="Arial" w:hAnsi="Arial"/>
          <w:sz w:val="16"/>
          <w:szCs w:val="16"/>
          <w:color w:val="auto"/>
        </w:rPr>
        <w:t>. Income before income tax expense (benefit) increased to $1,250,155 and $3,408,248 for the three and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May 31, 2011, respectively, compared to $841,968 and $1,515,314 for the three and nine months ended May 31, 2010, respectively.</w:t>
      </w:r>
    </w:p>
    <w:p>
      <w:pPr>
        <w:spacing w:after="0" w:line="161"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i w:val="1"/>
          <w:iCs w:val="1"/>
          <w:color w:val="auto"/>
        </w:rPr>
        <w:t>Income Tax Expense (Benefit)</w:t>
      </w:r>
      <w:r>
        <w:rPr>
          <w:rFonts w:ascii="Arial" w:cs="Arial" w:eastAsia="Arial" w:hAnsi="Arial"/>
          <w:sz w:val="16"/>
          <w:szCs w:val="16"/>
          <w:color w:val="auto"/>
        </w:rPr>
        <w:t>. Income tax expense was $228,000 and $490,000 during the three and nine months ended May 31, 2011, respectively,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benefit of $(110,000) and $(219,000) during the three and nine months ended May 31, 2010, respectively. Income tax expense was calculated based on management’s estimate of NTIC’s annual effective income tax rate. NTIC’s annual effective income tax rate during the nine months ended May 31, 2011 and 2010 was lower than the statutory rate primarily due to NTIC’s equity in income of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and that NTIC’s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660"/>
        <w:spacing w:after="0" w:line="325" w:lineRule="auto"/>
        <w:rPr>
          <w:sz w:val="20"/>
          <w:szCs w:val="20"/>
          <w:color w:val="auto"/>
        </w:rPr>
      </w:pPr>
      <w:r>
        <w:rPr>
          <w:rFonts w:ascii="Arial" w:cs="Arial" w:eastAsia="Arial" w:hAnsi="Arial"/>
          <w:sz w:val="16"/>
          <w:szCs w:val="16"/>
          <w:i w:val="1"/>
          <w:iCs w:val="1"/>
          <w:color w:val="auto"/>
        </w:rPr>
        <w:t>Sources of Cash and Working Capital</w:t>
      </w:r>
      <w:r>
        <w:rPr>
          <w:rFonts w:ascii="Arial" w:cs="Arial" w:eastAsia="Arial" w:hAnsi="Arial"/>
          <w:sz w:val="16"/>
          <w:szCs w:val="16"/>
          <w:color w:val="auto"/>
        </w:rPr>
        <w:t>. As of May 31, 2011, NTIC’s working capital was $8,905,217, including $2,676,921 in cash and cash equivalents,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working capital of $5,918,923, including $1,776,162 in cash and cash equivalents, as of August 31, 2010.</w:t>
      </w:r>
    </w:p>
    <w:p>
      <w:pPr>
        <w:spacing w:after="0" w:line="16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connection with the purchase of its corporate headquarters, in September 2006, Northern Technologies Holding Company, LLC (“NTI LLC”) obtained a term loan from PNC Bank, National Association (“PNC Bank”) with a principal amount of $1,275,000 that was to mature on May 1, 2011. On January 10, 2011, NTI LLC refinanced its term loan in the then principal amount of approximately $1,141,788. The term loan matures on January 10, 2016, bears interest at an annual rate based on the daily LIBOR rate plus 2.15% and is payable in 59 consecutive monthly installments equal to approximately $6,343 (inclusive of principal but exclusive of interest) commencing in February 2011. The term loan is secured by a first lien on the real estate and building owned by NTI LLC and all of the assets of NTIC and is guaranteed by NTIC.</w:t>
      </w:r>
    </w:p>
    <w:p>
      <w:pPr>
        <w:spacing w:after="0" w:line="220"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As of May 31, 2011, NTIC had a revolving line of credit with PNC Bank of $3,000,000 with no amounts outstanding as of such date.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Advances made under the line of credit are due and payable on January 10, 2012.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w:t>
      </w:r>
    </w:p>
    <w:p>
      <w:pPr>
        <w:spacing w:after="0" w:line="183"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Both the term loan and the line of credit are governed under two separate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customarily restricted in such agreements. Under the loan agreements, NTIC is subject to a minimum fixed charge coverage ratio of 1.10:1.00.</w:t>
      </w:r>
    </w:p>
    <w:p>
      <w:pPr>
        <w:spacing w:after="0" w:line="241"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the remainder of fiscal 2011, NTIC expects to continue to invest in research and development and in marketing efforts and resources into its new businesses, product lines and markets, including in particular the application of its corrosion prevention technology into the oil and gas industry.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8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189"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Net cash used in operating activities during the nine months ended May 31, 2011 was $1,813,381 which resulted principally from</w:t>
      </w:r>
      <w:r>
        <w:rPr>
          <w:rFonts w:ascii="Arial" w:cs="Arial" w:eastAsia="Arial" w:hAnsi="Arial"/>
          <w:sz w:val="16"/>
          <w:szCs w:val="16"/>
          <w:i w:val="1"/>
          <w:iCs w:val="1"/>
          <w:color w:val="auto"/>
        </w:rPr>
        <w:t xml:space="preserve"> </w:t>
      </w:r>
      <w:r>
        <w:rPr>
          <w:rFonts w:ascii="Arial" w:cs="Arial" w:eastAsia="Arial" w:hAnsi="Arial"/>
          <w:sz w:val="16"/>
          <w:szCs w:val="16"/>
          <w:color w:val="auto"/>
        </w:rPr>
        <w:t>NTIC’s equity in income from joint ventures and increases in receivables, inventories and prepaid expenses and a decrease in accounts payables, partially offset by NTIC’s net income and increases in income taxes payable and accrued liabilities. Net cash used in operating activities for the nine months ended May 31,</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2010 was $1,253,606, which resulted principally from NTIC’s equity in loss from joint ventures and decreases in inventories and trade receivables, partially offset by NTIC’s net income, expensing of stock options vested, depreciation and amortization expense, and increases in fees for services provided to joint ventures and accrued liabilities.</w:t>
      </w:r>
    </w:p>
    <w:p>
      <w:pPr>
        <w:spacing w:after="0" w:line="22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is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5" w:name="page26"/>
    <w:bookmarkEnd w:id="25"/>
    <w:p>
      <w:pPr>
        <w:ind w:right="260"/>
        <w:spacing w:after="0" w:line="262" w:lineRule="auto"/>
        <w:rPr>
          <w:sz w:val="20"/>
          <w:szCs w:val="20"/>
          <w:color w:val="auto"/>
        </w:rPr>
      </w:pPr>
      <w:r>
        <w:rPr>
          <w:rFonts w:ascii="Arial" w:cs="Arial" w:eastAsia="Arial" w:hAnsi="Arial"/>
          <w:sz w:val="18"/>
          <w:szCs w:val="18"/>
          <w:color w:val="auto"/>
        </w:rPr>
        <w:t>NTIC experienced an increase in inventory as of May 31, 2011 compared to August 31, 2010 due to the increase in net sales during the most recent period and requests from customers to stock more products to shorten lead times and meet customer demand.</w:t>
      </w:r>
    </w:p>
    <w:p>
      <w:pPr>
        <w:spacing w:after="0" w:line="20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Outstanding trade receivables excluding joint ventures balances as of May 31, 2011 increased 9 days to an average of 49 days from balances outstanding from these customers as of August 31, 2010.</w:t>
      </w: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Outstanding trade receivables from joint ventures as of May 31, 2011 decreased $226,269 compared to August 31, 2010, primarily due to an increase in collection efforts on net sales to joint ventures, which also resulted in an decrease of outstanding balances from trade receivables from joint ventures as of May 31, 2011 of 114 days to an average of 124 days from balances outstanding from these customers as of August 31, 2010. The significant average days outstanding of trade receivables from joint ventures as of May 31, 2011 were primarily due to the current receivable balance at NTIC’s joint venture in India. NTIC has made separate arrangements for payments on product that NTIC’s joint venture in India has purchased from NTIC until the product is sold.</w:t>
      </w:r>
    </w:p>
    <w:p>
      <w:pPr>
        <w:spacing w:after="0" w:line="19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Outstanding fees for services provided to joint ventures as of May 31, 2011 increased $648,851 as compared to August 31, 2010, primarily resulting from increased joint venture sales. The higher fees for the nine months ended May 31, 2011 resulted in an increase of 16 days of fees receivable outstanding as of May 31, 2011 to an average of 112 days as compared to August 31, 2010.</w:t>
      </w:r>
    </w:p>
    <w:p>
      <w:pPr>
        <w:spacing w:after="0" w:line="2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Net cash provided by investing activities for the nine months ended May 31, 2011 was $2,287,585 which was comprised of dividends received from joint ventures and proceeds from sale of property and equipment partially offset by additions to property and equipment, additions to patents and investments in joint ventures. Net cash provided by investing activities for the nine months ended May 31, 2010 was $25,059 which was comprised of dividends received from joint ventures, partially offset by investments in joint ventures, patents and additions to property and equipment.</w:t>
      </w:r>
    </w:p>
    <w:p>
      <w:pPr>
        <w:spacing w:after="0" w:line="18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Net cash provided by financing activities for the nine months ended May 31, 2011 was $402,917, which resulted from proceeds from option exercises and NTIC’s employee stock purchase plan, partially offset by principal payments on the bank loan for NTIC’s corporate headquarters buildings. Net cash provided by financing activities for the nine months ended May 31, 2010 was $2,193,283, which resulted primarily from the issuance of common stock and, to a lesser extent, proceeds from NTIC’s employee stock purchase plan and option exercises, partially offset by repayments to the demand line of credit and principal payments on the bank loan for NTIC’s corporate headquarters buildings.</w:t>
      </w:r>
    </w:p>
    <w:p>
      <w:pPr>
        <w:spacing w:after="0" w:line="21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had no material lease or other material capital commitments as of May 31, 2011, except a lease agreement for</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16,994 square feet of office, manufacturing, laboratory and warehouse space in Beachwood, Ohio, requiring monthly payments of $17,500, which are adjusted annually according to the annual consumer price index, through November 2014. In January 2011, NTI Facilities, Inc. sold its membership interest in Omni-Northern Ltd., which owned the building, for $100,000. This resulted in a net gain of $47,575 after the write-off of various leasehold improvements.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right="360"/>
        <w:spacing w:after="0" w:line="300" w:lineRule="auto"/>
        <w:rPr>
          <w:sz w:val="20"/>
          <w:szCs w:val="20"/>
          <w:color w:val="auto"/>
        </w:rPr>
      </w:pPr>
      <w:r>
        <w:rPr>
          <w:rFonts w:ascii="Arial" w:cs="Arial" w:eastAsia="Arial" w:hAnsi="Arial"/>
          <w:sz w:val="16"/>
          <w:szCs w:val="16"/>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4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95"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207" w:lineRule="exact"/>
        <w:rPr>
          <w:sz w:val="20"/>
          <w:szCs w:val="20"/>
          <w:color w:val="auto"/>
        </w:rPr>
      </w:pPr>
    </w:p>
    <w:p>
      <w:pPr>
        <w:jc w:val="both"/>
        <w:ind w:right="100"/>
        <w:spacing w:after="0" w:line="300"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2011, NTIC had no borrowings under the line of credit.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This quarterly report on Form 10-Q contains not only historical information, but also forward-looking statements within the meaning of Section 27A of the Securities Act of 1933 and Section 21E of the Securities Exchange Act of 1934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00"/>
          </w:cols>
          <w:pgMar w:left="240" w:top="272" w:right="259" w:bottom="1440" w:gutter="0" w:footer="0" w:header="0"/>
        </w:sectPr>
      </w:pPr>
    </w:p>
    <w:bookmarkStart w:id="27" w:name="page28"/>
    <w:bookmarkEnd w:id="27"/>
    <w:p>
      <w:pPr>
        <w:ind w:right="440"/>
        <w:spacing w:after="0" w:line="262" w:lineRule="auto"/>
        <w:rPr>
          <w:sz w:val="20"/>
          <w:szCs w:val="20"/>
          <w:color w:val="auto"/>
        </w:rPr>
      </w:pPr>
      <w:r>
        <w:rPr>
          <w:rFonts w:ascii="Arial" w:cs="Arial" w:eastAsia="Arial" w:hAnsi="Arial"/>
          <w:sz w:val="18"/>
          <w:szCs w:val="18"/>
          <w:color w:val="auto"/>
        </w:rPr>
        <w:t>contained in the notes to NTIC’s consolidated financial statements and elsewhere in this report, including under the heading “Management’s Discussion and Analysis of Financial Condition and Results of Operations.”</w:t>
      </w:r>
    </w:p>
    <w:p>
      <w:pPr>
        <w:spacing w:after="0" w:line="20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219" w:lineRule="exact"/>
        <w:rPr>
          <w:sz w:val="20"/>
          <w:szCs w:val="20"/>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on NTIC’s business;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41" w:lineRule="exact"/>
        <w:rPr>
          <w:rFonts w:ascii="Arial" w:cs="Arial" w:eastAsia="Arial" w:hAnsi="Arial"/>
          <w:sz w:val="18"/>
          <w:szCs w:val="18"/>
          <w:color w:val="auto"/>
        </w:rPr>
      </w:pPr>
    </w:p>
    <w:p>
      <w:pPr>
        <w:ind w:left="960" w:hanging="137"/>
        <w:spacing w:after="0" w:line="262"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207"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Risks associated with NTIC’s international operations and exposure to fluctuations in foreign currency exchange rates and import duties and taxes;</w:t>
      </w:r>
    </w:p>
    <w:p>
      <w:pPr>
        <w:spacing w:after="0" w:line="264" w:lineRule="exact"/>
        <w:rPr>
          <w:rFonts w:ascii="Arial" w:cs="Arial" w:eastAsia="Arial" w:hAnsi="Arial"/>
          <w:sz w:val="16"/>
          <w:szCs w:val="16"/>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41" w:lineRule="exact"/>
        <w:rPr>
          <w:rFonts w:ascii="Arial" w:cs="Arial" w:eastAsia="Arial" w:hAnsi="Arial"/>
          <w:sz w:val="18"/>
          <w:szCs w:val="18"/>
          <w:color w:val="auto"/>
        </w:rPr>
      </w:pPr>
    </w:p>
    <w:p>
      <w:pPr>
        <w:ind w:left="960" w:hanging="137"/>
        <w:spacing w:after="0" w:line="262"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investments in its new business and research and development efforts and its need for additional capital to support such new business and research and development efforts;</w:t>
      </w:r>
    </w:p>
    <w:p>
      <w:pPr>
        <w:spacing w:after="0" w:line="207" w:lineRule="exact"/>
        <w:rPr>
          <w:rFonts w:ascii="Arial" w:cs="Arial" w:eastAsia="Arial" w:hAnsi="Arial"/>
          <w:sz w:val="18"/>
          <w:szCs w:val="18"/>
          <w:color w:val="auto"/>
        </w:rPr>
      </w:pPr>
    </w:p>
    <w:p>
      <w:pPr>
        <w:jc w:val="both"/>
        <w:ind w:left="960" w:hanging="137"/>
        <w:spacing w:after="0" w:line="25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 products and the often lengthy and extensive sales process involved in selling such products and services;</w:t>
      </w:r>
    </w:p>
    <w:p>
      <w:pPr>
        <w:spacing w:after="0" w:line="215"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41" w:lineRule="exact"/>
        <w:rPr>
          <w:rFonts w:ascii="Arial" w:cs="Arial" w:eastAsia="Arial" w:hAnsi="Arial"/>
          <w:sz w:val="18"/>
          <w:szCs w:val="18"/>
          <w:color w:val="auto"/>
        </w:rPr>
      </w:pPr>
    </w:p>
    <w:p>
      <w:pPr>
        <w:ind w:left="960" w:hanging="137"/>
        <w:spacing w:after="0" w:line="262"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 products and services and NTIC’s ability to grow market share and succeed in penetrating other existing and new markets;</w:t>
      </w:r>
    </w:p>
    <w:p>
      <w:pPr>
        <w:spacing w:after="0" w:line="207" w:lineRule="exact"/>
        <w:rPr>
          <w:rFonts w:ascii="Arial" w:cs="Arial" w:eastAsia="Arial" w:hAnsi="Arial"/>
          <w:sz w:val="18"/>
          <w:szCs w:val="18"/>
          <w:color w:val="auto"/>
        </w:rPr>
      </w:pPr>
    </w:p>
    <w:p>
      <w:pPr>
        <w:ind w:left="960" w:hanging="137"/>
        <w:spacing w:after="0" w:line="262"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 products and services, and the effect of such competition on NTIC’s and its joint ventures’ pricing, net sales and margins;</w:t>
      </w:r>
    </w:p>
    <w:p>
      <w:pPr>
        <w:spacing w:after="0" w:line="207"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reliance upon suppliers, including in particular its single supply source for its base bioplastics resins;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8" w:name="page29"/>
    <w:bookmarkEnd w:id="28"/>
    <w:p>
      <w:pPr>
        <w:ind w:left="960" w:hanging="137"/>
        <w:spacing w:after="0" w:line="262"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207" w:lineRule="exact"/>
        <w:rPr>
          <w:rFonts w:ascii="Arial" w:cs="Arial" w:eastAsia="Arial" w:hAnsi="Arial"/>
          <w:sz w:val="18"/>
          <w:szCs w:val="18"/>
          <w:color w:val="auto"/>
        </w:rPr>
      </w:pPr>
    </w:p>
    <w:p>
      <w:pPr>
        <w:ind w:left="960" w:hanging="137"/>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effects of currently outstanding or threatened litigation;</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41" w:lineRule="exact"/>
        <w:rPr>
          <w:rFonts w:ascii="Arial" w:cs="Arial" w:eastAsia="Arial" w:hAnsi="Arial"/>
          <w:sz w:val="18"/>
          <w:szCs w:val="18"/>
          <w:color w:val="auto"/>
        </w:rPr>
      </w:pPr>
    </w:p>
    <w:p>
      <w:pPr>
        <w:ind w:left="960" w:hanging="137"/>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41" w:lineRule="exact"/>
        <w:rPr>
          <w:sz w:val="20"/>
          <w:szCs w:val="20"/>
          <w:color w:val="auto"/>
        </w:rPr>
      </w:pPr>
    </w:p>
    <w:p>
      <w:pPr>
        <w:ind w:right="460"/>
        <w:spacing w:after="0" w:line="300" w:lineRule="auto"/>
        <w:rPr>
          <w:sz w:val="20"/>
          <w:szCs w:val="20"/>
          <w:color w:val="auto"/>
        </w:rPr>
      </w:pPr>
      <w:r>
        <w:rPr>
          <w:rFonts w:ascii="Arial" w:cs="Arial" w:eastAsia="Arial" w:hAnsi="Arial"/>
          <w:sz w:val="16"/>
          <w:szCs w:val="16"/>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2010 under the heading “Part I. Item 1A. Risk Factors.”</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w:t>
      </w:r>
    </w:p>
    <w:p>
      <w:pPr>
        <w:ind w:right="120"/>
        <w:spacing w:after="0" w:line="292" w:lineRule="auto"/>
        <w:rPr>
          <w:sz w:val="20"/>
          <w:szCs w:val="20"/>
          <w:color w:val="auto"/>
        </w:rPr>
      </w:pPr>
      <w:r>
        <w:rPr>
          <w:rFonts w:ascii="Arial" w:cs="Arial" w:eastAsia="Arial" w:hAnsi="Arial"/>
          <w:sz w:val="16"/>
          <w:szCs w:val="16"/>
          <w:color w:val="auto"/>
        </w:rPr>
        <w:t>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8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NTIC maintains disclosure controls and procedures (as defined in Rules 13a-15(e) and 15d-15(e) under the Securities Exchange Act of 1934, as amended) that are designed to provide reasonable assurance that information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9" w:name="page30"/>
    <w:bookmarkEnd w:id="29"/>
    <w:p>
      <w:pPr>
        <w:spacing w:after="0" w:line="280" w:lineRule="auto"/>
        <w:rPr>
          <w:sz w:val="20"/>
          <w:szCs w:val="20"/>
          <w:color w:val="auto"/>
        </w:rPr>
      </w:pPr>
      <w:r>
        <w:rPr>
          <w:rFonts w:ascii="Arial" w:cs="Arial" w:eastAsia="Arial" w:hAnsi="Arial"/>
          <w:sz w:val="16"/>
          <w:szCs w:val="16"/>
          <w:color w:val="auto"/>
        </w:rPr>
        <w:t>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May 31, 2011 that has materially affected, or is reasonably likely to materially affect NTIC’s internal control over financial reporting.</w:t>
      </w:r>
    </w:p>
    <w:p>
      <w:pPr>
        <w:spacing w:after="0" w:line="2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PART II</w:t>
        <w:tab/>
        <w:t>OTHER INFORMATION</w:t>
      </w:r>
    </w:p>
    <w:p>
      <w:pPr>
        <w:spacing w:after="0" w:line="24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3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4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During the three months ended May 31, 2011, NTIC did not issue any shares of its common stock or other equity securities of NTIC that were not registered under the Securities Act of 1933, as amended.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May 31, 2011, NTIC did not purchase any shares of its common stock or other equity securities of NTIC.</w:t>
      </w:r>
    </w:p>
    <w:p>
      <w:pPr>
        <w:spacing w:after="0" w:line="24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November 13, 2003, the Board of Directors of NTIC authorized Matthew Wolsfeld, Chief Financial Officer of NTIC, to repurchase on behalf of NTIC, up to 100,000 shares of NTIC’s common stock from time to time in accordance with applicable rules governing issuer stock repurchases. Since being authorized, NTIC has not repurchased and retired any shares of its common stock.</w:t>
      </w: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340"/>
          </w:cols>
          <w:pgMar w:left="240" w:top="272" w:right="319" w:bottom="1440" w:gutter="0" w:footer="0" w:header="0"/>
        </w:sectPr>
      </w:pPr>
    </w:p>
    <w:bookmarkStart w:id="30" w:name="page31"/>
    <w:bookmarkEnd w:id="30"/>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4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tab/>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0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w w:val="89"/>
              </w:rPr>
              <w:t>Exhibit No.</w:t>
            </w:r>
          </w:p>
        </w:tc>
        <w:tc>
          <w:tcPr>
            <w:tcW w:w="9920" w:type="dxa"/>
            <w:vAlign w:val="bottom"/>
            <w:gridSpan w:val="2"/>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192"/>
        </w:trPr>
        <w:tc>
          <w:tcPr>
            <w:tcW w:w="20" w:type="dxa"/>
            <w:vAlign w:val="bottom"/>
          </w:tcPr>
          <w:p>
            <w:pPr>
              <w:spacing w:after="0"/>
              <w:rPr>
                <w:sz w:val="16"/>
                <w:szCs w:val="16"/>
                <w:color w:val="auto"/>
              </w:rPr>
            </w:pPr>
          </w:p>
        </w:tc>
        <w:tc>
          <w:tcPr>
            <w:tcW w:w="1480" w:type="dxa"/>
            <w:vAlign w:val="bottom"/>
            <w:tcBorders>
              <w:top w:val="single" w:sz="8" w:color="auto"/>
            </w:tcBorders>
          </w:tcPr>
          <w:p>
            <w:pPr>
              <w:jc w:val="right"/>
              <w:ind w:right="492"/>
              <w:spacing w:after="0" w:line="192" w:lineRule="exact"/>
              <w:rPr>
                <w:sz w:val="20"/>
                <w:szCs w:val="20"/>
                <w:color w:val="auto"/>
              </w:rPr>
            </w:pPr>
            <w:r>
              <w:rPr>
                <w:rFonts w:ascii="Arial" w:cs="Arial" w:eastAsia="Arial" w:hAnsi="Arial"/>
                <w:sz w:val="18"/>
                <w:szCs w:val="18"/>
                <w:color w:val="auto"/>
              </w:rPr>
              <w:t>31.1</w:t>
            </w:r>
          </w:p>
        </w:tc>
        <w:tc>
          <w:tcPr>
            <w:tcW w:w="280" w:type="dxa"/>
            <w:vAlign w:val="bottom"/>
          </w:tcPr>
          <w:p>
            <w:pPr>
              <w:spacing w:after="0"/>
              <w:rPr>
                <w:sz w:val="16"/>
                <w:szCs w:val="16"/>
                <w:color w:val="auto"/>
              </w:rPr>
            </w:pPr>
          </w:p>
        </w:tc>
        <w:tc>
          <w:tcPr>
            <w:tcW w:w="964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r>
      <w:tr>
        <w:trPr>
          <w:trHeight w:val="211"/>
        </w:trPr>
        <w:tc>
          <w:tcPr>
            <w:tcW w:w="1500" w:type="dxa"/>
            <w:vAlign w:val="bottom"/>
            <w:gridSpan w:val="2"/>
          </w:tcPr>
          <w:p>
            <w:pPr>
              <w:jc w:val="right"/>
              <w:ind w:right="492"/>
              <w:spacing w:after="0"/>
              <w:rPr>
                <w:sz w:val="20"/>
                <w:szCs w:val="20"/>
                <w:color w:val="auto"/>
              </w:rPr>
            </w:pPr>
            <w:r>
              <w:rPr>
                <w:rFonts w:ascii="Arial" w:cs="Arial" w:eastAsia="Arial" w:hAnsi="Arial"/>
                <w:sz w:val="18"/>
                <w:szCs w:val="18"/>
                <w:color w:val="auto"/>
              </w:rPr>
              <w:t>31.2</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r>
      <w:tr>
        <w:trPr>
          <w:trHeight w:val="211"/>
        </w:trPr>
        <w:tc>
          <w:tcPr>
            <w:tcW w:w="1500" w:type="dxa"/>
            <w:vAlign w:val="bottom"/>
            <w:gridSpan w:val="2"/>
          </w:tcPr>
          <w:p>
            <w:pPr>
              <w:jc w:val="right"/>
              <w:ind w:right="492"/>
              <w:spacing w:after="0"/>
              <w:rPr>
                <w:sz w:val="20"/>
                <w:szCs w:val="20"/>
                <w:color w:val="auto"/>
              </w:rPr>
            </w:pPr>
            <w:r>
              <w:rPr>
                <w:rFonts w:ascii="Arial" w:cs="Arial" w:eastAsia="Arial" w:hAnsi="Arial"/>
                <w:sz w:val="18"/>
                <w:szCs w:val="18"/>
                <w:color w:val="auto"/>
              </w:rPr>
              <w:t>32.1</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89"/>
              </w:rPr>
              <w:t>Certification of Chief Executive Officer Pursuant to 18 U.S.C. Section 1350, as Adopted Pursuant to Section 906 of the Sarbanes-Oxley</w:t>
            </w:r>
          </w:p>
        </w:tc>
      </w:tr>
      <w:tr>
        <w:trPr>
          <w:trHeight w:val="211"/>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Act of 2002 (furnished herewith)</w:t>
            </w:r>
          </w:p>
        </w:tc>
      </w:tr>
      <w:tr>
        <w:trPr>
          <w:trHeight w:val="211"/>
        </w:trPr>
        <w:tc>
          <w:tcPr>
            <w:tcW w:w="1500" w:type="dxa"/>
            <w:vAlign w:val="bottom"/>
            <w:gridSpan w:val="2"/>
          </w:tcPr>
          <w:p>
            <w:pPr>
              <w:jc w:val="right"/>
              <w:ind w:right="492"/>
              <w:spacing w:after="0"/>
              <w:rPr>
                <w:sz w:val="20"/>
                <w:szCs w:val="20"/>
                <w:color w:val="auto"/>
              </w:rPr>
            </w:pPr>
            <w:r>
              <w:rPr>
                <w:rFonts w:ascii="Arial" w:cs="Arial" w:eastAsia="Arial" w:hAnsi="Arial"/>
                <w:sz w:val="18"/>
                <w:szCs w:val="18"/>
                <w:color w:val="auto"/>
              </w:rPr>
              <w:t>32.2</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w:t>
            </w: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Act of 2002 (furnished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725424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24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165100</wp:posOffset>
            </wp:positionV>
            <wp:extent cx="1314450" cy="702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144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40" w:type="dxa"/>
            <w:vAlign w:val="bottom"/>
          </w:tcPr>
          <w:p>
            <w:pPr>
              <w:spacing w:after="0"/>
              <w:rPr>
                <w:sz w:val="20"/>
                <w:szCs w:val="20"/>
                <w:color w:val="auto"/>
              </w:rPr>
            </w:pPr>
            <w:r>
              <w:rPr>
                <w:rFonts w:ascii="Arial" w:cs="Arial" w:eastAsia="Arial" w:hAnsi="Arial"/>
                <w:sz w:val="18"/>
                <w:szCs w:val="18"/>
                <w:color w:val="auto"/>
              </w:rPr>
              <w:t>Date: July 13, 2011</w:t>
            </w:r>
          </w:p>
        </w:tc>
        <w:tc>
          <w:tcPr>
            <w:tcW w:w="8380" w:type="dxa"/>
            <w:vAlign w:val="bottom"/>
          </w:tcPr>
          <w:p>
            <w:pPr>
              <w:ind w:left="1800"/>
              <w:spacing w:after="0"/>
              <w:rPr>
                <w:sz w:val="20"/>
                <w:szCs w:val="20"/>
                <w:color w:val="auto"/>
              </w:rPr>
            </w:pPr>
            <w:r>
              <w:rPr>
                <w:rFonts w:ascii="Arial" w:cs="Arial" w:eastAsia="Arial" w:hAnsi="Arial"/>
                <w:sz w:val="18"/>
                <w:szCs w:val="18"/>
                <w:color w:val="auto"/>
              </w:rPr>
              <w:t>Matthew C. Wolsfeld, CPA</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8380" w:type="dxa"/>
            <w:vAlign w:val="bottom"/>
            <w:vMerge w:val="restart"/>
          </w:tcPr>
          <w:p>
            <w:pPr>
              <w:ind w:left="1400"/>
              <w:spacing w:after="0"/>
              <w:rPr>
                <w:sz w:val="20"/>
                <w:szCs w:val="20"/>
                <w:color w:val="auto"/>
              </w:rPr>
            </w:pPr>
            <w:r>
              <w:rPr>
                <w:rFonts w:ascii="Arial" w:cs="Arial" w:eastAsia="Arial" w:hAnsi="Arial"/>
                <w:sz w:val="18"/>
                <w:szCs w:val="18"/>
                <w:color w:val="auto"/>
                <w:w w:val="99"/>
              </w:rPr>
              <w:t>(Principal Financial and Accounting Officer and Duly Authorized to Sign on Behalf of the</w:t>
            </w: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7"/>
                <w:szCs w:val="17"/>
                <w:color w:val="auto"/>
              </w:rPr>
            </w:pPr>
          </w:p>
        </w:tc>
        <w:tc>
          <w:tcPr>
            <w:tcW w:w="8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8380" w:type="dxa"/>
            <w:vAlign w:val="bottom"/>
          </w:tcPr>
          <w:p>
            <w:pPr>
              <w:ind w:left="140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831"/>
        </w:trPr>
        <w:tc>
          <w:tcPr>
            <w:tcW w:w="3040" w:type="dxa"/>
            <w:vAlign w:val="bottom"/>
          </w:tcPr>
          <w:p>
            <w:pPr>
              <w:spacing w:after="0"/>
              <w:rPr>
                <w:sz w:val="24"/>
                <w:szCs w:val="24"/>
                <w:color w:val="auto"/>
              </w:rPr>
            </w:pPr>
          </w:p>
        </w:tc>
        <w:tc>
          <w:tcPr>
            <w:tcW w:w="8380" w:type="dxa"/>
            <w:vAlign w:val="bottom"/>
          </w:tcPr>
          <w:p>
            <w:pPr>
              <w:jc w:val="right"/>
              <w:ind w:right="553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42"/>
        </w:trPr>
        <w:tc>
          <w:tcPr>
            <w:tcW w:w="3040" w:type="dxa"/>
            <w:vAlign w:val="bottom"/>
            <w:tcBorders>
              <w:bottom w:val="single" w:sz="8" w:color="808080"/>
            </w:tcBorders>
          </w:tcPr>
          <w:p>
            <w:pPr>
              <w:spacing w:after="0"/>
              <w:rPr>
                <w:sz w:val="12"/>
                <w:szCs w:val="12"/>
                <w:color w:val="auto"/>
              </w:rPr>
            </w:pPr>
          </w:p>
        </w:tc>
        <w:tc>
          <w:tcPr>
            <w:tcW w:w="83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-37465</wp:posOffset>
            </wp:positionV>
            <wp:extent cx="127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29"/>
        </w:trPr>
        <w:tc>
          <w:tcPr>
            <w:tcW w:w="1440" w:type="dxa"/>
            <w:vAlign w:val="bottom"/>
          </w:tcPr>
          <w:p>
            <w:pPr>
              <w:spacing w:after="0"/>
              <w:rPr>
                <w:sz w:val="19"/>
                <w:szCs w:val="19"/>
                <w:color w:val="auto"/>
              </w:rPr>
            </w:pPr>
          </w:p>
        </w:tc>
        <w:tc>
          <w:tcPr>
            <w:tcW w:w="7180" w:type="dxa"/>
            <w:vAlign w:val="bottom"/>
            <w:gridSpan w:val="2"/>
          </w:tcPr>
          <w:p>
            <w:pPr>
              <w:jc w:val="center"/>
              <w:ind w:left="1272"/>
              <w:spacing w:after="0"/>
              <w:rPr>
                <w:sz w:val="20"/>
                <w:szCs w:val="20"/>
                <w:color w:val="auto"/>
              </w:rPr>
            </w:pPr>
            <w:r>
              <w:rPr>
                <w:rFonts w:ascii="Arial" w:cs="Arial" w:eastAsia="Arial" w:hAnsi="Arial"/>
                <w:sz w:val="18"/>
                <w:szCs w:val="18"/>
                <w:b w:val="1"/>
                <w:bCs w:val="1"/>
                <w:color w:val="auto"/>
                <w:w w:val="99"/>
              </w:rPr>
              <w:t>NORTHERN TECHNOLOGIES INTERNATIONAL CORPORATION</w:t>
            </w:r>
          </w:p>
        </w:tc>
        <w:tc>
          <w:tcPr>
            <w:tcW w:w="2820" w:type="dxa"/>
            <w:vAlign w:val="bottom"/>
          </w:tcPr>
          <w:p>
            <w:pPr>
              <w:spacing w:after="0"/>
              <w:rPr>
                <w:sz w:val="19"/>
                <w:szCs w:val="19"/>
                <w:color w:val="auto"/>
              </w:rPr>
            </w:pPr>
          </w:p>
        </w:tc>
      </w:tr>
      <w:tr>
        <w:trPr>
          <w:trHeight w:val="448"/>
        </w:trPr>
        <w:tc>
          <w:tcPr>
            <w:tcW w:w="1440" w:type="dxa"/>
            <w:vAlign w:val="bottom"/>
          </w:tcPr>
          <w:p>
            <w:pPr>
              <w:spacing w:after="0"/>
              <w:rPr>
                <w:sz w:val="24"/>
                <w:szCs w:val="24"/>
                <w:color w:val="auto"/>
              </w:rPr>
            </w:pPr>
          </w:p>
        </w:tc>
        <w:tc>
          <w:tcPr>
            <w:tcW w:w="7180" w:type="dxa"/>
            <w:vAlign w:val="bottom"/>
            <w:gridSpan w:val="2"/>
          </w:tcPr>
          <w:p>
            <w:pPr>
              <w:jc w:val="center"/>
              <w:ind w:left="1272"/>
              <w:spacing w:after="0"/>
              <w:rPr>
                <w:sz w:val="20"/>
                <w:szCs w:val="20"/>
                <w:color w:val="auto"/>
              </w:rPr>
            </w:pPr>
            <w:r>
              <w:rPr>
                <w:rFonts w:ascii="Arial" w:cs="Arial" w:eastAsia="Arial" w:hAnsi="Arial"/>
                <w:sz w:val="18"/>
                <w:szCs w:val="18"/>
                <w:b w:val="1"/>
                <w:bCs w:val="1"/>
                <w:color w:val="auto"/>
                <w:w w:val="97"/>
              </w:rPr>
              <w:t>QUARTERLY REPORT ON FORM 10-Q</w:t>
            </w:r>
          </w:p>
        </w:tc>
        <w:tc>
          <w:tcPr>
            <w:tcW w:w="2820" w:type="dxa"/>
            <w:vAlign w:val="bottom"/>
          </w:tcPr>
          <w:p>
            <w:pPr>
              <w:spacing w:after="0"/>
              <w:rPr>
                <w:sz w:val="24"/>
                <w:szCs w:val="24"/>
                <w:color w:val="auto"/>
              </w:rPr>
            </w:pPr>
          </w:p>
        </w:tc>
      </w:tr>
      <w:tr>
        <w:trPr>
          <w:trHeight w:val="448"/>
        </w:trPr>
        <w:tc>
          <w:tcPr>
            <w:tcW w:w="1440" w:type="dxa"/>
            <w:vAlign w:val="bottom"/>
          </w:tcPr>
          <w:p>
            <w:pPr>
              <w:spacing w:after="0"/>
              <w:rPr>
                <w:sz w:val="24"/>
                <w:szCs w:val="24"/>
                <w:color w:val="auto"/>
              </w:rPr>
            </w:pPr>
          </w:p>
        </w:tc>
        <w:tc>
          <w:tcPr>
            <w:tcW w:w="7180" w:type="dxa"/>
            <w:vAlign w:val="bottom"/>
            <w:gridSpan w:val="2"/>
          </w:tcPr>
          <w:p>
            <w:pPr>
              <w:jc w:val="center"/>
              <w:ind w:left="1292"/>
              <w:spacing w:after="0"/>
              <w:rPr>
                <w:sz w:val="20"/>
                <w:szCs w:val="20"/>
                <w:color w:val="auto"/>
              </w:rPr>
            </w:pPr>
            <w:r>
              <w:rPr>
                <w:rFonts w:ascii="Arial" w:cs="Arial" w:eastAsia="Arial" w:hAnsi="Arial"/>
                <w:sz w:val="18"/>
                <w:szCs w:val="18"/>
                <w:b w:val="1"/>
                <w:bCs w:val="1"/>
                <w:color w:val="auto"/>
              </w:rPr>
              <w:t>EXHIBIT INDEX</w:t>
            </w:r>
          </w:p>
        </w:tc>
        <w:tc>
          <w:tcPr>
            <w:tcW w:w="2820" w:type="dxa"/>
            <w:vAlign w:val="bottom"/>
          </w:tcPr>
          <w:p>
            <w:pPr>
              <w:spacing w:after="0"/>
              <w:rPr>
                <w:sz w:val="24"/>
                <w:szCs w:val="24"/>
                <w:color w:val="auto"/>
              </w:rPr>
            </w:pPr>
          </w:p>
        </w:tc>
      </w:tr>
      <w:tr>
        <w:trPr>
          <w:trHeight w:val="235"/>
        </w:trPr>
        <w:tc>
          <w:tcPr>
            <w:tcW w:w="144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r>
      <w:tr>
        <w:trPr>
          <w:trHeight w:val="246"/>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6180" w:type="dxa"/>
            <w:vAlign w:val="bottom"/>
            <w:tcBorders>
              <w:right w:val="single" w:sz="8" w:color="auto"/>
            </w:tcBorders>
          </w:tcPr>
          <w:p>
            <w:pPr>
              <w:ind w:left="2620"/>
              <w:spacing w:after="0"/>
              <w:rPr>
                <w:sz w:val="20"/>
                <w:szCs w:val="20"/>
                <w:color w:val="auto"/>
              </w:rPr>
            </w:pPr>
            <w:r>
              <w:rPr>
                <w:rFonts w:ascii="Arial" w:cs="Arial" w:eastAsia="Arial" w:hAnsi="Arial"/>
                <w:sz w:val="18"/>
                <w:szCs w:val="18"/>
                <w:b w:val="1"/>
                <w:bCs w:val="1"/>
                <w:color w:val="auto"/>
              </w:rPr>
              <w:t>Description</w:t>
            </w:r>
          </w:p>
        </w:tc>
        <w:tc>
          <w:tcPr>
            <w:tcW w:w="1000" w:type="dxa"/>
            <w:vAlign w:val="bottom"/>
          </w:tcPr>
          <w:p>
            <w:pPr>
              <w:spacing w:after="0"/>
              <w:rPr>
                <w:sz w:val="21"/>
                <w:szCs w:val="21"/>
                <w:color w:val="auto"/>
              </w:rPr>
            </w:pPr>
          </w:p>
        </w:tc>
        <w:tc>
          <w:tcPr>
            <w:tcW w:w="2820" w:type="dxa"/>
            <w:vAlign w:val="bottom"/>
            <w:tcBorders>
              <w:right w:val="single" w:sz="8" w:color="auto"/>
            </w:tcBorders>
          </w:tcPr>
          <w:p>
            <w:pPr>
              <w:jc w:val="center"/>
              <w:ind w:right="992"/>
              <w:spacing w:after="0"/>
              <w:rPr>
                <w:sz w:val="20"/>
                <w:szCs w:val="20"/>
                <w:color w:val="auto"/>
              </w:rPr>
            </w:pPr>
            <w:r>
              <w:rPr>
                <w:rFonts w:ascii="Arial" w:cs="Arial" w:eastAsia="Arial" w:hAnsi="Arial"/>
                <w:sz w:val="18"/>
                <w:szCs w:val="18"/>
                <w:b w:val="1"/>
                <w:bCs w:val="1"/>
                <w:color w:val="auto"/>
                <w:w w:val="90"/>
              </w:rPr>
              <w:t>Method of Filing</w:t>
            </w:r>
          </w:p>
        </w:tc>
      </w:tr>
      <w:tr>
        <w:trPr>
          <w:trHeight w:val="2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1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3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Certification of Chief Executive Officer Pursuant to Section 302 of the Sarbanes-</w:t>
            </w:r>
          </w:p>
        </w:tc>
        <w:tc>
          <w:tcPr>
            <w:tcW w:w="1000" w:type="dxa"/>
            <w:vAlign w:val="bottom"/>
          </w:tcPr>
          <w:p>
            <w:pPr>
              <w:spacing w:after="0"/>
              <w:rPr>
                <w:sz w:val="20"/>
                <w:szCs w:val="20"/>
                <w:color w:val="auto"/>
              </w:rPr>
            </w:pPr>
          </w:p>
        </w:tc>
        <w:tc>
          <w:tcPr>
            <w:tcW w:w="2820" w:type="dxa"/>
            <w:vAlign w:val="bottom"/>
            <w:tcBorders>
              <w:right w:val="single" w:sz="8" w:color="auto"/>
            </w:tcBorders>
          </w:tcPr>
          <w:p>
            <w:pPr>
              <w:jc w:val="center"/>
              <w:ind w:right="992"/>
              <w:spacing w:after="0"/>
              <w:rPr>
                <w:sz w:val="20"/>
                <w:szCs w:val="20"/>
                <w:color w:val="auto"/>
              </w:rPr>
            </w:pPr>
            <w:r>
              <w:rPr>
                <w:rFonts w:ascii="Arial" w:cs="Arial" w:eastAsia="Arial" w:hAnsi="Arial"/>
                <w:sz w:val="18"/>
                <w:szCs w:val="18"/>
                <w:color w:val="auto"/>
                <w:w w:val="91"/>
              </w:rPr>
              <w:t>Filed herewith</w:t>
            </w:r>
          </w:p>
        </w:tc>
      </w:tr>
      <w:tr>
        <w:trPr>
          <w:trHeight w:val="223"/>
        </w:trPr>
        <w:tc>
          <w:tcPr>
            <w:tcW w:w="14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Oxley Act of 2002</w:t>
            </w:r>
          </w:p>
        </w:tc>
        <w:tc>
          <w:tcPr>
            <w:tcW w:w="10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r>
      <w:tr>
        <w:trPr>
          <w:trHeight w:val="40"/>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61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23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31.2</w:t>
            </w: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Certification of Chief Financial Officer Pursuant to Section 302 of the Sarbanes-</w:t>
            </w:r>
          </w:p>
        </w:tc>
        <w:tc>
          <w:tcPr>
            <w:tcW w:w="1000" w:type="dxa"/>
            <w:vAlign w:val="bottom"/>
          </w:tcPr>
          <w:p>
            <w:pPr>
              <w:spacing w:after="0"/>
              <w:rPr>
                <w:sz w:val="20"/>
                <w:szCs w:val="20"/>
                <w:color w:val="auto"/>
              </w:rPr>
            </w:pPr>
          </w:p>
        </w:tc>
        <w:tc>
          <w:tcPr>
            <w:tcW w:w="2820" w:type="dxa"/>
            <w:vAlign w:val="bottom"/>
            <w:tcBorders>
              <w:right w:val="single" w:sz="8" w:color="auto"/>
            </w:tcBorders>
          </w:tcPr>
          <w:p>
            <w:pPr>
              <w:jc w:val="center"/>
              <w:ind w:right="992"/>
              <w:spacing w:after="0"/>
              <w:rPr>
                <w:sz w:val="20"/>
                <w:szCs w:val="20"/>
                <w:color w:val="auto"/>
              </w:rPr>
            </w:pPr>
            <w:r>
              <w:rPr>
                <w:rFonts w:ascii="Arial" w:cs="Arial" w:eastAsia="Arial" w:hAnsi="Arial"/>
                <w:sz w:val="18"/>
                <w:szCs w:val="18"/>
                <w:color w:val="auto"/>
                <w:w w:val="91"/>
              </w:rPr>
              <w:t>Filed herewith</w:t>
            </w:r>
          </w:p>
        </w:tc>
      </w:tr>
      <w:tr>
        <w:trPr>
          <w:trHeight w:val="223"/>
        </w:trPr>
        <w:tc>
          <w:tcPr>
            <w:tcW w:w="14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Oxley Act of 2002</w:t>
            </w:r>
          </w:p>
        </w:tc>
        <w:tc>
          <w:tcPr>
            <w:tcW w:w="10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r>
      <w:tr>
        <w:trPr>
          <w:trHeight w:val="40"/>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61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23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32.1</w:t>
            </w: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Certification of Chief Executive Officer Pursuant to 18 U.S.C. Section 1350, as</w:t>
            </w:r>
          </w:p>
        </w:tc>
        <w:tc>
          <w:tcPr>
            <w:tcW w:w="1000" w:type="dxa"/>
            <w:vAlign w:val="bottom"/>
          </w:tcPr>
          <w:p>
            <w:pPr>
              <w:spacing w:after="0"/>
              <w:rPr>
                <w:sz w:val="20"/>
                <w:szCs w:val="20"/>
                <w:color w:val="auto"/>
              </w:rPr>
            </w:pPr>
          </w:p>
        </w:tc>
        <w:tc>
          <w:tcPr>
            <w:tcW w:w="2820" w:type="dxa"/>
            <w:vAlign w:val="bottom"/>
            <w:tcBorders>
              <w:right w:val="single" w:sz="8" w:color="auto"/>
            </w:tcBorders>
          </w:tcPr>
          <w:p>
            <w:pPr>
              <w:jc w:val="center"/>
              <w:ind w:right="972"/>
              <w:spacing w:after="0"/>
              <w:rPr>
                <w:sz w:val="20"/>
                <w:szCs w:val="20"/>
                <w:color w:val="auto"/>
              </w:rPr>
            </w:pPr>
            <w:r>
              <w:rPr>
                <w:rFonts w:ascii="Arial" w:cs="Arial" w:eastAsia="Arial" w:hAnsi="Arial"/>
                <w:sz w:val="18"/>
                <w:szCs w:val="18"/>
                <w:color w:val="auto"/>
                <w:w w:val="88"/>
              </w:rPr>
              <w:t>Furnished herewith</w:t>
            </w:r>
          </w:p>
        </w:tc>
      </w:tr>
      <w:tr>
        <w:trPr>
          <w:trHeight w:val="223"/>
        </w:trPr>
        <w:tc>
          <w:tcPr>
            <w:tcW w:w="14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0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r>
      <w:tr>
        <w:trPr>
          <w:trHeight w:val="40"/>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61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r>
        <w:trPr>
          <w:trHeight w:val="23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32.2</w:t>
            </w: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Certification of Chief Financial Officer Pursuant to 18 U.S.C. Section 1350, as</w:t>
            </w:r>
          </w:p>
        </w:tc>
        <w:tc>
          <w:tcPr>
            <w:tcW w:w="1000" w:type="dxa"/>
            <w:vAlign w:val="bottom"/>
          </w:tcPr>
          <w:p>
            <w:pPr>
              <w:spacing w:after="0"/>
              <w:rPr>
                <w:sz w:val="20"/>
                <w:szCs w:val="20"/>
                <w:color w:val="auto"/>
              </w:rPr>
            </w:pPr>
          </w:p>
        </w:tc>
        <w:tc>
          <w:tcPr>
            <w:tcW w:w="2820" w:type="dxa"/>
            <w:vAlign w:val="bottom"/>
            <w:tcBorders>
              <w:right w:val="single" w:sz="8" w:color="auto"/>
            </w:tcBorders>
          </w:tcPr>
          <w:p>
            <w:pPr>
              <w:jc w:val="center"/>
              <w:ind w:right="972"/>
              <w:spacing w:after="0"/>
              <w:rPr>
                <w:sz w:val="20"/>
                <w:szCs w:val="20"/>
                <w:color w:val="auto"/>
              </w:rPr>
            </w:pPr>
            <w:r>
              <w:rPr>
                <w:rFonts w:ascii="Arial" w:cs="Arial" w:eastAsia="Arial" w:hAnsi="Arial"/>
                <w:sz w:val="18"/>
                <w:szCs w:val="18"/>
                <w:color w:val="auto"/>
                <w:w w:val="88"/>
              </w:rPr>
              <w:t>Furnished herewith</w:t>
            </w:r>
          </w:p>
        </w:tc>
      </w:tr>
      <w:tr>
        <w:trPr>
          <w:trHeight w:val="223"/>
        </w:trPr>
        <w:tc>
          <w:tcPr>
            <w:tcW w:w="14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000" w:type="dxa"/>
            <w:vAlign w:val="bottom"/>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r>
      <w:tr>
        <w:trPr>
          <w:trHeight w:val="40"/>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61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80010</wp:posOffset>
            </wp:positionV>
            <wp:extent cx="727075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0750" cy="3810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4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41" w:lineRule="exact"/>
        <w:rPr>
          <w:sz w:val="20"/>
          <w:szCs w:val="20"/>
          <w:color w:val="auto"/>
        </w:rPr>
      </w:pPr>
    </w:p>
    <w:p>
      <w:pPr>
        <w:ind w:left="640" w:hanging="635"/>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41" w:lineRule="exact"/>
        <w:rPr>
          <w:rFonts w:ascii="Arial" w:cs="Arial" w:eastAsia="Arial" w:hAnsi="Arial"/>
          <w:sz w:val="18"/>
          <w:szCs w:val="18"/>
          <w:color w:val="auto"/>
        </w:rPr>
      </w:pPr>
    </w:p>
    <w:p>
      <w:pPr>
        <w:ind w:left="640" w:right="80" w:hanging="635"/>
        <w:spacing w:after="0" w:line="363" w:lineRule="auto"/>
        <w:tabs>
          <w:tab w:leader="none" w:pos="6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left="640" w:right="520" w:hanging="635"/>
        <w:spacing w:after="0" w:line="325"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6"/>
          <w:szCs w:val="16"/>
          <w:color w:val="auto"/>
        </w:rPr>
      </w:pPr>
    </w:p>
    <w:p>
      <w:pPr>
        <w:ind w:left="640" w:right="140" w:hanging="635"/>
        <w:spacing w:after="0" w:line="253"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1120" w:right="240" w:hanging="7"/>
        <w:spacing w:after="0" w:line="300" w:lineRule="auto"/>
        <w:tabs>
          <w:tab w:leader="none" w:pos="1974"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6"/>
          <w:szCs w:val="16"/>
          <w:color w:val="auto"/>
        </w:rPr>
      </w:pPr>
    </w:p>
    <w:p>
      <w:pPr>
        <w:ind w:left="1120" w:right="140" w:hanging="7"/>
        <w:spacing w:after="0" w:line="253" w:lineRule="auto"/>
        <w:tabs>
          <w:tab w:leader="none" w:pos="19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15" w:lineRule="exact"/>
        <w:rPr>
          <w:rFonts w:ascii="Arial" w:cs="Arial" w:eastAsia="Arial" w:hAnsi="Arial"/>
          <w:sz w:val="18"/>
          <w:szCs w:val="18"/>
          <w:color w:val="auto"/>
        </w:rPr>
      </w:pPr>
    </w:p>
    <w:p>
      <w:pPr>
        <w:ind w:left="1120" w:right="240" w:hanging="7"/>
        <w:spacing w:after="0" w:line="363" w:lineRule="auto"/>
        <w:tabs>
          <w:tab w:leader="none" w:pos="1974"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120" w:right="140" w:hanging="7"/>
        <w:spacing w:after="0" w:line="253" w:lineRule="auto"/>
        <w:tabs>
          <w:tab w:leader="none" w:pos="19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right="200" w:hanging="635"/>
        <w:spacing w:after="0" w:line="325"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60" w:lineRule="exact"/>
        <w:rPr>
          <w:rFonts w:ascii="Arial" w:cs="Arial" w:eastAsia="Arial" w:hAnsi="Arial"/>
          <w:sz w:val="16"/>
          <w:szCs w:val="16"/>
          <w:color w:val="auto"/>
        </w:rPr>
      </w:pPr>
    </w:p>
    <w:p>
      <w:pPr>
        <w:ind w:left="1120" w:right="80" w:hanging="7"/>
        <w:spacing w:after="0" w:line="325" w:lineRule="auto"/>
        <w:tabs>
          <w:tab w:leader="none" w:pos="2008"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120" w:right="420" w:hanging="7"/>
        <w:spacing w:after="0" w:line="262" w:lineRule="auto"/>
        <w:tabs>
          <w:tab w:leader="none" w:pos="201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3075940</wp:posOffset>
            </wp:positionH>
            <wp:positionV relativeFrom="paragraph">
              <wp:posOffset>139700</wp:posOffset>
            </wp:positionV>
            <wp:extent cx="1732915" cy="276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32915" cy="27622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July 13, 2011</w:t>
      </w:r>
    </w:p>
    <w:p>
      <w:pPr>
        <w:spacing w:after="0" w:line="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G. Patrick Lynch</w:t>
      </w:r>
    </w:p>
    <w:p>
      <w:pPr>
        <w:spacing w:after="0" w:line="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4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41" w:lineRule="exact"/>
        <w:rPr>
          <w:sz w:val="20"/>
          <w:szCs w:val="20"/>
          <w:color w:val="auto"/>
        </w:rPr>
      </w:pPr>
    </w:p>
    <w:p>
      <w:pPr>
        <w:ind w:left="640" w:hanging="635"/>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41" w:lineRule="exact"/>
        <w:rPr>
          <w:rFonts w:ascii="Arial" w:cs="Arial" w:eastAsia="Arial" w:hAnsi="Arial"/>
          <w:sz w:val="18"/>
          <w:szCs w:val="18"/>
          <w:color w:val="auto"/>
        </w:rPr>
      </w:pPr>
    </w:p>
    <w:p>
      <w:pPr>
        <w:ind w:left="640" w:right="80" w:hanging="635"/>
        <w:spacing w:after="0" w:line="363" w:lineRule="auto"/>
        <w:tabs>
          <w:tab w:leader="none" w:pos="6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left="640" w:right="520" w:hanging="635"/>
        <w:spacing w:after="0" w:line="325"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6"/>
          <w:szCs w:val="16"/>
          <w:color w:val="auto"/>
        </w:rPr>
      </w:pPr>
    </w:p>
    <w:p>
      <w:pPr>
        <w:ind w:left="640" w:right="140" w:hanging="635"/>
        <w:spacing w:after="0" w:line="253"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1120" w:right="240" w:hanging="7"/>
        <w:spacing w:after="0" w:line="300" w:lineRule="auto"/>
        <w:tabs>
          <w:tab w:leader="none" w:pos="1974"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6"/>
          <w:szCs w:val="16"/>
          <w:color w:val="auto"/>
        </w:rPr>
      </w:pPr>
    </w:p>
    <w:p>
      <w:pPr>
        <w:ind w:left="1120" w:right="140" w:hanging="7"/>
        <w:spacing w:after="0" w:line="253" w:lineRule="auto"/>
        <w:tabs>
          <w:tab w:leader="none" w:pos="198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15" w:lineRule="exact"/>
        <w:rPr>
          <w:rFonts w:ascii="Arial" w:cs="Arial" w:eastAsia="Arial" w:hAnsi="Arial"/>
          <w:sz w:val="18"/>
          <w:szCs w:val="18"/>
          <w:color w:val="auto"/>
        </w:rPr>
      </w:pPr>
    </w:p>
    <w:p>
      <w:pPr>
        <w:ind w:left="1120" w:right="240" w:hanging="7"/>
        <w:spacing w:after="0" w:line="363" w:lineRule="auto"/>
        <w:tabs>
          <w:tab w:leader="none" w:pos="1974"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120" w:right="140" w:hanging="7"/>
        <w:spacing w:after="0" w:line="253" w:lineRule="auto"/>
        <w:tabs>
          <w:tab w:leader="none" w:pos="198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right="200" w:hanging="635"/>
        <w:spacing w:after="0" w:line="325"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60" w:lineRule="exact"/>
        <w:rPr>
          <w:rFonts w:ascii="Arial" w:cs="Arial" w:eastAsia="Arial" w:hAnsi="Arial"/>
          <w:sz w:val="16"/>
          <w:szCs w:val="16"/>
          <w:color w:val="auto"/>
        </w:rPr>
      </w:pPr>
    </w:p>
    <w:p>
      <w:pPr>
        <w:ind w:left="1120" w:right="80" w:hanging="7"/>
        <w:spacing w:after="0" w:line="325" w:lineRule="auto"/>
        <w:tabs>
          <w:tab w:leader="none" w:pos="2008"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120" w:right="420" w:hanging="7"/>
        <w:spacing w:after="0" w:line="262" w:lineRule="auto"/>
        <w:tabs>
          <w:tab w:leader="none" w:pos="201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256540</wp:posOffset>
            </wp:positionV>
            <wp:extent cx="1314450" cy="702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14450" cy="7029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Date: July 13,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 and Corporate Secretary</w:t>
      </w:r>
    </w:p>
    <w:p>
      <w:pPr>
        <w:sectPr>
          <w:pgSz w:w="11900" w:h="16838" w:orient="portrait"/>
          <w:cols w:equalWidth="0" w:num="2">
            <w:col w:w="2720" w:space="720"/>
            <w:col w:w="7980"/>
          </w:cols>
          <w:pgMar w:left="240" w:top="121" w:right="2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52"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May 31, 2011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9" w:lineRule="exact"/>
        <w:rPr>
          <w:sz w:val="20"/>
          <w:szCs w:val="20"/>
          <w:color w:val="auto"/>
        </w:rPr>
      </w:pPr>
    </w:p>
    <w:p>
      <w:pPr>
        <w:ind w:left="1580" w:hanging="942"/>
        <w:spacing w:after="0"/>
        <w:tabs>
          <w:tab w:leader="none" w:pos="1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1" w:lineRule="exact"/>
        <w:rPr>
          <w:rFonts w:ascii="Arial" w:cs="Arial" w:eastAsia="Arial" w:hAnsi="Arial"/>
          <w:sz w:val="18"/>
          <w:szCs w:val="18"/>
          <w:color w:val="auto"/>
        </w:rPr>
      </w:pPr>
    </w:p>
    <w:p>
      <w:pPr>
        <w:ind w:left="1580" w:right="400" w:hanging="942"/>
        <w:spacing w:after="0" w:line="262" w:lineRule="auto"/>
        <w:tabs>
          <w:tab w:leader="none" w:pos="15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220" w:hanging="215"/>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1732915" cy="276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32915" cy="2762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President and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July 13, 2011</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May 31, 2011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219" w:lineRule="exact"/>
        <w:rPr>
          <w:sz w:val="20"/>
          <w:szCs w:val="20"/>
          <w:color w:val="auto"/>
        </w:rPr>
      </w:pPr>
    </w:p>
    <w:p>
      <w:pPr>
        <w:ind w:left="1580" w:hanging="942"/>
        <w:spacing w:after="0"/>
        <w:tabs>
          <w:tab w:leader="none" w:pos="1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1" w:lineRule="exact"/>
        <w:rPr>
          <w:rFonts w:ascii="Arial" w:cs="Arial" w:eastAsia="Arial" w:hAnsi="Arial"/>
          <w:sz w:val="18"/>
          <w:szCs w:val="18"/>
          <w:color w:val="auto"/>
        </w:rPr>
      </w:pPr>
    </w:p>
    <w:p>
      <w:pPr>
        <w:ind w:left="1580" w:right="400" w:hanging="942"/>
        <w:spacing w:after="0" w:line="262" w:lineRule="auto"/>
        <w:tabs>
          <w:tab w:leader="none" w:pos="1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1314450" cy="7029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144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 (principal financial officer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July 13, 2011</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1."/>
      <w:numFmt w:val="decimal"/>
      <w:start w:val="4"/>
    </w:lvl>
  </w:abstractNum>
  <w:abstractNum w:abstractNumId="3">
    <w:nsid w:val="66EF438D"/>
    <w:multiLevelType w:val="hybridMultilevel"/>
    <w:lvl w:ilvl="0">
      <w:lvlJc w:val="left"/>
      <w:lvlText w:val="%1."/>
      <w:numFmt w:val="decimal"/>
      <w:start w:val="6"/>
    </w:lvl>
  </w:abstractNum>
  <w:abstractNum w:abstractNumId="4">
    <w:nsid w:val="140E0F76"/>
    <w:multiLevelType w:val="hybridMultilevel"/>
    <w:lvl w:ilvl="0">
      <w:lvlJc w:val="left"/>
      <w:lvlText w:val="%1."/>
      <w:numFmt w:val="decimal"/>
      <w:start w:val="7"/>
    </w:lvl>
  </w:abstractNum>
  <w:abstractNum w:abstractNumId="5">
    <w:nsid w:val="3352255A"/>
    <w:multiLevelType w:val="hybridMultilevel"/>
    <w:lvl w:ilvl="0">
      <w:lvlJc w:val="left"/>
      <w:lvlText w:val="%1."/>
      <w:numFmt w:val="decimal"/>
      <w:start w:val="8"/>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1."/>
      <w:numFmt w:val="decimal"/>
      <w:start w:val="13"/>
    </w:lvl>
  </w:abstractNum>
  <w:abstractNum w:abstractNumId="10">
    <w:nsid w:val="41A7C4C9"/>
    <w:multiLevelType w:val="hybridMultilevel"/>
    <w:lvl w:ilvl="0">
      <w:lvlJc w:val="left"/>
      <w:lvlText w:val="%1."/>
      <w:numFmt w:val="decimal"/>
      <w:start w:val="14"/>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upperLetter"/>
      <w:start w:val="1"/>
    </w:lvl>
    <w:lvl w:ilvl="1">
      <w:lvlJc w:val="left"/>
      <w:lvlText w:val="(%2)"/>
      <w:numFmt w:val="decimal"/>
      <w:start w:val="1"/>
    </w:lvl>
  </w:abstractNum>
  <w:abstractNum w:abstractNumId="18">
    <w:nsid w:val="257130A3"/>
    <w:multiLevelType w:val="hybridMultilevel"/>
    <w:lvl w:ilvl="0">
      <w:lvlJc w:val="left"/>
      <w:lvlText w:val="%1."/>
      <w:numFmt w:val="upperLetter"/>
      <w:start w:val="7"/>
    </w:lvl>
    <w:lvl w:ilvl="1">
      <w:lvlJc w:val="left"/>
      <w:lvlText w:val="%2"/>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2019-12-10T10:44:54Z</dcterms:created>
  <dcterms:modified xsi:type="dcterms:W3CDTF">2019-12-10T10:44:54Z</dcterms:modified>
</cp:coreProperties>
</file>