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72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255" cy="254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200025</wp:posOffset>
            </wp:positionV>
            <wp:extent cx="72472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255" cy="25400"/>
                    </a:xfrm>
                    <a:prstGeom prst="rect">
                      <a:avLst/>
                    </a:prstGeom>
                    <a:noFill/>
                  </pic:spPr>
                </pic:pic>
              </a:graphicData>
            </a:graphic>
          </wp:anchor>
        </w:drawing>
        <w:t>UNITED STATES</w:t>
      </w:r>
    </w:p>
    <w:p>
      <w:pPr>
        <w:spacing w:after="0" w:line="31"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208915</wp:posOffset>
            </wp:positionV>
            <wp:extent cx="18351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10-QSB</w:t>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3" w:lineRule="exact"/>
        <w:rPr>
          <w:sz w:val="24"/>
          <w:szCs w:val="24"/>
          <w:color w:val="auto"/>
        </w:rPr>
      </w:pPr>
    </w:p>
    <w:p>
      <w:pPr>
        <w:ind w:left="440" w:hanging="420"/>
        <w:spacing w:after="0"/>
        <w:tabs>
          <w:tab w:leader="none" w:pos="4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UNDER SECTION 13 OR 15(d) OF THE SECURITIES EXCHANGE ACT OF 1934</w:t>
      </w:r>
    </w:p>
    <w:p>
      <w:pPr>
        <w:spacing w:after="0" w:line="18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quarterly period ended</w:t>
      </w:r>
    </w:p>
    <w:p>
      <w:pPr>
        <w:spacing w:after="0" w:line="2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May 31, 2008</w:t>
      </w:r>
    </w:p>
    <w:p>
      <w:pPr>
        <w:spacing w:after="0" w:line="214" w:lineRule="exact"/>
        <w:rPr>
          <w:sz w:val="24"/>
          <w:szCs w:val="24"/>
          <w:color w:val="auto"/>
        </w:rPr>
      </w:pPr>
    </w:p>
    <w:p>
      <w:pPr>
        <w:ind w:left="440" w:hanging="420"/>
        <w:spacing w:after="0"/>
        <w:tabs>
          <w:tab w:leader="none" w:pos="4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THE SECURITIES EXCHANGE ACT OF 1934</w:t>
      </w:r>
    </w:p>
    <w:p>
      <w:pPr>
        <w:spacing w:after="0" w:line="213" w:lineRule="exact"/>
        <w:rPr>
          <w:sz w:val="24"/>
          <w:szCs w:val="24"/>
          <w:color w:val="auto"/>
        </w:rPr>
      </w:pPr>
    </w:p>
    <w:p>
      <w:pPr>
        <w:ind w:left="3680"/>
        <w:spacing w:after="0"/>
        <w:tabs>
          <w:tab w:leader="none" w:pos="6740" w:val="left"/>
          <w:tab w:leader="none" w:pos="76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1-11038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2710815</wp:posOffset>
            </wp:positionH>
            <wp:positionV relativeFrom="paragraph">
              <wp:posOffset>221615</wp:posOffset>
            </wp:positionV>
            <wp:extent cx="1835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NORTHERN TECHNOLOGIES INTERNATIONAL CORPORATION</w:t>
      </w:r>
    </w:p>
    <w:p>
      <w:pPr>
        <w:spacing w:after="0" w:line="3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(Name of small business issuer in its charter)</w:t>
      </w:r>
    </w:p>
    <w:p>
      <w:pPr>
        <w:spacing w:after="0" w:line="203" w:lineRule="exact"/>
        <w:rPr>
          <w:sz w:val="24"/>
          <w:szCs w:val="24"/>
          <w:color w:val="auto"/>
        </w:rPr>
      </w:pPr>
    </w:p>
    <w:tbl>
      <w:tblPr>
        <w:tblLayout w:type="fixed"/>
        <w:tblInd w:w="680" w:type="dxa"/>
        <w:tblCellMar>
          <w:top w:w="0" w:type="dxa"/>
          <w:left w:w="0" w:type="dxa"/>
          <w:bottom w:w="0" w:type="dxa"/>
          <w:right w:w="0" w:type="dxa"/>
        </w:tblCellMar>
      </w:tblPr>
      <w:tr>
        <w:trPr>
          <w:trHeight w:val="219"/>
        </w:trPr>
        <w:tc>
          <w:tcPr>
            <w:tcW w:w="54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7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80" w:type="dxa"/>
            <w:vAlign w:val="bottom"/>
          </w:tcPr>
          <w:p>
            <w:pPr>
              <w:jc w:val="center"/>
              <w:ind w:left="1090"/>
              <w:spacing w:after="0"/>
              <w:rPr>
                <w:sz w:val="20"/>
                <w:szCs w:val="20"/>
                <w:color w:val="auto"/>
              </w:rPr>
            </w:pPr>
            <w:r>
              <w:rPr>
                <w:rFonts w:ascii="Arial" w:cs="Arial" w:eastAsia="Arial" w:hAnsi="Arial"/>
                <w:sz w:val="18"/>
                <w:szCs w:val="18"/>
                <w:color w:val="auto"/>
                <w:w w:val="93"/>
              </w:rPr>
              <w:t>(I.R.S. Employer Identification No.)</w:t>
            </w:r>
          </w:p>
        </w:tc>
      </w:tr>
      <w:tr>
        <w:trPr>
          <w:trHeight w:val="412"/>
        </w:trPr>
        <w:tc>
          <w:tcPr>
            <w:tcW w:w="54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4201 Woodland Rd</w:t>
            </w:r>
          </w:p>
        </w:tc>
        <w:tc>
          <w:tcPr>
            <w:tcW w:w="3780" w:type="dxa"/>
            <w:vAlign w:val="bottom"/>
          </w:tcPr>
          <w:p>
            <w:pPr>
              <w:spacing w:after="0"/>
              <w:rPr>
                <w:sz w:val="24"/>
                <w:szCs w:val="24"/>
                <w:color w:val="auto"/>
              </w:rPr>
            </w:pPr>
          </w:p>
        </w:tc>
      </w:tr>
      <w:tr>
        <w:trPr>
          <w:trHeight w:val="219"/>
        </w:trPr>
        <w:tc>
          <w:tcPr>
            <w:tcW w:w="5460" w:type="dxa"/>
            <w:vAlign w:val="bottom"/>
          </w:tcPr>
          <w:p>
            <w:pPr>
              <w:jc w:val="center"/>
              <w:ind w:right="1110"/>
              <w:spacing w:after="0"/>
              <w:rPr>
                <w:sz w:val="20"/>
                <w:szCs w:val="20"/>
                <w:color w:val="auto"/>
              </w:rPr>
            </w:pPr>
            <w:r>
              <w:rPr>
                <w:rFonts w:ascii="Arial" w:cs="Arial" w:eastAsia="Arial" w:hAnsi="Arial"/>
                <w:sz w:val="18"/>
                <w:szCs w:val="18"/>
                <w:b w:val="1"/>
                <w:bCs w:val="1"/>
                <w:color w:val="auto"/>
                <w:w w:val="90"/>
              </w:rPr>
              <w:t>Circle Pines, Minnesota</w:t>
            </w:r>
          </w:p>
        </w:tc>
        <w:tc>
          <w:tcPr>
            <w:tcW w:w="3780" w:type="dxa"/>
            <w:vAlign w:val="bottom"/>
          </w:tcPr>
          <w:p>
            <w:pPr>
              <w:jc w:val="right"/>
              <w:ind w:right="990"/>
              <w:spacing w:after="0"/>
              <w:rPr>
                <w:sz w:val="20"/>
                <w:szCs w:val="20"/>
                <w:color w:val="auto"/>
              </w:rPr>
            </w:pPr>
            <w:r>
              <w:rPr>
                <w:rFonts w:ascii="Arial" w:cs="Arial" w:eastAsia="Arial" w:hAnsi="Arial"/>
                <w:sz w:val="18"/>
                <w:szCs w:val="18"/>
                <w:b w:val="1"/>
                <w:bCs w:val="1"/>
                <w:color w:val="auto"/>
              </w:rPr>
              <w:t>55014</w:t>
            </w:r>
          </w:p>
        </w:tc>
      </w:tr>
      <w:tr>
        <w:trPr>
          <w:trHeight w:val="230"/>
        </w:trPr>
        <w:tc>
          <w:tcPr>
            <w:tcW w:w="5460" w:type="dxa"/>
            <w:vAlign w:val="bottom"/>
          </w:tcPr>
          <w:p>
            <w:pPr>
              <w:jc w:val="center"/>
              <w:ind w:right="1110"/>
              <w:spacing w:after="0"/>
              <w:rPr>
                <w:sz w:val="20"/>
                <w:szCs w:val="20"/>
                <w:color w:val="auto"/>
              </w:rPr>
            </w:pPr>
            <w:r>
              <w:rPr>
                <w:rFonts w:ascii="Arial" w:cs="Arial" w:eastAsia="Arial" w:hAnsi="Arial"/>
                <w:sz w:val="18"/>
                <w:szCs w:val="18"/>
                <w:color w:val="auto"/>
                <w:w w:val="92"/>
              </w:rPr>
              <w:t>(Address of principal executive offices)</w:t>
            </w:r>
          </w:p>
        </w:tc>
        <w:tc>
          <w:tcPr>
            <w:tcW w:w="3780" w:type="dxa"/>
            <w:vAlign w:val="bottom"/>
          </w:tcPr>
          <w:p>
            <w:pPr>
              <w:jc w:val="center"/>
              <w:ind w:left="1090"/>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(Issuer’s telephone number, including area code)</w:t>
      </w:r>
    </w:p>
    <w:p>
      <w:pPr>
        <w:spacing w:after="0" w:line="209" w:lineRule="exact"/>
        <w:rPr>
          <w:sz w:val="24"/>
          <w:szCs w:val="24"/>
          <w:color w:val="auto"/>
        </w:rPr>
      </w:pPr>
    </w:p>
    <w:p>
      <w:pPr>
        <w:ind w:right="160"/>
        <w:spacing w:after="0" w:line="262" w:lineRule="auto"/>
        <w:rPr>
          <w:sz w:val="20"/>
          <w:szCs w:val="20"/>
          <w:color w:val="auto"/>
        </w:rPr>
      </w:pPr>
      <w:r>
        <w:rPr>
          <w:rFonts w:ascii="Arial" w:cs="Arial" w:eastAsia="Arial" w:hAnsi="Arial"/>
          <w:sz w:val="18"/>
          <w:szCs w:val="18"/>
          <w:color w:val="auto"/>
        </w:rPr>
        <w:t>Check whether the issuer (1) filed all reports required to be filed by Section 13 or 15(d) of the Securities Exchange Act of 1934 during the past 12 months (or for such shorter period that the issuer was required to file such reports) and (2) has been subject to such filing requirements for the past 90 days. Yes x No o</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State the number of shares outstanding of each of the issuer’s classes of common equity, as of the latest practicable date.</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4020" w:type="dxa"/>
            <w:vAlign w:val="bottom"/>
            <w:tcBorders>
              <w:bottom w:val="single" w:sz="8" w:color="auto"/>
            </w:tcBorders>
          </w:tcPr>
          <w:p>
            <w:pPr>
              <w:jc w:val="center"/>
              <w:ind w:right="1496"/>
              <w:spacing w:after="0"/>
              <w:rPr>
                <w:sz w:val="20"/>
                <w:szCs w:val="20"/>
                <w:color w:val="auto"/>
              </w:rPr>
            </w:pPr>
            <w:r>
              <w:rPr>
                <w:rFonts w:ascii="Arial" w:cs="Arial" w:eastAsia="Arial" w:hAnsi="Arial"/>
                <w:sz w:val="14"/>
                <w:szCs w:val="14"/>
                <w:b w:val="1"/>
                <w:bCs w:val="1"/>
                <w:color w:val="auto"/>
                <w:w w:val="91"/>
              </w:rPr>
              <w:t>Outstanding as of July 11, 2008</w:t>
            </w:r>
          </w:p>
        </w:tc>
        <w:tc>
          <w:tcPr>
            <w:tcW w:w="40" w:type="dxa"/>
            <w:vAlign w:val="bottom"/>
          </w:tcPr>
          <w:p>
            <w:pPr>
              <w:spacing w:after="0"/>
              <w:rPr>
                <w:sz w:val="14"/>
                <w:szCs w:val="14"/>
                <w:color w:val="auto"/>
              </w:rPr>
            </w:pPr>
          </w:p>
        </w:tc>
      </w:tr>
      <w:tr>
        <w:trPr>
          <w:trHeight w:val="424"/>
        </w:trPr>
        <w:tc>
          <w:tcPr>
            <w:tcW w:w="7400" w:type="dxa"/>
            <w:vAlign w:val="bottom"/>
            <w:gridSpan w:val="3"/>
          </w:tcPr>
          <w:p>
            <w:pPr>
              <w:jc w:val="center"/>
              <w:ind w:right="1780"/>
              <w:spacing w:after="0"/>
              <w:rPr>
                <w:sz w:val="20"/>
                <w:szCs w:val="20"/>
                <w:color w:val="auto"/>
              </w:rPr>
            </w:pPr>
            <w:r>
              <w:rPr>
                <w:rFonts w:ascii="Arial" w:cs="Arial" w:eastAsia="Arial" w:hAnsi="Arial"/>
                <w:sz w:val="18"/>
                <w:szCs w:val="18"/>
                <w:color w:val="auto"/>
                <w:w w:val="89"/>
              </w:rPr>
              <w:t>Common Stock, $0.02 par value</w:t>
            </w:r>
          </w:p>
        </w:tc>
        <w:tc>
          <w:tcPr>
            <w:tcW w:w="4020" w:type="dxa"/>
            <w:vAlign w:val="bottom"/>
          </w:tcPr>
          <w:p>
            <w:pPr>
              <w:jc w:val="right"/>
              <w:ind w:right="2356"/>
              <w:spacing w:after="0"/>
              <w:rPr>
                <w:sz w:val="20"/>
                <w:szCs w:val="20"/>
                <w:color w:val="auto"/>
              </w:rPr>
            </w:pPr>
            <w:r>
              <w:rPr>
                <w:rFonts w:ascii="Arial" w:cs="Arial" w:eastAsia="Arial" w:hAnsi="Arial"/>
                <w:sz w:val="18"/>
                <w:szCs w:val="18"/>
                <w:color w:val="auto"/>
              </w:rPr>
              <w:t>3,723,166</w:t>
            </w:r>
          </w:p>
        </w:tc>
        <w:tc>
          <w:tcPr>
            <w:tcW w:w="40" w:type="dxa"/>
            <w:vAlign w:val="bottom"/>
          </w:tcPr>
          <w:p>
            <w:pPr>
              <w:spacing w:after="0"/>
              <w:rPr>
                <w:sz w:val="24"/>
                <w:szCs w:val="24"/>
                <w:color w:val="auto"/>
              </w:rPr>
            </w:pPr>
          </w:p>
        </w:tc>
      </w:tr>
      <w:tr>
        <w:trPr>
          <w:trHeight w:val="430"/>
        </w:trPr>
        <w:tc>
          <w:tcPr>
            <w:tcW w:w="7400" w:type="dxa"/>
            <w:vAlign w:val="bottom"/>
            <w:gridSpan w:val="3"/>
          </w:tcPr>
          <w:p>
            <w:pPr>
              <w:ind w:left="3040"/>
              <w:spacing w:after="0"/>
              <w:rPr>
                <w:sz w:val="20"/>
                <w:szCs w:val="20"/>
                <w:color w:val="auto"/>
              </w:rPr>
            </w:pPr>
            <w:r>
              <w:rPr>
                <w:rFonts w:ascii="Arial" w:cs="Arial" w:eastAsia="Arial" w:hAnsi="Arial"/>
                <w:sz w:val="18"/>
                <w:szCs w:val="18"/>
                <w:color w:val="auto"/>
                <w:w w:val="91"/>
              </w:rPr>
              <w:t>Transitional Small Business Disclosure Format (check one):</w:t>
            </w:r>
          </w:p>
        </w:tc>
        <w:tc>
          <w:tcPr>
            <w:tcW w:w="4020" w:type="dxa"/>
            <w:vAlign w:val="bottom"/>
          </w:tcPr>
          <w:p>
            <w:pPr>
              <w:ind w:left="60"/>
              <w:spacing w:after="0"/>
              <w:rPr>
                <w:sz w:val="20"/>
                <w:szCs w:val="20"/>
                <w:color w:val="auto"/>
              </w:rPr>
            </w:pPr>
            <w:r>
              <w:rPr>
                <w:rFonts w:ascii="Arial" w:cs="Arial" w:eastAsia="Arial" w:hAnsi="Arial"/>
                <w:sz w:val="18"/>
                <w:szCs w:val="18"/>
                <w:color w:val="auto"/>
              </w:rPr>
              <w:t>Yes o No x</w:t>
            </w:r>
          </w:p>
        </w:tc>
        <w:tc>
          <w:tcPr>
            <w:tcW w:w="40" w:type="dxa"/>
            <w:vAlign w:val="bottom"/>
          </w:tcPr>
          <w:p>
            <w:pPr>
              <w:spacing w:after="0"/>
              <w:rPr>
                <w:sz w:val="24"/>
                <w:szCs w:val="24"/>
                <w:color w:val="auto"/>
              </w:rPr>
            </w:pPr>
          </w:p>
        </w:tc>
      </w:tr>
      <w:tr>
        <w:trPr>
          <w:trHeight w:val="235"/>
        </w:trPr>
        <w:tc>
          <w:tcPr>
            <w:tcW w:w="5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40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47"/>
        </w:trPr>
        <w:tc>
          <w:tcPr>
            <w:tcW w:w="56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4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346"/>
        </w:trPr>
        <w:tc>
          <w:tcPr>
            <w:tcW w:w="5620" w:type="dxa"/>
            <w:vAlign w:val="bottom"/>
            <w:tcBorders>
              <w:bottom w:val="single" w:sz="8" w:color="010101"/>
            </w:tcBorders>
          </w:tcPr>
          <w:p>
            <w:pPr>
              <w:spacing w:after="0"/>
              <w:rPr>
                <w:sz w:val="24"/>
                <w:szCs w:val="24"/>
                <w:color w:val="auto"/>
              </w:rPr>
            </w:pPr>
          </w:p>
        </w:tc>
        <w:tc>
          <w:tcPr>
            <w:tcW w:w="20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c>
          <w:tcPr>
            <w:tcW w:w="40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10-QSB</w:t>
      </w:r>
    </w:p>
    <w:p>
      <w:pPr>
        <w:spacing w:after="0" w:line="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May 31, 2008</w:t>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19"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Description</w:t>
            </w:r>
          </w:p>
        </w:tc>
        <w:tc>
          <w:tcPr>
            <w:tcW w:w="15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5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Page</w:t>
            </w:r>
          </w:p>
        </w:tc>
      </w:tr>
      <w:tr>
        <w:trPr>
          <w:trHeight w:val="383"/>
        </w:trPr>
        <w:tc>
          <w:tcPr>
            <w:tcW w:w="306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6780" w:type="dxa"/>
            <w:vAlign w:val="bottom"/>
            <w:gridSpan w:val="2"/>
          </w:tcPr>
          <w:p>
            <w:pPr>
              <w:spacing w:after="0"/>
              <w:rPr>
                <w:sz w:val="24"/>
                <w:szCs w:val="24"/>
                <w:color w:val="auto"/>
              </w:rPr>
            </w:pPr>
          </w:p>
        </w:tc>
        <w:tc>
          <w:tcPr>
            <w:tcW w:w="1580" w:type="dxa"/>
            <w:vAlign w:val="bottom"/>
          </w:tcPr>
          <w:p>
            <w:pPr>
              <w:spacing w:after="0"/>
              <w:rPr>
                <w:sz w:val="24"/>
                <w:szCs w:val="24"/>
                <w:color w:val="auto"/>
              </w:rPr>
            </w:pP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480" w:type="dxa"/>
            <w:vAlign w:val="bottom"/>
          </w:tcPr>
          <w:p>
            <w:pPr>
              <w:spacing w:after="0"/>
              <w:rPr>
                <w:sz w:val="24"/>
                <w:szCs w:val="24"/>
                <w:color w:val="auto"/>
              </w:rPr>
            </w:pPr>
          </w:p>
        </w:tc>
        <w:tc>
          <w:tcPr>
            <w:tcW w:w="1500" w:type="dxa"/>
            <w:vAlign w:val="bottom"/>
            <w:tcBorders>
              <w:bottom w:val="single" w:sz="8" w:color="0000EE"/>
            </w:tcBorders>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7340" w:type="dxa"/>
            <w:vAlign w:val="bottom"/>
            <w:gridSpan w:val="3"/>
          </w:tcPr>
          <w:p>
            <w:pPr>
              <w:spacing w:after="0"/>
              <w:rPr>
                <w:sz w:val="24"/>
                <w:szCs w:val="24"/>
                <w:color w:val="auto"/>
              </w:rPr>
            </w:pPr>
          </w:p>
        </w:tc>
        <w:tc>
          <w:tcPr>
            <w:tcW w:w="1580" w:type="dxa"/>
            <w:vAlign w:val="bottom"/>
          </w:tcPr>
          <w:p>
            <w:pPr>
              <w:spacing w:after="0"/>
              <w:rPr>
                <w:sz w:val="24"/>
                <w:szCs w:val="24"/>
                <w:color w:val="auto"/>
              </w:rPr>
            </w:pPr>
          </w:p>
        </w:tc>
      </w:tr>
      <w:tr>
        <w:trPr>
          <w:trHeight w:val="410"/>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Balance Sheets as of May 31, 2008 (unaudited) and August 31, 2007 (audited)</w:t>
              </w:r>
            </w:hyperlink>
          </w:p>
        </w:tc>
        <w:tc>
          <w:tcPr>
            <w:tcW w:w="222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0"/>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4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Operations (unaudited) for the Three and Nine Months Ended May 31, 2008 and May 31, 2007</w:t>
              </w:r>
            </w:hyperlink>
          </w:p>
        </w:tc>
        <w:tc>
          <w:tcPr>
            <w:tcW w:w="158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60"/>
          </w:cols>
          <w:pgMar w:left="240" w:top="529" w:right="1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0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Statements of Cash Flows (unaudited) for the Nine Months Ended May 31, 2008 and May 31, 2007</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0"/>
        </w:trPr>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120" w:type="dxa"/>
            <w:vAlign w:val="bottom"/>
            <w:tcBorders>
              <w:top w:val="single" w:sz="8" w:color="0000EE"/>
            </w:tcBorders>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Notes to Consolidated Financial Statements (unaudited)</w:t>
              </w:r>
            </w:hyperlink>
          </w:p>
        </w:tc>
        <w:tc>
          <w:tcPr>
            <w:tcW w:w="9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0"/>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Item 2.</w:t>
              </w:r>
            </w:hyperlink>
          </w:p>
        </w:tc>
        <w:tc>
          <w:tcPr>
            <w:tcW w:w="480" w:type="dxa"/>
            <w:vAlign w:val="bottom"/>
          </w:tcPr>
          <w:p>
            <w:pPr>
              <w:spacing w:after="0"/>
              <w:rPr>
                <w:sz w:val="24"/>
                <w:szCs w:val="24"/>
                <w:color w:val="auto"/>
              </w:rPr>
            </w:pPr>
          </w:p>
        </w:tc>
        <w:tc>
          <w:tcPr>
            <w:tcW w:w="438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8">
              <w:r>
                <w:rPr>
                  <w:rFonts w:ascii="Arial" w:cs="Arial" w:eastAsia="Arial" w:hAnsi="Arial"/>
                  <w:sz w:val="18"/>
                  <w:szCs w:val="18"/>
                  <w:color w:val="0000EE"/>
                  <w:w w:val="90"/>
                </w:rPr>
                <w:t>Management’s Discussion and Analysis or Plan of Operation</w:t>
              </w:r>
            </w:hyperlink>
          </w:p>
        </w:tc>
        <w:tc>
          <w:tcPr>
            <w:tcW w:w="4680" w:type="dxa"/>
            <w:vAlign w:val="bottom"/>
            <w:gridSpan w:val="3"/>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Item 3.</w:t>
              </w:r>
            </w:hyperlink>
          </w:p>
        </w:tc>
        <w:tc>
          <w:tcPr>
            <w:tcW w:w="48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Controls and Procedures</w:t>
              </w:r>
            </w:hyperlink>
          </w:p>
        </w:tc>
        <w:tc>
          <w:tcPr>
            <w:tcW w:w="7280" w:type="dxa"/>
            <w:vAlign w:val="bottom"/>
            <w:gridSpan w:val="7"/>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0"/>
        </w:trPr>
        <w:tc>
          <w:tcPr>
            <w:tcW w:w="276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PART II. OTHER INFORMATION</w:t>
              </w:r>
            </w:hyperlink>
          </w:p>
        </w:tc>
        <w:tc>
          <w:tcPr>
            <w:tcW w:w="7300" w:type="dxa"/>
            <w:vAlign w:val="bottom"/>
            <w:gridSpan w:val="8"/>
          </w:tcPr>
          <w:p>
            <w:pPr>
              <w:spacing w:after="0"/>
              <w:rPr>
                <w:sz w:val="24"/>
                <w:szCs w:val="24"/>
                <w:color w:val="auto"/>
              </w:rPr>
            </w:pPr>
          </w:p>
        </w:tc>
        <w:tc>
          <w:tcPr>
            <w:tcW w:w="1360" w:type="dxa"/>
            <w:vAlign w:val="bottom"/>
          </w:tcPr>
          <w:p>
            <w:pPr>
              <w:spacing w:after="0"/>
              <w:rPr>
                <w:sz w:val="24"/>
                <w:szCs w:val="24"/>
                <w:color w:val="auto"/>
              </w:rPr>
            </w:pP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1.</w:t>
              </w:r>
            </w:hyperlink>
          </w:p>
        </w:tc>
        <w:tc>
          <w:tcPr>
            <w:tcW w:w="48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9">
              <w:r>
                <w:rPr>
                  <w:rFonts w:ascii="Arial" w:cs="Arial" w:eastAsia="Arial" w:hAnsi="Arial"/>
                  <w:sz w:val="18"/>
                  <w:szCs w:val="18"/>
                  <w:color w:val="0000EE"/>
                  <w:w w:val="88"/>
                </w:rPr>
                <w:t>Legal Proceedings</w:t>
              </w:r>
            </w:hyperlink>
          </w:p>
        </w:tc>
        <w:tc>
          <w:tcPr>
            <w:tcW w:w="7720" w:type="dxa"/>
            <w:vAlign w:val="bottom"/>
            <w:gridSpan w:val="9"/>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2.</w:t>
              </w:r>
            </w:hyperlink>
          </w:p>
        </w:tc>
        <w:tc>
          <w:tcPr>
            <w:tcW w:w="480" w:type="dxa"/>
            <w:vAlign w:val="bottom"/>
          </w:tcPr>
          <w:p>
            <w:pPr>
              <w:spacing w:after="0"/>
              <w:rPr>
                <w:sz w:val="24"/>
                <w:szCs w:val="24"/>
                <w:color w:val="auto"/>
              </w:rPr>
            </w:pPr>
          </w:p>
        </w:tc>
        <w:tc>
          <w:tcPr>
            <w:tcW w:w="434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19">
              <w:r>
                <w:rPr>
                  <w:rFonts w:ascii="Arial" w:cs="Arial" w:eastAsia="Arial" w:hAnsi="Arial"/>
                  <w:sz w:val="18"/>
                  <w:szCs w:val="18"/>
                  <w:color w:val="0000EE"/>
                  <w:w w:val="89"/>
                </w:rPr>
                <w:t>Unregistered Sales of Equity Securities and Use of Proceeds</w:t>
              </w:r>
            </w:hyperlink>
          </w:p>
        </w:tc>
        <w:tc>
          <w:tcPr>
            <w:tcW w:w="4720" w:type="dxa"/>
            <w:vAlign w:val="bottom"/>
            <w:gridSpan w:val="4"/>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5.</w:t>
              </w:r>
            </w:hyperlink>
          </w:p>
        </w:tc>
        <w:tc>
          <w:tcPr>
            <w:tcW w:w="480" w:type="dxa"/>
            <w:vAlign w:val="bottom"/>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19">
              <w:r>
                <w:rPr>
                  <w:rFonts w:ascii="Arial" w:cs="Arial" w:eastAsia="Arial" w:hAnsi="Arial"/>
                  <w:sz w:val="18"/>
                  <w:szCs w:val="18"/>
                  <w:color w:val="0000EE"/>
                  <w:w w:val="92"/>
                </w:rPr>
                <w:t>Other Information</w:t>
              </w:r>
            </w:hyperlink>
          </w:p>
        </w:tc>
        <w:tc>
          <w:tcPr>
            <w:tcW w:w="7740" w:type="dxa"/>
            <w:vAlign w:val="bottom"/>
            <w:gridSpan w:val="10"/>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0"/>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Item 6.</w:t>
              </w:r>
            </w:hyperlink>
          </w:p>
        </w:tc>
        <w:tc>
          <w:tcPr>
            <w:tcW w:w="480" w:type="dxa"/>
            <w:vAlign w:val="bottom"/>
          </w:tcPr>
          <w:p>
            <w:pPr>
              <w:spacing w:after="0"/>
              <w:rPr>
                <w:sz w:val="24"/>
                <w:szCs w:val="24"/>
                <w:color w:val="auto"/>
              </w:rPr>
            </w:pPr>
          </w:p>
        </w:tc>
        <w:tc>
          <w:tcPr>
            <w:tcW w:w="6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Exhibits</w:t>
              </w:r>
            </w:hyperlink>
          </w:p>
        </w:tc>
        <w:tc>
          <w:tcPr>
            <w:tcW w:w="8460" w:type="dxa"/>
            <w:vAlign w:val="bottom"/>
            <w:gridSpan w:val="11"/>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0"/>
        </w:trPr>
        <w:tc>
          <w:tcPr>
            <w:tcW w:w="10060" w:type="dxa"/>
            <w:vAlign w:val="bottom"/>
            <w:gridSpan w:val="16"/>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SIGNATURE PAGE</w:t>
              </w:r>
            </w:hyperlink>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0"/>
        </w:trPr>
        <w:tc>
          <w:tcPr>
            <w:tcW w:w="1580" w:type="dxa"/>
            <w:vAlign w:val="bottom"/>
            <w:tcBorders>
              <w:top w:val="single" w:sz="8" w:color="0000EE"/>
            </w:tcBorders>
            <w:gridSpan w:val="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EXHIBIT INDEX</w:t>
              </w:r>
            </w:hyperlink>
          </w:p>
        </w:tc>
        <w:tc>
          <w:tcPr>
            <w:tcW w:w="8480" w:type="dxa"/>
            <w:vAlign w:val="bottom"/>
            <w:gridSpan w:val="12"/>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43"/>
        </w:trPr>
        <w:tc>
          <w:tcPr>
            <w:tcW w:w="5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pacing w:after="0" w:line="308" w:lineRule="exact"/>
        <w:rPr>
          <w:sz w:val="20"/>
          <w:szCs w:val="20"/>
          <w:color w:val="auto"/>
        </w:rPr>
      </w:pPr>
    </w:p>
    <w:p>
      <w:pPr>
        <w:ind w:right="360"/>
        <w:spacing w:after="0" w:line="310" w:lineRule="auto"/>
        <w:rPr>
          <w:sz w:val="20"/>
          <w:szCs w:val="20"/>
          <w:color w:val="auto"/>
        </w:rPr>
      </w:pPr>
      <w:r>
        <w:rPr>
          <w:rFonts w:ascii="Arial" w:cs="Arial" w:eastAsia="Arial" w:hAnsi="Arial"/>
          <w:sz w:val="16"/>
          <w:szCs w:val="16"/>
          <w:i w:val="1"/>
          <w:iCs w:val="1"/>
          <w:color w:val="auto"/>
        </w:rPr>
        <w:t>This Quarterly Report on Form 10-QSB contains certain forward-looking statements within the meaning of Section 27A of the Securities Act of 1933, as amended, and Section 21E of the Securities Exchange Act of 1934, as amended, and are subject to the safe harbor created by those sections. For more information, see “Part I. Financial Information – Item 2. Management’s Discussion and Analysis or Plan of Operation – Forward-Looking Statements.”</w:t>
      </w:r>
    </w:p>
    <w:p>
      <w:pPr>
        <w:spacing w:after="0" w:line="147"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i w:val="1"/>
          <w:iCs w:val="1"/>
          <w:color w:val="auto"/>
        </w:rPr>
        <w:t>As used in this report, references to “NTIC,” the “Company,” “we,” “our” or “us,” unless the context otherwise requires, refer to Northern Technologies International Corporation, its wholly owned subsidiaries – NTI Facilities, Inc. and Northern Technologies Holding Company, LLC, and its majority-owned subsidiary – React-NTI, LLC, all of which are consolidated on NTIC’s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360"/>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5"/>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AND SUBSIDIARIES – CONSOLIDATED BALANCE SHEETS as of</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May 31, 2008 (Unaudited) and August 31, 2007 (Audited)</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0"/>
        </w:trPr>
        <w:tc>
          <w:tcPr>
            <w:tcW w:w="70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2"/>
          </w:tcPr>
          <w:p>
            <w:pPr>
              <w:ind w:left="200"/>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24"/>
                <w:szCs w:val="24"/>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700" w:type="dxa"/>
            <w:vAlign w:val="bottom"/>
            <w:tcBorders>
              <w:bottom w:val="single" w:sz="8" w:color="CCEEFF"/>
            </w:tcBorders>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r>
      <w:tr>
        <w:trPr>
          <w:trHeight w:val="195"/>
        </w:trPr>
        <w:tc>
          <w:tcPr>
            <w:tcW w:w="7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w w:val="94"/>
              </w:rPr>
              <w:t>ASSETS</w:t>
            </w:r>
          </w:p>
        </w:tc>
        <w:tc>
          <w:tcPr>
            <w:tcW w:w="75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418,994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244,499</w:t>
            </w:r>
          </w:p>
        </w:tc>
      </w:tr>
      <w:tr>
        <w:trPr>
          <w:trHeight w:val="215"/>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240" w:type="dxa"/>
            <w:vAlign w:val="bottom"/>
            <w:gridSpan w:val="2"/>
            <w:shd w:val="clear" w:color="auto" w:fill="CCEEFF"/>
          </w:tcPr>
          <w:p>
            <w:pPr>
              <w:ind w:left="540"/>
              <w:spacing w:after="0" w:line="201" w:lineRule="exact"/>
              <w:rPr>
                <w:sz w:val="20"/>
                <w:szCs w:val="20"/>
                <w:color w:val="auto"/>
              </w:rPr>
            </w:pPr>
            <w:r>
              <w:rPr>
                <w:rFonts w:ascii="Arial" w:cs="Arial" w:eastAsia="Arial" w:hAnsi="Arial"/>
                <w:sz w:val="18"/>
                <w:szCs w:val="18"/>
                <w:color w:val="auto"/>
                <w:w w:val="94"/>
              </w:rPr>
              <w:t>Trade excluding corporate joint ventures, less allowance for doubtful accounts of $20,000 and $30,000</w:t>
            </w: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700" w:type="dxa"/>
            <w:vAlign w:val="bottom"/>
            <w:shd w:val="clear" w:color="auto" w:fill="CCEEFF"/>
          </w:tcPr>
          <w:p>
            <w:pPr>
              <w:spacing w:after="0"/>
              <w:rPr>
                <w:sz w:val="19"/>
                <w:szCs w:val="19"/>
                <w:color w:val="auto"/>
              </w:rPr>
            </w:pPr>
          </w:p>
        </w:tc>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 May 31, 2008 and August 31, 2007</w:t>
            </w:r>
          </w:p>
        </w:tc>
        <w:tc>
          <w:tcPr>
            <w:tcW w:w="2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2,065,498</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622,420</w:t>
            </w:r>
          </w:p>
        </w:tc>
      </w:tr>
      <w:tr>
        <w:trPr>
          <w:trHeight w:val="215"/>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Trade corporate joint ventures</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521,456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r>
              <w:rPr>
                <w:rFonts w:ascii="Arial" w:cs="Arial" w:eastAsia="Arial" w:hAnsi="Arial"/>
                <w:sz w:val="17"/>
                <w:szCs w:val="17"/>
                <w:color w:val="auto"/>
              </w:rPr>
              <w:t>42,518</w:t>
            </w:r>
          </w:p>
        </w:tc>
      </w:tr>
      <w:tr>
        <w:trPr>
          <w:trHeight w:val="215"/>
        </w:trPr>
        <w:tc>
          <w:tcPr>
            <w:tcW w:w="8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Technical and other services, corporate joint ventures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2,620,223</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1,514,139</w:t>
            </w:r>
          </w:p>
        </w:tc>
      </w:tr>
      <w:tr>
        <w:trPr>
          <w:trHeight w:val="215"/>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29,755</w:t>
            </w:r>
          </w:p>
        </w:tc>
      </w:tr>
      <w:tr>
        <w:trPr>
          <w:trHeight w:val="215"/>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1,863,782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636,073</w:t>
            </w:r>
          </w:p>
        </w:tc>
      </w:tr>
      <w:tr>
        <w:trPr>
          <w:trHeight w:val="215"/>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269,426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184,407</w:t>
            </w:r>
          </w:p>
        </w:tc>
      </w:tr>
      <w:tr>
        <w:trPr>
          <w:trHeight w:val="215"/>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562,000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562,000</w:t>
            </w:r>
          </w:p>
        </w:tc>
      </w:tr>
      <w:tr>
        <w:trPr>
          <w:trHeight w:val="209"/>
        </w:trPr>
        <w:tc>
          <w:tcPr>
            <w:tcW w:w="70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8,321,379</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r>
              <w:rPr>
                <w:rFonts w:ascii="Arial" w:cs="Arial" w:eastAsia="Arial" w:hAnsi="Arial"/>
                <w:sz w:val="17"/>
                <w:szCs w:val="17"/>
                <w:color w:val="auto"/>
              </w:rPr>
              <w:t>435,811</w:t>
            </w:r>
          </w:p>
        </w:tc>
        <w:tc>
          <w:tcPr>
            <w:tcW w:w="100" w:type="dxa"/>
            <w:vAlign w:val="bottom"/>
            <w:tcBorders>
              <w:bottom w:val="single" w:sz="8" w:color="CCEEFF"/>
            </w:tcBorders>
          </w:tcPr>
          <w:p>
            <w:pPr>
              <w:spacing w:after="0"/>
              <w:rPr>
                <w:sz w:val="18"/>
                <w:szCs w:val="18"/>
                <w:color w:val="auto"/>
              </w:rPr>
            </w:pPr>
          </w:p>
        </w:tc>
      </w:tr>
      <w:tr>
        <w:trPr>
          <w:trHeight w:val="209"/>
        </w:trPr>
        <w:tc>
          <w:tcPr>
            <w:tcW w:w="7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3,795,173</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3,792,461</w:t>
            </w:r>
          </w:p>
        </w:tc>
      </w:tr>
      <w:tr>
        <w:trPr>
          <w:trHeight w:val="209"/>
        </w:trPr>
        <w:tc>
          <w:tcPr>
            <w:tcW w:w="700" w:type="dxa"/>
            <w:vAlign w:val="bottom"/>
            <w:tcBorders>
              <w:top w:val="single" w:sz="8" w:color="CCEEFF"/>
            </w:tcBorders>
            <w:shd w:val="clear" w:color="auto" w:fill="CCEEFF"/>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Investments in corporate joint ventures: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240" w:type="dxa"/>
            <w:vAlign w:val="bottom"/>
            <w:gridSpan w:val="2"/>
          </w:tcPr>
          <w:p>
            <w:pPr>
              <w:ind w:left="540"/>
              <w:spacing w:after="0"/>
              <w:rPr>
                <w:sz w:val="20"/>
                <w:szCs w:val="20"/>
                <w:color w:val="auto"/>
              </w:rPr>
            </w:pPr>
            <w:r>
              <w:rPr>
                <w:rFonts w:ascii="Arial" w:cs="Arial" w:eastAsia="Arial" w:hAnsi="Arial"/>
                <w:sz w:val="18"/>
                <w:szCs w:val="18"/>
                <w:color w:val="auto"/>
              </w:rPr>
              <w:t>Industrial chemical</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15,819,169</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13,180,576</w:t>
            </w:r>
          </w:p>
        </w:tc>
      </w:tr>
      <w:tr>
        <w:trPr>
          <w:trHeight w:val="215"/>
        </w:trPr>
        <w:tc>
          <w:tcPr>
            <w:tcW w:w="82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Industrial non-chemical</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373,972</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422,266</w:t>
            </w:r>
          </w:p>
        </w:tc>
      </w:tr>
      <w:tr>
        <w:trPr>
          <w:trHeight w:val="215"/>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366,500</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779,500</w:t>
            </w:r>
          </w:p>
        </w:tc>
      </w:tr>
      <w:tr>
        <w:trPr>
          <w:trHeight w:val="215"/>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Notes receivable</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158,836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32,187</w:t>
            </w:r>
          </w:p>
        </w:tc>
      </w:tr>
      <w:tr>
        <w:trPr>
          <w:trHeight w:val="215"/>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Industrial patents and trademarks, net</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1,021,466</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983,206</w:t>
            </w:r>
          </w:p>
        </w:tc>
      </w:tr>
      <w:tr>
        <w:trPr>
          <w:trHeight w:val="215"/>
        </w:trPr>
        <w:tc>
          <w:tcPr>
            <w:tcW w:w="8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304,000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304,000</w:t>
            </w:r>
          </w:p>
        </w:tc>
      </w:tr>
      <w:tr>
        <w:trPr>
          <w:trHeight w:val="215"/>
        </w:trPr>
        <w:tc>
          <w:tcPr>
            <w:tcW w:w="824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375,352</w:t>
            </w: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366,749</w:t>
            </w:r>
          </w:p>
        </w:tc>
      </w:tr>
      <w:tr>
        <w:trPr>
          <w:trHeight w:val="209"/>
        </w:trPr>
        <w:tc>
          <w:tcPr>
            <w:tcW w:w="700" w:type="dxa"/>
            <w:vAlign w:val="bottom"/>
            <w:tcBorders>
              <w:top w:val="single" w:sz="8" w:color="CCEEFF"/>
            </w:tcBorders>
            <w:shd w:val="clear" w:color="auto" w:fill="CCEEFF"/>
          </w:tcPr>
          <w:p>
            <w:pPr>
              <w:spacing w:after="0"/>
              <w:rPr>
                <w:sz w:val="18"/>
                <w:szCs w:val="18"/>
                <w:color w:val="auto"/>
              </w:rPr>
            </w:pPr>
          </w:p>
        </w:tc>
        <w:tc>
          <w:tcPr>
            <w:tcW w:w="75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18,419,295</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6,068,484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700" w:type="dxa"/>
            <w:vAlign w:val="bottom"/>
            <w:tcBorders>
              <w:bottom w:val="single" w:sz="8" w:color="CCEEFF"/>
            </w:tcBorders>
          </w:tcPr>
          <w:p>
            <w:pPr>
              <w:spacing w:after="0"/>
              <w:rPr>
                <w:sz w:val="18"/>
                <w:szCs w:val="18"/>
                <w:color w:val="auto"/>
              </w:rPr>
            </w:pPr>
          </w:p>
        </w:tc>
        <w:tc>
          <w:tcPr>
            <w:tcW w:w="75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30,535,847</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26,296,756</w:t>
            </w:r>
          </w:p>
        </w:tc>
        <w:tc>
          <w:tcPr>
            <w:tcW w:w="100" w:type="dxa"/>
            <w:vAlign w:val="bottom"/>
            <w:tcBorders>
              <w:bottom w:val="single" w:sz="8" w:color="CCEEFF"/>
            </w:tcBorders>
          </w:tcPr>
          <w:p>
            <w:pPr>
              <w:spacing w:after="0"/>
              <w:rPr>
                <w:sz w:val="18"/>
                <w:szCs w:val="18"/>
                <w:color w:val="auto"/>
              </w:rPr>
            </w:pPr>
          </w:p>
        </w:tc>
      </w:tr>
      <w:tr>
        <w:trPr>
          <w:trHeight w:val="215"/>
        </w:trPr>
        <w:tc>
          <w:tcPr>
            <w:tcW w:w="700" w:type="dxa"/>
            <w:vAlign w:val="bottom"/>
            <w:shd w:val="clear" w:color="auto" w:fill="CCEEFF"/>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07" w:right="239" w:bottom="0" w:gutter="0" w:footer="0" w:header="0"/>
        </w:sectPr>
      </w:pPr>
    </w:p>
    <w:bookmarkStart w:id="2" w:name="page3"/>
    <w:bookmarkEnd w:id="2"/>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824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Bank overdrafts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236,480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note payable</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31,431</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9,319</w:t>
            </w: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854,167</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1,337,443</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540"/>
              <w:spacing w:after="0"/>
              <w:rPr>
                <w:sz w:val="20"/>
                <w:szCs w:val="20"/>
                <w:color w:val="auto"/>
              </w:rPr>
            </w:pPr>
            <w:r>
              <w:rPr>
                <w:rFonts w:ascii="Arial" w:cs="Arial" w:eastAsia="Arial" w:hAnsi="Arial"/>
                <w:sz w:val="18"/>
                <w:szCs w:val="18"/>
                <w:color w:val="auto"/>
              </w:rPr>
              <w:t>Payroll and related benefits</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1,135,315</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r>
              <w:rPr>
                <w:rFonts w:ascii="Arial" w:cs="Arial" w:eastAsia="Arial" w:hAnsi="Arial"/>
                <w:sz w:val="17"/>
                <w:szCs w:val="17"/>
                <w:color w:val="auto"/>
              </w:rPr>
              <w:t>25,858</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 payable</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168,145</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5"/>
        </w:trPr>
        <w:tc>
          <w:tcPr>
            <w:tcW w:w="8240" w:type="dxa"/>
            <w:vAlign w:val="bottom"/>
          </w:tcPr>
          <w:p>
            <w:pPr>
              <w:ind w:left="540"/>
              <w:spacing w:after="0"/>
              <w:rPr>
                <w:sz w:val="20"/>
                <w:szCs w:val="20"/>
                <w:color w:val="auto"/>
              </w:rPr>
            </w:pPr>
            <w:r>
              <w:rPr>
                <w:rFonts w:ascii="Arial" w:cs="Arial" w:eastAsia="Arial" w:hAnsi="Arial"/>
                <w:sz w:val="18"/>
                <w:szCs w:val="18"/>
                <w:color w:val="auto"/>
              </w:rPr>
              <w:t>Deferred joint venture royalties</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264,000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192,000</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233,659</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62,414</w:t>
            </w:r>
          </w:p>
        </w:tc>
        <w:tc>
          <w:tcPr>
            <w:tcW w:w="80" w:type="dxa"/>
            <w:vAlign w:val="bottom"/>
            <w:shd w:val="clear" w:color="auto" w:fill="CCEEFF"/>
          </w:tcPr>
          <w:p>
            <w:pPr>
              <w:spacing w:after="0"/>
              <w:rPr>
                <w:sz w:val="18"/>
                <w:szCs w:val="18"/>
                <w:color w:val="auto"/>
              </w:rPr>
            </w:pPr>
          </w:p>
        </w:tc>
      </w:tr>
      <w:tr>
        <w:trPr>
          <w:trHeight w:val="209"/>
        </w:trPr>
        <w:tc>
          <w:tcPr>
            <w:tcW w:w="8240" w:type="dxa"/>
            <w:vAlign w:val="bottom"/>
            <w:tcBorders>
              <w:bottom w:val="single" w:sz="8" w:color="CCEEFF"/>
            </w:tcBorders>
          </w:tcPr>
          <w:p>
            <w:pPr>
              <w:ind w:left="90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2,923,197</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7"/>
                <w:szCs w:val="17"/>
                <w:color w:val="auto"/>
              </w:rPr>
              <w:t>647,034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180"/>
              <w:spacing w:after="0"/>
              <w:rPr>
                <w:sz w:val="20"/>
                <w:szCs w:val="20"/>
                <w:color w:val="auto"/>
              </w:rPr>
            </w:pPr>
            <w:r>
              <w:rPr>
                <w:rFonts w:ascii="Arial" w:cs="Arial" w:eastAsia="Arial" w:hAnsi="Arial"/>
                <w:sz w:val="18"/>
                <w:szCs w:val="18"/>
                <w:color w:val="auto"/>
              </w:rPr>
              <w:t>NOTE PAYABLE, NET OF CURRENT PORTION</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1,187,521</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w:t>
            </w:r>
            <w:r>
              <w:rPr>
                <w:rFonts w:ascii="Arial" w:cs="Arial" w:eastAsia="Arial" w:hAnsi="Arial"/>
                <w:sz w:val="17"/>
                <w:szCs w:val="17"/>
                <w:color w:val="auto"/>
              </w:rPr>
              <w:t>1,528</w:t>
            </w:r>
          </w:p>
        </w:tc>
        <w:tc>
          <w:tcPr>
            <w:tcW w:w="80" w:type="dxa"/>
            <w:vAlign w:val="bottom"/>
          </w:tcPr>
          <w:p>
            <w:pPr>
              <w:spacing w:after="0"/>
              <w:rPr>
                <w:sz w:val="18"/>
                <w:szCs w:val="18"/>
                <w:color w:val="auto"/>
              </w:rPr>
            </w:pPr>
          </w:p>
        </w:tc>
      </w:tr>
      <w:tr>
        <w:trPr>
          <w:trHeight w:val="209"/>
        </w:trPr>
        <w:tc>
          <w:tcPr>
            <w:tcW w:w="8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MINORITY INTEREST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3,864</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36,133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82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$0.02 par value per share; authorized 10,000,000 shares; issued and outstanding</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9"/>
        </w:trPr>
        <w:tc>
          <w:tcPr>
            <w:tcW w:w="8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3,723,166 and 3,683,016, respectively</w:t>
            </w:r>
          </w:p>
        </w:tc>
        <w:tc>
          <w:tcPr>
            <w:tcW w:w="3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74,463</w:t>
            </w:r>
          </w:p>
        </w:tc>
        <w:tc>
          <w:tcPr>
            <w:tcW w:w="3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73,660</w:t>
            </w:r>
          </w:p>
        </w:tc>
        <w:tc>
          <w:tcPr>
            <w:tcW w:w="80" w:type="dxa"/>
            <w:vAlign w:val="bottom"/>
            <w:shd w:val="clear" w:color="auto" w:fill="CCEEFF"/>
          </w:tcPr>
          <w:p>
            <w:pPr>
              <w:spacing w:after="0"/>
              <w:rPr>
                <w:sz w:val="19"/>
                <w:szCs w:val="19"/>
                <w:color w:val="auto"/>
              </w:rPr>
            </w:pP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5,205,516</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4,755,146</w:t>
            </w:r>
          </w:p>
        </w:tc>
        <w:tc>
          <w:tcPr>
            <w:tcW w:w="80" w:type="dxa"/>
            <w:vAlign w:val="bottom"/>
          </w:tcPr>
          <w:p>
            <w:pPr>
              <w:spacing w:after="0"/>
              <w:rPr>
                <w:sz w:val="18"/>
                <w:szCs w:val="18"/>
                <w:color w:val="auto"/>
              </w:rPr>
            </w:pPr>
          </w:p>
        </w:tc>
      </w:tr>
      <w:tr>
        <w:trPr>
          <w:trHeight w:val="215"/>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18,225,016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16,118,982</w:t>
            </w:r>
          </w:p>
        </w:tc>
      </w:tr>
      <w:tr>
        <w:trPr>
          <w:trHeight w:val="215"/>
        </w:trPr>
        <w:tc>
          <w:tcPr>
            <w:tcW w:w="824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36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2,916,270</w:t>
            </w:r>
          </w:p>
        </w:tc>
        <w:tc>
          <w:tcPr>
            <w:tcW w:w="3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1,454,273</w:t>
            </w:r>
          </w:p>
        </w:tc>
        <w:tc>
          <w:tcPr>
            <w:tcW w:w="80" w:type="dxa"/>
            <w:vAlign w:val="bottom"/>
          </w:tcPr>
          <w:p>
            <w:pPr>
              <w:spacing w:after="0"/>
              <w:rPr>
                <w:sz w:val="18"/>
                <w:szCs w:val="18"/>
                <w:color w:val="auto"/>
              </w:rPr>
            </w:pPr>
          </w:p>
        </w:tc>
      </w:tr>
      <w:tr>
        <w:trPr>
          <w:trHeight w:val="209"/>
        </w:trPr>
        <w:tc>
          <w:tcPr>
            <w:tcW w:w="824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color w:val="auto"/>
              </w:rPr>
              <w:t>Total stockholders’ equity</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26,421,265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7"/>
                <w:szCs w:val="17"/>
                <w:color w:val="auto"/>
              </w:rPr>
              <w:t>402,061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5"/>
        </w:trPr>
        <w:tc>
          <w:tcPr>
            <w:tcW w:w="82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30,535,847</w:t>
            </w:r>
          </w:p>
        </w:tc>
        <w:tc>
          <w:tcPr>
            <w:tcW w:w="28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26,296,756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NORTHERN TECHNOLOGIES INTERNATIONAL CORPORATION AND SUBSIDIARIES</w:t>
      </w:r>
    </w:p>
    <w:p>
      <w:pPr>
        <w:spacing w:after="0" w:line="27" w:lineRule="exact"/>
        <w:rPr>
          <w:sz w:val="20"/>
          <w:szCs w:val="20"/>
          <w:color w:val="auto"/>
        </w:rPr>
      </w:pPr>
    </w:p>
    <w:p>
      <w:pPr>
        <w:ind w:right="6040" w:firstLine="8"/>
        <w:spacing w:after="0" w:line="288" w:lineRule="auto"/>
        <w:tabs>
          <w:tab w:leader="none" w:pos="10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CONSOLIDATED STATEMENTS OF OPERATIONS (Unaudited) THREE AND NINE MONTHS ENDED MAY 31, 2008 AND 2007</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41"/>
        </w:trPr>
        <w:tc>
          <w:tcPr>
            <w:tcW w:w="5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460"/>
              <w:spacing w:after="0" w:line="141" w:lineRule="exact"/>
              <w:rPr>
                <w:sz w:val="20"/>
                <w:szCs w:val="20"/>
                <w:color w:val="auto"/>
              </w:rPr>
            </w:pPr>
            <w:r>
              <w:rPr>
                <w:rFonts w:ascii="Arial" w:cs="Arial" w:eastAsia="Arial" w:hAnsi="Arial"/>
                <w:sz w:val="14"/>
                <w:szCs w:val="14"/>
                <w:b w:val="1"/>
                <w:bCs w:val="1"/>
                <w:color w:val="auto"/>
                <w:w w:val="98"/>
              </w:rPr>
              <w:t>May 31, 2008</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51"/>
              <w:spacing w:after="0" w:line="141" w:lineRule="exact"/>
              <w:rPr>
                <w:sz w:val="20"/>
                <w:szCs w:val="20"/>
                <w:color w:val="auto"/>
              </w:rPr>
            </w:pPr>
            <w:r>
              <w:rPr>
                <w:rFonts w:ascii="Arial" w:cs="Arial" w:eastAsia="Arial" w:hAnsi="Arial"/>
                <w:sz w:val="14"/>
                <w:szCs w:val="14"/>
                <w:b w:val="1"/>
                <w:bCs w:val="1"/>
                <w:color w:val="auto"/>
                <w:w w:val="98"/>
              </w:rPr>
              <w:t>May 31, 2007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2"/>
          </w:tcPr>
          <w:p>
            <w:pPr>
              <w:jc w:val="right"/>
              <w:ind w:right="440"/>
              <w:spacing w:after="0" w:line="141" w:lineRule="exact"/>
              <w:rPr>
                <w:sz w:val="20"/>
                <w:szCs w:val="20"/>
                <w:color w:val="auto"/>
              </w:rPr>
            </w:pPr>
            <w:r>
              <w:rPr>
                <w:rFonts w:ascii="Arial" w:cs="Arial" w:eastAsia="Arial" w:hAnsi="Arial"/>
                <w:sz w:val="14"/>
                <w:szCs w:val="14"/>
                <w:b w:val="1"/>
                <w:bCs w:val="1"/>
                <w:color w:val="auto"/>
                <w:w w:val="95"/>
              </w:rPr>
              <w:t>May 31, 2008</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71"/>
              <w:spacing w:after="0" w:line="141" w:lineRule="exact"/>
              <w:rPr>
                <w:sz w:val="20"/>
                <w:szCs w:val="20"/>
                <w:color w:val="auto"/>
              </w:rPr>
            </w:pPr>
            <w:r>
              <w:rPr>
                <w:rFonts w:ascii="Arial" w:cs="Arial" w:eastAsia="Arial" w:hAnsi="Arial"/>
                <w:sz w:val="14"/>
                <w:szCs w:val="14"/>
                <w:b w:val="1"/>
                <w:bCs w:val="1"/>
                <w:color w:val="auto"/>
                <w:w w:val="98"/>
              </w:rPr>
              <w:t>May 31, 2007</w:t>
            </w:r>
          </w:p>
        </w:tc>
        <w:tc>
          <w:tcPr>
            <w:tcW w:w="100" w:type="dxa"/>
            <w:vAlign w:val="bottom"/>
          </w:tcPr>
          <w:p>
            <w:pPr>
              <w:spacing w:after="0"/>
              <w:rPr>
                <w:sz w:val="12"/>
                <w:szCs w:val="12"/>
                <w:color w:val="auto"/>
              </w:rPr>
            </w:pPr>
          </w:p>
        </w:tc>
      </w:tr>
      <w:tr>
        <w:trPr>
          <w:trHeight w:val="195"/>
        </w:trPr>
        <w:tc>
          <w:tcPr>
            <w:tcW w:w="59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NORTH AMERICAN OPERATIONS:</w:t>
            </w: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5"/>
        </w:trPr>
        <w:tc>
          <w:tcPr>
            <w:tcW w:w="5900" w:type="dxa"/>
            <w:vAlign w:val="bottom"/>
          </w:tcPr>
          <w:p>
            <w:pPr>
              <w:ind w:left="180"/>
              <w:spacing w:after="0"/>
              <w:rPr>
                <w:sz w:val="20"/>
                <w:szCs w:val="20"/>
                <w:color w:val="auto"/>
              </w:rPr>
            </w:pPr>
            <w:r>
              <w:rPr>
                <w:rFonts w:ascii="Arial" w:cs="Arial" w:eastAsia="Arial" w:hAnsi="Arial"/>
                <w:sz w:val="18"/>
                <w:szCs w:val="18"/>
                <w:color w:val="auto"/>
              </w:rPr>
              <w:t>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3,269,721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4,407,798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9,518,162</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12,910,067</w:t>
            </w:r>
          </w:p>
        </w:tc>
      </w:tr>
      <w:tr>
        <w:trPr>
          <w:trHeight w:val="215"/>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goods sold</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2,059,855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2,876,012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5,763,500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8,280,131</w:t>
            </w:r>
          </w:p>
        </w:tc>
      </w:tr>
      <w:tr>
        <w:trPr>
          <w:trHeight w:val="209"/>
        </w:trPr>
        <w:tc>
          <w:tcPr>
            <w:tcW w:w="59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1,209,866</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1,531,786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3,754,662</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4,629,936</w:t>
            </w:r>
          </w:p>
        </w:tc>
        <w:tc>
          <w:tcPr>
            <w:tcW w:w="100" w:type="dxa"/>
            <w:vAlign w:val="bottom"/>
            <w:tcBorders>
              <w:bottom w:val="single" w:sz="8" w:color="CCEEFF"/>
            </w:tcBorders>
          </w:tcPr>
          <w:p>
            <w:pPr>
              <w:spacing w:after="0"/>
              <w:rPr>
                <w:sz w:val="18"/>
                <w:szCs w:val="18"/>
                <w:color w:val="auto"/>
              </w:rPr>
            </w:pPr>
          </w:p>
        </w:tc>
      </w:tr>
      <w:tr>
        <w:trPr>
          <w:trHeight w:val="209"/>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799,949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887,014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2,413,895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2,466,218</w:t>
            </w:r>
          </w:p>
        </w:tc>
      </w:tr>
      <w:tr>
        <w:trPr>
          <w:trHeight w:val="215"/>
        </w:trPr>
        <w:tc>
          <w:tcPr>
            <w:tcW w:w="59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702,592</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608,104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2,545,414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2,235,276</w:t>
            </w:r>
          </w:p>
        </w:tc>
      </w:tr>
      <w:tr>
        <w:trPr>
          <w:trHeight w:val="215"/>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Lab and technical support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32,631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177,316</w:t>
            </w:r>
          </w:p>
        </w:tc>
      </w:tr>
      <w:tr>
        <w:trPr>
          <w:trHeight w:val="209"/>
        </w:trPr>
        <w:tc>
          <w:tcPr>
            <w:tcW w:w="59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1,535,172</w:t>
            </w: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1,542,059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5,102,684</w:t>
            </w:r>
          </w:p>
        </w:tc>
        <w:tc>
          <w:tcPr>
            <w:tcW w:w="2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4,878,810</w:t>
            </w:r>
          </w:p>
        </w:tc>
        <w:tc>
          <w:tcPr>
            <w:tcW w:w="100" w:type="dxa"/>
            <w:vAlign w:val="bottom"/>
            <w:tcBorders>
              <w:bottom w:val="single" w:sz="8" w:color="CCEEFF"/>
            </w:tcBorders>
          </w:tcPr>
          <w:p>
            <w:pPr>
              <w:spacing w:after="0"/>
              <w:rPr>
                <w:sz w:val="18"/>
                <w:szCs w:val="18"/>
                <w:color w:val="auto"/>
              </w:rPr>
            </w:pPr>
          </w:p>
        </w:tc>
      </w:tr>
      <w:tr>
        <w:trPr>
          <w:trHeight w:val="209"/>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NORTH AMERICAN OPERATING LOSS</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(325,306)</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(1,348,022)</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(248,874)</w:t>
            </w:r>
          </w:p>
        </w:tc>
      </w:tr>
      <w:tr>
        <w:trPr>
          <w:trHeight w:val="215"/>
        </w:trPr>
        <w:tc>
          <w:tcPr>
            <w:tcW w:w="5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CORPORATE JOINT VENTURES AND HOLDING COMPANIES: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9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Equity in income of industrial chemical corporate joint ventures and</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59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holding companies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1,155,282</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722,075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3,109,093</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2,318,009</w:t>
            </w:r>
          </w:p>
        </w:tc>
      </w:tr>
      <w:tr>
        <w:trPr>
          <w:trHeight w:val="201"/>
        </w:trPr>
        <w:tc>
          <w:tcPr>
            <w:tcW w:w="5900" w:type="dxa"/>
            <w:vAlign w:val="bottom"/>
          </w:tcPr>
          <w:p>
            <w:pPr>
              <w:ind w:left="360"/>
              <w:spacing w:after="0" w:line="201" w:lineRule="exact"/>
              <w:rPr>
                <w:sz w:val="20"/>
                <w:szCs w:val="20"/>
                <w:color w:val="auto"/>
              </w:rPr>
            </w:pPr>
            <w:r>
              <w:rPr>
                <w:rFonts w:ascii="Arial" w:cs="Arial" w:eastAsia="Arial" w:hAnsi="Arial"/>
                <w:sz w:val="18"/>
                <w:szCs w:val="18"/>
                <w:color w:val="auto"/>
              </w:rPr>
              <w:t>Equity in (loss) income of industrial non-chemical corporate joint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00" w:type="dxa"/>
            <w:vAlign w:val="bottom"/>
          </w:tcPr>
          <w:p>
            <w:pPr>
              <w:ind w:left="540"/>
              <w:spacing w:after="0"/>
              <w:rPr>
                <w:sz w:val="20"/>
                <w:szCs w:val="20"/>
                <w:color w:val="auto"/>
              </w:rPr>
            </w:pPr>
            <w:r>
              <w:rPr>
                <w:rFonts w:ascii="Arial" w:cs="Arial" w:eastAsia="Arial" w:hAnsi="Arial"/>
                <w:sz w:val="18"/>
                <w:szCs w:val="18"/>
                <w:color w:val="auto"/>
              </w:rPr>
              <w:t>ventures and holding companies</w:t>
            </w:r>
          </w:p>
        </w:tc>
        <w:tc>
          <w:tcPr>
            <w:tcW w:w="14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(16,142)</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32,211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(102,097)</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66,011</w:t>
            </w:r>
          </w:p>
        </w:tc>
      </w:tr>
      <w:tr>
        <w:trPr>
          <w:trHeight w:val="215"/>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industrial chemical corporate joint venture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172,767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1"/>
        </w:trPr>
        <w:tc>
          <w:tcPr>
            <w:tcW w:w="5900" w:type="dxa"/>
            <w:vAlign w:val="bottom"/>
          </w:tcPr>
          <w:p>
            <w:pPr>
              <w:ind w:left="360"/>
              <w:spacing w:after="0" w:line="201" w:lineRule="exact"/>
              <w:rPr>
                <w:sz w:val="20"/>
                <w:szCs w:val="20"/>
                <w:color w:val="auto"/>
              </w:rPr>
            </w:pPr>
            <w:r>
              <w:rPr>
                <w:rFonts w:ascii="Arial" w:cs="Arial" w:eastAsia="Arial" w:hAnsi="Arial"/>
                <w:sz w:val="18"/>
                <w:szCs w:val="18"/>
                <w:color w:val="auto"/>
                <w:w w:val="96"/>
              </w:rPr>
              <w:t>Fees for technical support and other services provided to corporate joint</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5900" w:type="dxa"/>
            <w:vAlign w:val="bottom"/>
          </w:tcPr>
          <w:p>
            <w:pPr>
              <w:ind w:left="540"/>
              <w:spacing w:after="0"/>
              <w:rPr>
                <w:sz w:val="20"/>
                <w:szCs w:val="20"/>
                <w:color w:val="auto"/>
              </w:rPr>
            </w:pPr>
            <w:r>
              <w:rPr>
                <w:rFonts w:ascii="Arial" w:cs="Arial" w:eastAsia="Arial" w:hAnsi="Arial"/>
                <w:sz w:val="18"/>
                <w:szCs w:val="18"/>
                <w:color w:val="auto"/>
              </w:rPr>
              <w:t>ventures</w:t>
            </w:r>
          </w:p>
        </w:tc>
        <w:tc>
          <w:tcPr>
            <w:tcW w:w="140" w:type="dxa"/>
            <w:vAlign w:val="bottom"/>
          </w:tcPr>
          <w:p>
            <w:pPr>
              <w:spacing w:after="0"/>
              <w:rPr>
                <w:sz w:val="19"/>
                <w:szCs w:val="19"/>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1,517,428</w:t>
            </w:r>
          </w:p>
        </w:tc>
        <w:tc>
          <w:tcPr>
            <w:tcW w:w="1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1,162,974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4,537,855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3,508,977</w:t>
            </w:r>
          </w:p>
        </w:tc>
      </w:tr>
      <w:tr>
        <w:trPr>
          <w:trHeight w:val="215"/>
        </w:trPr>
        <w:tc>
          <w:tcPr>
            <w:tcW w:w="5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 incurred in support of corporate joint ventures</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(1,412,582)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(1,161,702)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(3,837,266)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(3,819,003)</w:t>
            </w:r>
          </w:p>
        </w:tc>
      </w:tr>
      <w:tr>
        <w:trPr>
          <w:trHeight w:val="209"/>
        </w:trPr>
        <w:tc>
          <w:tcPr>
            <w:tcW w:w="5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FROM ALL CORPORATE JOINT VENTURES AND HOLDING</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9"/>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COMPANIES</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1,243,986</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755,558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3,880,352</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2,073,994</w:t>
            </w:r>
          </w:p>
        </w:tc>
      </w:tr>
      <w:tr>
        <w:trPr>
          <w:trHeight w:val="215"/>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22,277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23,196</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2,368</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(21,757)</w:t>
            </w:r>
          </w:p>
        </w:tc>
        <w:tc>
          <w:tcPr>
            <w:tcW w:w="1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(41,139)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(93,872)</w:t>
            </w: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(131,503)</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6,825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21,582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14,655</w:t>
            </w:r>
          </w:p>
        </w:tc>
      </w:tr>
      <w:tr>
        <w:trPr>
          <w:trHeight w:val="215"/>
        </w:trPr>
        <w:tc>
          <w:tcPr>
            <w:tcW w:w="5900" w:type="dxa"/>
            <w:vAlign w:val="bottom"/>
          </w:tcPr>
          <w:p>
            <w:pPr>
              <w:spacing w:after="0"/>
              <w:rPr>
                <w:sz w:val="20"/>
                <w:szCs w:val="20"/>
                <w:color w:val="auto"/>
              </w:rPr>
            </w:pPr>
            <w:r>
              <w:rPr>
                <w:rFonts w:ascii="Arial" w:cs="Arial" w:eastAsia="Arial" w:hAnsi="Arial"/>
                <w:sz w:val="18"/>
                <w:szCs w:val="18"/>
                <w:color w:val="auto"/>
              </w:rPr>
              <w:t>GAIN ON SALE OF ASSETS</w:t>
            </w: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726,295</w:t>
            </w: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10,123</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32,269</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w:t>
            </w:r>
          </w:p>
        </w:tc>
      </w:tr>
      <w:tr>
        <w:trPr>
          <w:trHeight w:val="209"/>
        </w:trPr>
        <w:tc>
          <w:tcPr>
            <w:tcW w:w="5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936,148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718,800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2,521,034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2,437,227</w:t>
            </w:r>
          </w:p>
        </w:tc>
      </w:tr>
      <w:tr>
        <w:trPr>
          <w:trHeight w:val="215"/>
        </w:trPr>
        <w:tc>
          <w:tcPr>
            <w:tcW w:w="5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148,000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371,000</w:t>
            </w:r>
          </w:p>
        </w:tc>
      </w:tr>
      <w:tr>
        <w:trPr>
          <w:trHeight w:val="209"/>
        </w:trPr>
        <w:tc>
          <w:tcPr>
            <w:tcW w:w="5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788,148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627,800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2,106,034</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2,066,227</w:t>
            </w:r>
          </w:p>
        </w:tc>
      </w:tr>
      <w:tr>
        <w:trPr>
          <w:trHeight w:val="209"/>
        </w:trPr>
        <w:tc>
          <w:tcPr>
            <w:tcW w:w="59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COMMON SHARE: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4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20" w:type="dxa"/>
            <w:vAlign w:val="bottom"/>
          </w:tcPr>
          <w:p>
            <w:pPr>
              <w:ind w:left="360"/>
              <w:spacing w:after="0"/>
              <w:rPr>
                <w:sz w:val="20"/>
                <w:szCs w:val="20"/>
                <w:color w:val="auto"/>
              </w:rPr>
            </w:pPr>
            <w:r>
              <w:rPr>
                <w:rFonts w:ascii="Arial" w:cs="Arial" w:eastAsia="Arial" w:hAnsi="Arial"/>
                <w:sz w:val="18"/>
                <w:szCs w:val="18"/>
                <w:color w:val="auto"/>
              </w:rPr>
              <w:t>Basic</w:t>
            </w:r>
          </w:p>
        </w:tc>
        <w:tc>
          <w:tcPr>
            <w:tcW w:w="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0.21</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0.17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0.57</w:t>
            </w:r>
          </w:p>
        </w:tc>
        <w:tc>
          <w:tcPr>
            <w:tcW w:w="220" w:type="dxa"/>
            <w:vAlign w:val="bottom"/>
          </w:tcPr>
          <w:p>
            <w:pPr>
              <w:spacing w:after="0"/>
              <w:rPr>
                <w:sz w:val="19"/>
                <w:szCs w:val="19"/>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0.56</w:t>
            </w:r>
          </w:p>
        </w:tc>
        <w:tc>
          <w:tcPr>
            <w:tcW w:w="40" w:type="dxa"/>
            <w:vAlign w:val="bottom"/>
          </w:tcPr>
          <w:p>
            <w:pPr>
              <w:spacing w:after="0"/>
              <w:rPr>
                <w:sz w:val="19"/>
                <w:szCs w:val="19"/>
                <w:color w:val="auto"/>
              </w:rPr>
            </w:pPr>
          </w:p>
        </w:tc>
      </w:tr>
      <w:tr>
        <w:trPr>
          <w:trHeight w:val="209"/>
        </w:trPr>
        <w:tc>
          <w:tcPr>
            <w:tcW w:w="56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85"/>
              </w:rPr>
              <w:t>0.17</w:t>
            </w: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ASSUMED</w:t>
            </w: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29"/>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5620" w:type="dxa"/>
            <w:vAlign w:val="bottom"/>
          </w:tcPr>
          <w:p>
            <w:pPr>
              <w:ind w:left="3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3,723,166</w:t>
            </w:r>
          </w:p>
        </w:tc>
        <w:tc>
          <w:tcPr>
            <w:tcW w:w="2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3,679,016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3,704,673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3,674,635</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3,758,646</w:t>
            </w:r>
          </w:p>
        </w:tc>
        <w:tc>
          <w:tcPr>
            <w:tcW w:w="2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3,708,626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3,741,558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3,707,772</w:t>
            </w:r>
          </w:p>
        </w:tc>
        <w:tc>
          <w:tcPr>
            <w:tcW w:w="40" w:type="dxa"/>
            <w:vAlign w:val="bottom"/>
          </w:tcPr>
          <w:p>
            <w:pPr>
              <w:spacing w:after="0"/>
              <w:rPr>
                <w:sz w:val="18"/>
                <w:szCs w:val="18"/>
                <w:color w:val="auto"/>
              </w:rPr>
            </w:pPr>
          </w:p>
        </w:tc>
      </w:tr>
      <w:tr>
        <w:trPr>
          <w:trHeight w:val="430"/>
        </w:trPr>
        <w:tc>
          <w:tcPr>
            <w:tcW w:w="5620" w:type="dxa"/>
            <w:vAlign w:val="bottom"/>
          </w:tcPr>
          <w:p>
            <w:pPr>
              <w:spacing w:after="0"/>
              <w:rPr>
                <w:sz w:val="20"/>
                <w:szCs w:val="20"/>
                <w:color w:val="auto"/>
              </w:rPr>
            </w:pPr>
            <w:r>
              <w:rPr>
                <w:rFonts w:ascii="Arial" w:cs="Arial" w:eastAsia="Arial" w:hAnsi="Arial"/>
                <w:sz w:val="18"/>
                <w:szCs w:val="18"/>
                <w:color w:val="auto"/>
              </w:rPr>
              <w:t>See notes to consolidated financial statements.</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0"/>
        </w:trPr>
        <w:tc>
          <w:tcPr>
            <w:tcW w:w="5620" w:type="dxa"/>
            <w:vAlign w:val="bottom"/>
          </w:tcPr>
          <w:p>
            <w:pPr>
              <w:spacing w:after="0"/>
              <w:rPr>
                <w:sz w:val="24"/>
                <w:szCs w:val="24"/>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6180" w:type="dxa"/>
            <w:vAlign w:val="bottom"/>
            <w:tcBorders>
              <w:bottom w:val="single" w:sz="8" w:color="010101"/>
            </w:tcBorders>
            <w:gridSpan w:val="3"/>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58"/>
        </w:trPr>
        <w:tc>
          <w:tcPr>
            <w:tcW w:w="6180" w:type="dxa"/>
            <w:vAlign w:val="bottom"/>
            <w:gridSpan w:val="3"/>
          </w:tcPr>
          <w:p>
            <w:pPr>
              <w:spacing w:after="0"/>
              <w:rPr>
                <w:sz w:val="20"/>
                <w:szCs w:val="20"/>
                <w:color w:val="auto"/>
              </w:rPr>
            </w:pPr>
            <w:r>
              <w:rPr>
                <w:rFonts w:ascii="Arial" w:cs="Arial" w:eastAsia="Arial" w:hAnsi="Arial"/>
                <w:sz w:val="18"/>
                <w:szCs w:val="18"/>
                <w:b w:val="1"/>
                <w:bCs w:val="1"/>
                <w:color w:val="auto"/>
              </w:rPr>
              <w:t>NORTHERN TECHNOLOGIES INTERNATIONAL CORPORATION AND</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5"/>
        </w:trPr>
        <w:tc>
          <w:tcPr>
            <w:tcW w:w="7360" w:type="dxa"/>
            <w:vAlign w:val="bottom"/>
            <w:gridSpan w:val="5"/>
          </w:tcPr>
          <w:p>
            <w:pPr>
              <w:spacing w:after="0"/>
              <w:rPr>
                <w:sz w:val="20"/>
                <w:szCs w:val="20"/>
                <w:color w:val="auto"/>
              </w:rPr>
            </w:pPr>
            <w:r>
              <w:rPr>
                <w:rFonts w:ascii="Arial" w:cs="Arial" w:eastAsia="Arial" w:hAnsi="Arial"/>
                <w:sz w:val="18"/>
                <w:szCs w:val="18"/>
                <w:b w:val="1"/>
                <w:bCs w:val="1"/>
                <w:color w:val="auto"/>
              </w:rPr>
              <w:t>SUBSIDIARIES - CONSOLIDATED STATEMENTS OF CASH FLOWS (Unaudited)</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NINE MONTHS ENDED MAY 31, 2008 and 2007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3"/>
        </w:trPr>
        <w:tc>
          <w:tcPr>
            <w:tcW w:w="5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41"/>
        </w:trPr>
        <w:tc>
          <w:tcPr>
            <w:tcW w:w="5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20" w:type="dxa"/>
            <w:vAlign w:val="bottom"/>
            <w:gridSpan w:val="5"/>
          </w:tcPr>
          <w:p>
            <w:pPr>
              <w:jc w:val="right"/>
              <w:ind w:right="560"/>
              <w:spacing w:after="0" w:line="141" w:lineRule="exact"/>
              <w:rPr>
                <w:sz w:val="20"/>
                <w:szCs w:val="20"/>
                <w:color w:val="auto"/>
              </w:rPr>
            </w:pPr>
            <w:r>
              <w:rPr>
                <w:rFonts w:ascii="Arial" w:cs="Arial" w:eastAsia="Arial" w:hAnsi="Arial"/>
                <w:sz w:val="14"/>
                <w:szCs w:val="14"/>
                <w:b w:val="1"/>
                <w:bCs w:val="1"/>
                <w:color w:val="auto"/>
                <w:w w:val="98"/>
              </w:rPr>
              <w:t>May 31, 2008</w:t>
            </w:r>
          </w:p>
        </w:tc>
        <w:tc>
          <w:tcPr>
            <w:tcW w:w="220" w:type="dxa"/>
            <w:vAlign w:val="bottom"/>
          </w:tcPr>
          <w:p>
            <w:pPr>
              <w:spacing w:after="0"/>
              <w:rPr>
                <w:sz w:val="12"/>
                <w:szCs w:val="12"/>
                <w:color w:val="auto"/>
              </w:rPr>
            </w:pPr>
          </w:p>
        </w:tc>
        <w:tc>
          <w:tcPr>
            <w:tcW w:w="1140" w:type="dxa"/>
            <w:vAlign w:val="bottom"/>
            <w:gridSpan w:val="2"/>
          </w:tcPr>
          <w:p>
            <w:pPr>
              <w:jc w:val="right"/>
              <w:ind w:right="190"/>
              <w:spacing w:after="0" w:line="141" w:lineRule="exact"/>
              <w:rPr>
                <w:sz w:val="20"/>
                <w:szCs w:val="20"/>
                <w:color w:val="auto"/>
              </w:rPr>
            </w:pPr>
            <w:r>
              <w:rPr>
                <w:rFonts w:ascii="Arial" w:cs="Arial" w:eastAsia="Arial" w:hAnsi="Arial"/>
                <w:sz w:val="14"/>
                <w:szCs w:val="14"/>
                <w:b w:val="1"/>
                <w:bCs w:val="1"/>
                <w:color w:val="auto"/>
                <w:w w:val="98"/>
              </w:rPr>
              <w:t>May 31, 2007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5"/>
        </w:trPr>
        <w:tc>
          <w:tcPr>
            <w:tcW w:w="562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color w:val="auto"/>
              </w:rPr>
              <w:t>CASH FLOWS FROM OPERATING ACTIVITIES:</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15"/>
        </w:trPr>
        <w:tc>
          <w:tcPr>
            <w:tcW w:w="5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gridSpan w:val="2"/>
          </w:tcPr>
          <w:p>
            <w:pPr>
              <w:jc w:val="center"/>
              <w:ind w:left="5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2,106,034</w:t>
            </w:r>
          </w:p>
        </w:tc>
        <w:tc>
          <w:tcPr>
            <w:tcW w:w="6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2,066,227</w:t>
            </w:r>
          </w:p>
        </w:tc>
        <w:tc>
          <w:tcPr>
            <w:tcW w:w="40" w:type="dxa"/>
            <w:vAlign w:val="bottom"/>
          </w:tcPr>
          <w:p>
            <w:pPr>
              <w:spacing w:after="0"/>
              <w:rPr>
                <w:sz w:val="18"/>
                <w:szCs w:val="18"/>
                <w:color w:val="auto"/>
              </w:rPr>
            </w:pPr>
          </w:p>
        </w:tc>
      </w:tr>
      <w:tr>
        <w:trPr>
          <w:trHeight w:val="215"/>
        </w:trPr>
        <w:tc>
          <w:tcPr>
            <w:tcW w:w="73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(used in) provided by operating activities:</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tcPr>
          <w:p>
            <w:pPr>
              <w:ind w:left="360"/>
              <w:spacing w:after="0"/>
              <w:rPr>
                <w:sz w:val="20"/>
                <w:szCs w:val="20"/>
                <w:color w:val="auto"/>
              </w:rPr>
            </w:pPr>
            <w:r>
              <w:rPr>
                <w:rFonts w:ascii="Arial" w:cs="Arial" w:eastAsia="Arial" w:hAnsi="Arial"/>
                <w:sz w:val="18"/>
                <w:szCs w:val="18"/>
                <w:color w:val="auto"/>
              </w:rPr>
              <w:t>Expensing of fair value of stock options vested</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71,403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60,786</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expense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262,808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232,520</w:t>
            </w:r>
          </w:p>
        </w:tc>
        <w:tc>
          <w:tcPr>
            <w:tcW w:w="40" w:type="dxa"/>
            <w:vAlign w:val="bottom"/>
          </w:tcPr>
          <w:p>
            <w:pPr>
              <w:spacing w:after="0"/>
              <w:rPr>
                <w:sz w:val="18"/>
                <w:szCs w:val="18"/>
                <w:color w:val="auto"/>
              </w:rPr>
            </w:pPr>
          </w:p>
        </w:tc>
      </w:tr>
      <w:tr>
        <w:trPr>
          <w:trHeight w:val="215"/>
        </w:trPr>
        <w:tc>
          <w:tcPr>
            <w:tcW w:w="5620" w:type="dxa"/>
            <w:vAlign w:val="bottom"/>
          </w:tcPr>
          <w:p>
            <w:pPr>
              <w:ind w:left="360"/>
              <w:spacing w:after="0"/>
              <w:rPr>
                <w:sz w:val="20"/>
                <w:szCs w:val="20"/>
                <w:color w:val="auto"/>
              </w:rPr>
            </w:pPr>
            <w:r>
              <w:rPr>
                <w:rFonts w:ascii="Arial" w:cs="Arial" w:eastAsia="Arial" w:hAnsi="Arial"/>
                <w:sz w:val="18"/>
                <w:szCs w:val="18"/>
                <w:color w:val="auto"/>
              </w:rPr>
              <w:t>Amortization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116,196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132,188</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(726,295)</w:t>
            </w:r>
          </w:p>
        </w:tc>
        <w:tc>
          <w:tcPr>
            <w:tcW w:w="40" w:type="dxa"/>
            <w:vAlign w:val="bottom"/>
          </w:tcPr>
          <w:p>
            <w:pPr>
              <w:spacing w:after="0"/>
              <w:rPr>
                <w:sz w:val="18"/>
                <w:szCs w:val="18"/>
                <w:color w:val="auto"/>
              </w:rPr>
            </w:pPr>
          </w:p>
        </w:tc>
      </w:tr>
      <w:tr>
        <w:trPr>
          <w:trHeight w:val="215"/>
        </w:trPr>
        <w:tc>
          <w:tcPr>
            <w:tcW w:w="5620" w:type="dxa"/>
            <w:vAlign w:val="bottom"/>
          </w:tcPr>
          <w:p>
            <w:pPr>
              <w:ind w:left="360"/>
              <w:spacing w:after="0"/>
              <w:rPr>
                <w:sz w:val="20"/>
                <w:szCs w:val="20"/>
                <w:color w:val="auto"/>
              </w:rPr>
            </w:pPr>
            <w:r>
              <w:rPr>
                <w:rFonts w:ascii="Arial" w:cs="Arial" w:eastAsia="Arial" w:hAnsi="Arial"/>
                <w:sz w:val="18"/>
                <w:szCs w:val="18"/>
                <w:color w:val="auto"/>
              </w:rPr>
              <w:t>Minority interest expense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(32,269)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in income from corporate joint ventures: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tcPr>
          <w:p>
            <w:pPr>
              <w:ind w:left="540"/>
              <w:spacing w:after="0"/>
              <w:rPr>
                <w:sz w:val="20"/>
                <w:szCs w:val="20"/>
                <w:color w:val="auto"/>
              </w:rPr>
            </w:pPr>
            <w:r>
              <w:rPr>
                <w:rFonts w:ascii="Arial" w:cs="Arial" w:eastAsia="Arial" w:hAnsi="Arial"/>
                <w:sz w:val="18"/>
                <w:szCs w:val="18"/>
                <w:color w:val="auto"/>
              </w:rPr>
              <w:t>Industrial chemical</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1"/>
              </w:rPr>
              <w:t>(3,109,093)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(2,318,009)</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Industrial non-chemical</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102,097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(66,011)</w:t>
            </w:r>
          </w:p>
        </w:tc>
        <w:tc>
          <w:tcPr>
            <w:tcW w:w="40" w:type="dxa"/>
            <w:vAlign w:val="bottom"/>
          </w:tcPr>
          <w:p>
            <w:pPr>
              <w:spacing w:after="0"/>
              <w:rPr>
                <w:sz w:val="18"/>
                <w:szCs w:val="18"/>
                <w:color w:val="auto"/>
              </w:rPr>
            </w:pPr>
          </w:p>
        </w:tc>
      </w:tr>
      <w:tr>
        <w:trPr>
          <w:trHeight w:val="215"/>
        </w:trPr>
        <w:tc>
          <w:tcPr>
            <w:tcW w:w="562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413,000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on sale of industrial chemical corporate joint venture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(172,767)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5"/>
        </w:trPr>
        <w:tc>
          <w:tcPr>
            <w:tcW w:w="5620" w:type="dxa"/>
            <w:vAlign w:val="bottom"/>
          </w:tcPr>
          <w:p>
            <w:pPr>
              <w:ind w:left="360"/>
              <w:spacing w:after="0"/>
              <w:rPr>
                <w:sz w:val="20"/>
                <w:szCs w:val="20"/>
                <w:color w:val="auto"/>
              </w:rPr>
            </w:pPr>
            <w:r>
              <w:rPr>
                <w:rFonts w:ascii="Arial" w:cs="Arial" w:eastAsia="Arial" w:hAnsi="Arial"/>
                <w:sz w:val="18"/>
                <w:szCs w:val="18"/>
                <w:color w:val="auto"/>
              </w:rPr>
              <w:t>Deferred joint venture royalties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72,000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72,000</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current assets and liabilities: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tcPr>
          <w:p>
            <w:pPr>
              <w:ind w:left="5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Trade excluding corporate joint ventures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(443,078)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353,841</w:t>
            </w:r>
          </w:p>
        </w:tc>
        <w:tc>
          <w:tcPr>
            <w:tcW w:w="40" w:type="dxa"/>
            <w:vAlign w:val="bottom"/>
          </w:tcPr>
          <w:p>
            <w:pPr>
              <w:spacing w:after="0"/>
              <w:rPr>
                <w:sz w:val="18"/>
                <w:szCs w:val="18"/>
                <w:color w:val="auto"/>
              </w:rPr>
            </w:pPr>
          </w:p>
        </w:tc>
      </w:tr>
      <w:tr>
        <w:trPr>
          <w:trHeight w:val="215"/>
        </w:trPr>
        <w:tc>
          <w:tcPr>
            <w:tcW w:w="5620" w:type="dxa"/>
            <w:vAlign w:val="bottom"/>
          </w:tcPr>
          <w:p>
            <w:pPr>
              <w:ind w:left="900"/>
              <w:spacing w:after="0"/>
              <w:rPr>
                <w:sz w:val="20"/>
                <w:szCs w:val="20"/>
                <w:color w:val="auto"/>
              </w:rPr>
            </w:pPr>
            <w:r>
              <w:rPr>
                <w:rFonts w:ascii="Arial" w:cs="Arial" w:eastAsia="Arial" w:hAnsi="Arial"/>
                <w:sz w:val="18"/>
                <w:szCs w:val="18"/>
                <w:color w:val="auto"/>
              </w:rPr>
              <w:t>Trade corporate joint ventures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121,062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(52,615)</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89"/>
              </w:rPr>
              <w:t>Technical and other services receivables, corporate joint ventures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(1,106,084)</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(67,461)</w:t>
            </w:r>
          </w:p>
        </w:tc>
        <w:tc>
          <w:tcPr>
            <w:tcW w:w="40" w:type="dxa"/>
            <w:vAlign w:val="bottom"/>
          </w:tcPr>
          <w:p>
            <w:pPr>
              <w:spacing w:after="0"/>
              <w:rPr>
                <w:sz w:val="18"/>
                <w:szCs w:val="18"/>
                <w:color w:val="auto"/>
              </w:rPr>
            </w:pPr>
          </w:p>
        </w:tc>
      </w:tr>
      <w:tr>
        <w:trPr>
          <w:trHeight w:val="215"/>
        </w:trPr>
        <w:tc>
          <w:tcPr>
            <w:tcW w:w="562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29,755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(6,596)</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(227,709)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(275,315)</w:t>
            </w:r>
          </w:p>
        </w:tc>
        <w:tc>
          <w:tcPr>
            <w:tcW w:w="40" w:type="dxa"/>
            <w:vAlign w:val="bottom"/>
          </w:tcPr>
          <w:p>
            <w:pPr>
              <w:spacing w:after="0"/>
              <w:rPr>
                <w:sz w:val="18"/>
                <w:szCs w:val="18"/>
                <w:color w:val="auto"/>
              </w:rPr>
            </w:pPr>
          </w:p>
        </w:tc>
      </w:tr>
      <w:tr>
        <w:trPr>
          <w:trHeight w:val="215"/>
        </w:trPr>
        <w:tc>
          <w:tcPr>
            <w:tcW w:w="5620" w:type="dxa"/>
            <w:vAlign w:val="bottom"/>
          </w:tcPr>
          <w:p>
            <w:pPr>
              <w:ind w:left="540"/>
              <w:spacing w:after="0"/>
              <w:rPr>
                <w:sz w:val="20"/>
                <w:szCs w:val="20"/>
                <w:color w:val="auto"/>
              </w:rPr>
            </w:pPr>
            <w:r>
              <w:rPr>
                <w:rFonts w:ascii="Arial" w:cs="Arial" w:eastAsia="Arial" w:hAnsi="Arial"/>
                <w:sz w:val="18"/>
                <w:szCs w:val="18"/>
                <w:color w:val="auto"/>
              </w:rPr>
              <w:t>Prepaid expenses and other</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(85,019)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33,093</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taxes payable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168,145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5"/>
        </w:trPr>
        <w:tc>
          <w:tcPr>
            <w:tcW w:w="5620" w:type="dxa"/>
            <w:vAlign w:val="bottom"/>
          </w:tcPr>
          <w:p>
            <w:pPr>
              <w:ind w:left="540"/>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(483,276)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(807,064)</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614,972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133,952</w:t>
            </w:r>
          </w:p>
        </w:tc>
        <w:tc>
          <w:tcPr>
            <w:tcW w:w="40" w:type="dxa"/>
            <w:vAlign w:val="bottom"/>
          </w:tcPr>
          <w:p>
            <w:pPr>
              <w:spacing w:after="0"/>
              <w:rPr>
                <w:sz w:val="18"/>
                <w:szCs w:val="18"/>
                <w:color w:val="auto"/>
              </w:rPr>
            </w:pPr>
          </w:p>
        </w:tc>
      </w:tr>
      <w:tr>
        <w:trPr>
          <w:trHeight w:val="209"/>
        </w:trPr>
        <w:tc>
          <w:tcPr>
            <w:tcW w:w="5620" w:type="dxa"/>
            <w:vAlign w:val="bottom"/>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(1,587,352)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(1,235,051)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sale of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850,367</w:t>
            </w:r>
          </w:p>
        </w:tc>
        <w:tc>
          <w:tcPr>
            <w:tcW w:w="40" w:type="dxa"/>
            <w:vAlign w:val="bottom"/>
          </w:tcPr>
          <w:p>
            <w:pPr>
              <w:spacing w:after="0"/>
              <w:rPr>
                <w:sz w:val="18"/>
                <w:szCs w:val="18"/>
                <w:color w:val="auto"/>
              </w:rPr>
            </w:pPr>
          </w:p>
        </w:tc>
      </w:tr>
      <w:tr>
        <w:trPr>
          <w:trHeight w:val="215"/>
        </w:trPr>
        <w:tc>
          <w:tcPr>
            <w:tcW w:w="5620" w:type="dxa"/>
            <w:vAlign w:val="bottom"/>
          </w:tcPr>
          <w:p>
            <w:pPr>
              <w:ind w:left="180"/>
              <w:spacing w:after="0"/>
              <w:rPr>
                <w:sz w:val="20"/>
                <w:szCs w:val="20"/>
                <w:color w:val="auto"/>
              </w:rPr>
            </w:pPr>
            <w:r>
              <w:rPr>
                <w:rFonts w:ascii="Arial" w:cs="Arial" w:eastAsia="Arial" w:hAnsi="Arial"/>
                <w:sz w:val="18"/>
                <w:szCs w:val="18"/>
                <w:color w:val="auto"/>
              </w:rPr>
              <w:t>Investment in corporate joint ventures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(117,950)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(538,104)</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 received from corporate joint ventures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1,805,411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1,395,740</w:t>
            </w:r>
          </w:p>
        </w:tc>
        <w:tc>
          <w:tcPr>
            <w:tcW w:w="40" w:type="dxa"/>
            <w:vAlign w:val="bottom"/>
          </w:tcPr>
          <w:p>
            <w:pPr>
              <w:spacing w:after="0"/>
              <w:rPr>
                <w:sz w:val="18"/>
                <w:szCs w:val="18"/>
                <w:color w:val="auto"/>
              </w:rPr>
            </w:pPr>
          </w:p>
        </w:tc>
      </w:tr>
      <w:tr>
        <w:trPr>
          <w:trHeight w:val="215"/>
        </w:trPr>
        <w:tc>
          <w:tcPr>
            <w:tcW w:w="5620" w:type="dxa"/>
            <w:vAlign w:val="bottom"/>
          </w:tcPr>
          <w:p>
            <w:pPr>
              <w:ind w:left="180"/>
              <w:spacing w:after="0"/>
              <w:rPr>
                <w:sz w:val="20"/>
                <w:szCs w:val="20"/>
                <w:color w:val="auto"/>
              </w:rPr>
            </w:pPr>
            <w:r>
              <w:rPr>
                <w:rFonts w:ascii="Arial" w:cs="Arial" w:eastAsia="Arial" w:hAnsi="Arial"/>
                <w:sz w:val="18"/>
                <w:szCs w:val="18"/>
                <w:color w:val="auto"/>
              </w:rPr>
              <w:t>Proceeds from sale of industrial chemical corporate joint ventures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364,000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made</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(140,000)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5"/>
        </w:trPr>
        <w:tc>
          <w:tcPr>
            <w:tcW w:w="5620" w:type="dxa"/>
            <w:vAlign w:val="bottom"/>
          </w:tcPr>
          <w:p>
            <w:pPr>
              <w:ind w:left="180"/>
              <w:spacing w:after="0"/>
              <w:rPr>
                <w:sz w:val="20"/>
                <w:szCs w:val="20"/>
                <w:color w:val="auto"/>
              </w:rPr>
            </w:pPr>
            <w:r>
              <w:rPr>
                <w:rFonts w:ascii="Arial" w:cs="Arial" w:eastAsia="Arial" w:hAnsi="Arial"/>
                <w:sz w:val="18"/>
                <w:szCs w:val="18"/>
                <w:color w:val="auto"/>
              </w:rPr>
              <w:t>Cash received from notes receivable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445,469</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(266,192)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(748,161)</w:t>
            </w:r>
          </w:p>
        </w:tc>
        <w:tc>
          <w:tcPr>
            <w:tcW w:w="40" w:type="dxa"/>
            <w:vAlign w:val="bottom"/>
          </w:tcPr>
          <w:p>
            <w:pPr>
              <w:spacing w:after="0"/>
              <w:rPr>
                <w:sz w:val="18"/>
                <w:szCs w:val="18"/>
                <w:color w:val="auto"/>
              </w:rPr>
            </w:pPr>
          </w:p>
        </w:tc>
      </w:tr>
      <w:tr>
        <w:trPr>
          <w:trHeight w:val="215"/>
        </w:trPr>
        <w:tc>
          <w:tcPr>
            <w:tcW w:w="5620" w:type="dxa"/>
            <w:vAlign w:val="bottom"/>
          </w:tcPr>
          <w:p>
            <w:pPr>
              <w:ind w:left="180"/>
              <w:spacing w:after="0"/>
              <w:rPr>
                <w:sz w:val="20"/>
                <w:szCs w:val="20"/>
                <w:color w:val="auto"/>
              </w:rPr>
            </w:pPr>
            <w:r>
              <w:rPr>
                <w:rFonts w:ascii="Arial" w:cs="Arial" w:eastAsia="Arial" w:hAnsi="Arial"/>
                <w:sz w:val="18"/>
                <w:szCs w:val="18"/>
                <w:color w:val="auto"/>
              </w:rPr>
              <w:t>Increase in other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(8,603)</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(41,171)</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to industrial patents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(141,105)</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(94,549)</w:t>
            </w:r>
          </w:p>
        </w:tc>
        <w:tc>
          <w:tcPr>
            <w:tcW w:w="40" w:type="dxa"/>
            <w:vAlign w:val="bottom"/>
          </w:tcPr>
          <w:p>
            <w:pPr>
              <w:spacing w:after="0"/>
              <w:rPr>
                <w:sz w:val="18"/>
                <w:szCs w:val="18"/>
                <w:color w:val="auto"/>
              </w:rPr>
            </w:pPr>
          </w:p>
        </w:tc>
      </w:tr>
      <w:tr>
        <w:trPr>
          <w:trHeight w:val="209"/>
        </w:trPr>
        <w:tc>
          <w:tcPr>
            <w:tcW w:w="5620" w:type="dxa"/>
            <w:vAlign w:val="bottom"/>
          </w:tcPr>
          <w:p>
            <w:pPr>
              <w:ind w:left="360"/>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1,501,762</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1,269,591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borrowings made on line of credit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274,000</w:t>
            </w:r>
          </w:p>
        </w:tc>
        <w:tc>
          <w:tcPr>
            <w:tcW w:w="40" w:type="dxa"/>
            <w:vAlign w:val="bottom"/>
          </w:tcPr>
          <w:p>
            <w:pPr>
              <w:spacing w:after="0"/>
              <w:rPr>
                <w:sz w:val="18"/>
                <w:szCs w:val="18"/>
                <w:color w:val="auto"/>
              </w:rPr>
            </w:pPr>
          </w:p>
        </w:tc>
      </w:tr>
      <w:tr>
        <w:trPr>
          <w:trHeight w:val="215"/>
        </w:trPr>
        <w:tc>
          <w:tcPr>
            <w:tcW w:w="5620" w:type="dxa"/>
            <w:vAlign w:val="bottom"/>
          </w:tcPr>
          <w:p>
            <w:pPr>
              <w:ind w:left="180"/>
              <w:spacing w:after="0"/>
              <w:rPr>
                <w:sz w:val="20"/>
                <w:szCs w:val="20"/>
                <w:color w:val="auto"/>
              </w:rPr>
            </w:pPr>
            <w:r>
              <w:rPr>
                <w:rFonts w:ascii="Arial" w:cs="Arial" w:eastAsia="Arial" w:hAnsi="Arial"/>
                <w:sz w:val="18"/>
                <w:szCs w:val="18"/>
                <w:color w:val="auto"/>
              </w:rPr>
              <w:t>Repayment of note payable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(21,895)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(20,479)</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104,772</w:t>
            </w:r>
          </w:p>
        </w:tc>
        <w:tc>
          <w:tcPr>
            <w:tcW w:w="40" w:type="dxa"/>
            <w:vAlign w:val="bottom"/>
          </w:tcPr>
          <w:p>
            <w:pPr>
              <w:spacing w:after="0"/>
              <w:rPr>
                <w:sz w:val="18"/>
                <w:szCs w:val="18"/>
                <w:color w:val="auto"/>
              </w:rPr>
            </w:pPr>
          </w:p>
        </w:tc>
      </w:tr>
      <w:tr>
        <w:trPr>
          <w:trHeight w:val="215"/>
        </w:trPr>
        <w:tc>
          <w:tcPr>
            <w:tcW w:w="5620" w:type="dxa"/>
            <w:vAlign w:val="bottom"/>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45,500</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Bank overdrafts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236,480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(155,704)</w:t>
            </w:r>
          </w:p>
        </w:tc>
        <w:tc>
          <w:tcPr>
            <w:tcW w:w="40" w:type="dxa"/>
            <w:vAlign w:val="bottom"/>
          </w:tcPr>
          <w:p>
            <w:pPr>
              <w:spacing w:after="0"/>
              <w:rPr>
                <w:sz w:val="18"/>
                <w:szCs w:val="18"/>
                <w:color w:val="auto"/>
              </w:rPr>
            </w:pPr>
          </w:p>
        </w:tc>
      </w:tr>
      <w:tr>
        <w:trPr>
          <w:trHeight w:val="209"/>
        </w:trPr>
        <w:tc>
          <w:tcPr>
            <w:tcW w:w="56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260,085</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202,589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5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6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174,495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237,129</w:t>
            </w:r>
          </w:p>
        </w:tc>
        <w:tc>
          <w:tcPr>
            <w:tcW w:w="40" w:type="dxa"/>
            <w:vAlign w:val="bottom"/>
          </w:tcPr>
          <w:p>
            <w:pPr>
              <w:spacing w:after="0"/>
              <w:rPr>
                <w:sz w:val="18"/>
                <w:szCs w:val="18"/>
                <w:color w:val="auto"/>
              </w:rPr>
            </w:pPr>
          </w:p>
        </w:tc>
      </w:tr>
      <w:tr>
        <w:trPr>
          <w:trHeight w:val="215"/>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244,499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299,117</w:t>
            </w:r>
          </w:p>
        </w:tc>
        <w:tc>
          <w:tcPr>
            <w:tcW w:w="40" w:type="dxa"/>
            <w:vAlign w:val="bottom"/>
          </w:tcPr>
          <w:p>
            <w:pPr>
              <w:spacing w:after="0"/>
              <w:rPr>
                <w:sz w:val="18"/>
                <w:szCs w:val="18"/>
                <w:color w:val="auto"/>
              </w:rPr>
            </w:pPr>
          </w:p>
        </w:tc>
      </w:tr>
      <w:tr>
        <w:trPr>
          <w:trHeight w:val="209"/>
        </w:trPr>
        <w:tc>
          <w:tcPr>
            <w:tcW w:w="5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5"/>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center"/>
              <w:ind w:left="51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418,994</w:t>
            </w: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536,246</w:t>
            </w:r>
          </w:p>
        </w:tc>
        <w:tc>
          <w:tcPr>
            <w:tcW w:w="40" w:type="dxa"/>
            <w:vAlign w:val="bottom"/>
          </w:tcPr>
          <w:p>
            <w:pPr>
              <w:spacing w:after="0"/>
              <w:rPr>
                <w:sz w:val="20"/>
                <w:szCs w:val="20"/>
                <w:color w:val="auto"/>
              </w:rPr>
            </w:pPr>
          </w:p>
        </w:tc>
      </w:tr>
      <w:tr>
        <w:trPr>
          <w:trHeight w:val="417"/>
        </w:trPr>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See notes to consolidated financial statements.</w:t>
            </w:r>
          </w:p>
        </w:tc>
        <w:tc>
          <w:tcPr>
            <w:tcW w:w="2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-8427085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-8427085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87630</wp:posOffset>
            </wp:positionV>
            <wp:extent cx="726821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type w:val="continuous"/>
        </w:sectPr>
      </w:pPr>
    </w:p>
    <w:bookmarkStart w:id="4" w:name="page5"/>
    <w:bookmarkEnd w:id="4"/>
    <w:p>
      <w:pPr>
        <w:ind w:right="4140"/>
        <w:spacing w:after="0" w:line="280" w:lineRule="auto"/>
        <w:rPr>
          <w:sz w:val="20"/>
          <w:szCs w:val="20"/>
          <w:color w:val="auto"/>
        </w:rPr>
      </w:pPr>
      <w:r>
        <w:rPr>
          <w:rFonts w:ascii="Arial" w:cs="Arial" w:eastAsia="Arial" w:hAnsi="Arial"/>
          <w:sz w:val="18"/>
          <w:szCs w:val="18"/>
          <w:b w:val="1"/>
          <w:bCs w:val="1"/>
          <w:color w:val="auto"/>
        </w:rPr>
        <w:t>NORTHERN TECHNOLOGIES INTERNATIONAL CORPORATION AND SUBSIDIARIES NOTES TO CONSOLIDATED FINANCIAL STATEMENTS (Unaudited)</w:t>
      </w:r>
    </w:p>
    <w:p>
      <w:pPr>
        <w:spacing w:after="0" w:line="162"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INTERIM FINANCIAL INFORMATION</w:t>
      </w:r>
    </w:p>
    <w:p>
      <w:pPr>
        <w:spacing w:after="0" w:line="227" w:lineRule="exact"/>
        <w:rPr>
          <w:sz w:val="20"/>
          <w:szCs w:val="20"/>
          <w:color w:val="auto"/>
        </w:rPr>
      </w:pPr>
    </w:p>
    <w:p>
      <w:pPr>
        <w:ind w:right="80"/>
        <w:spacing w:after="0" w:line="300" w:lineRule="auto"/>
        <w:rPr>
          <w:sz w:val="20"/>
          <w:szCs w:val="20"/>
          <w:color w:val="auto"/>
        </w:rPr>
      </w:pPr>
      <w:r>
        <w:rPr>
          <w:rFonts w:ascii="Arial" w:cs="Arial" w:eastAsia="Arial" w:hAnsi="Arial"/>
          <w:sz w:val="16"/>
          <w:szCs w:val="16"/>
          <w:color w:val="auto"/>
        </w:rPr>
        <w:t>In the opinion of management, the accompanying unaudited consolidated financial statements contain all necessary adjustments, which are of a normal recurring nature, and present fairly the consolidated financial position of Northern Technologies International Corporation and its subsidiaries (the Company) as of May 31, 2008 and the results of their operations for the three and nine months ended May 31, 2008 and May 31, 2007 and their cash flows for the nine months ended May 31, 2008 and May 31, 2007, in conformity with accounting principles generally accepted in the United States of America.</w:t>
      </w:r>
    </w:p>
    <w:p>
      <w:pPr>
        <w:spacing w:after="0" w:line="155"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These consolidated financial statements should be read in conjunction with the consolidated financial statements and related notes contained in the Company’s annual report on Form 10-KSB for the fiscal year ended August 31, 2007 and with the Management’s Discussion and Analysis or Plan of Operation section appearing in this quarterly report. Operating results for the three and nine months ended May 31, 2008 are not necessarily indicative of the results that may be expected for the full fiscal year ending August 31, 2008.</w:t>
      </w:r>
    </w:p>
    <w:p>
      <w:pPr>
        <w:spacing w:after="0" w:line="181" w:lineRule="exact"/>
        <w:rPr>
          <w:sz w:val="20"/>
          <w:szCs w:val="20"/>
          <w:color w:val="auto"/>
        </w:rPr>
      </w:pPr>
    </w:p>
    <w:p>
      <w:pPr>
        <w:ind w:left="720" w:hanging="712"/>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Effective September 1, 2007, the Company adopted the provisions of the FASB Interpretation 48, “</w:t>
      </w:r>
      <w:r>
        <w:rPr>
          <w:rFonts w:ascii="Arial" w:cs="Arial" w:eastAsia="Arial" w:hAnsi="Arial"/>
          <w:sz w:val="17"/>
          <w:szCs w:val="17"/>
          <w:i w:val="1"/>
          <w:iCs w:val="1"/>
          <w:color w:val="auto"/>
        </w:rPr>
        <w:t>Accounting for Uncertainty in Income Taxes – an</w:t>
      </w:r>
      <w:r>
        <w:rPr>
          <w:rFonts w:ascii="Arial" w:cs="Arial" w:eastAsia="Arial" w:hAnsi="Arial"/>
          <w:sz w:val="17"/>
          <w:szCs w:val="17"/>
          <w:color w:val="auto"/>
        </w:rPr>
        <w:t xml:space="preserve"> </w:t>
      </w:r>
      <w:r>
        <w:rPr>
          <w:rFonts w:ascii="Arial" w:cs="Arial" w:eastAsia="Arial" w:hAnsi="Arial"/>
          <w:sz w:val="17"/>
          <w:szCs w:val="17"/>
          <w:i w:val="1"/>
          <w:iCs w:val="1"/>
          <w:color w:val="auto"/>
        </w:rPr>
        <w:t>interpretation of FASB Statement 109</w:t>
      </w:r>
      <w:r>
        <w:rPr>
          <w:rFonts w:ascii="Arial" w:cs="Arial" w:eastAsia="Arial" w:hAnsi="Arial"/>
          <w:sz w:val="17"/>
          <w:szCs w:val="17"/>
          <w:color w:val="auto"/>
        </w:rPr>
        <w:t>” (“FIN 48”). FIN 48 clarifies the accounting for uncertainty in income taxes recognized in an entity’s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in accordance with SFAS No. 109 and prescribes a recognition threshold and measurement attribute for financial statement disclosure of tax positions taken or expected to be taken in a tax return. Under FIN 48, the impact of an uncertain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FIN 48 provides guidance on subsequent derecognition of tax positions, financial statement classification, recognition of interest and penalties, accounting in interim periods and disclosure and transition rules. The adoption of FIN 48 did not have a material impact on the Company’s financial condition, results of operations or cash flows.</w:t>
      </w:r>
    </w:p>
    <w:p>
      <w:pPr>
        <w:spacing w:after="0" w:line="176"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As of August 31, 2007, the Company had $75,000 of unrecognized tax benefits. If recognized, $75,000 would have an impact on the Company’s effective tax rate. During the nine months ended May 31, 2008, the unrecognized tax benefits have not increased or decreased materially. It is expected that the amount of unrecognized tax benefits will change in the next 12 months; however, the Company cannot reasonably estimate that change.</w:t>
      </w:r>
    </w:p>
    <w:p>
      <w:pPr>
        <w:spacing w:after="0" w:line="14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its income tax provision. This policy did not change as a result of the adoption of FIN 48. As of September 1, 2007, the Company recorded a liability of $11,300 for interest and penalties. The liability for the payment of interest and penalties did not materially change during the nine months ended May 31, 2008.</w:t>
      </w:r>
    </w:p>
    <w:p>
      <w:pPr>
        <w:spacing w:after="0" w:line="18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Company operates in multiple tax jurisdictions, both within the United States and outside the United States. With certain exceptions, the Company is no longer subject to examination for tax years prior to 2004. The Company’s tax filings for the fiscal years August 31, 2004 and August 31, 2005 were examined by the U.S. Internal Revenue Service. The examination has been concluded with the exception of the payroll tax issue discussed within Note 9 to these consolidated financial statements entitled “Commitments and Contingencies.”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 xml:space="preserve">In March 2008, the Financial Accounting Standards Board (FASB) issued Statement No. 161, </w:t>
      </w:r>
      <w:r>
        <w:rPr>
          <w:rFonts w:ascii="Arial" w:cs="Arial" w:eastAsia="Arial" w:hAnsi="Arial"/>
          <w:sz w:val="18"/>
          <w:szCs w:val="18"/>
          <w:i w:val="1"/>
          <w:iCs w:val="1"/>
          <w:color w:val="auto"/>
        </w:rPr>
        <w:t>Disclosures about Derivative Instruments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Activities</w:t>
      </w:r>
      <w:r>
        <w:rPr>
          <w:rFonts w:ascii="Arial" w:cs="Arial" w:eastAsia="Arial" w:hAnsi="Arial"/>
          <w:sz w:val="18"/>
          <w:szCs w:val="18"/>
          <w:color w:val="auto"/>
        </w:rPr>
        <w:t>. SFAS 161 requires additional disclosures related to the use of derivative instruments, the accounting for derivatives and how derivatives impact</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SFAS No. 161 is effective for fiscal years and interim periods beginning after November 15, 2008. The Company does not expect the adoption of SFAS 161 to have a material effect on the consolidated financial statements.</w:t>
      </w:r>
    </w:p>
    <w:p>
      <w:pPr>
        <w:spacing w:after="0" w:line="18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December 2007, the Financial Accounting Standards Board issued Statement of Financial Accounting Standards (SFAS) No. 141, (Revised 2007), “Business Combinations” (SFAS 141 (Revised 2007)”). While this statement retains the fundamental requirement of SFAS 141 that the acquisition method of accounting (which SFAS 141 called the purchase method) be used for all business combinations, SFAS 141 (Revised 2007) now establishes the principles and requirements for how an acquirer in a business combination: recognizes and measures in its financial statements the identifiable assets acquired, the liabilities assumed, and any noncontrolling interests in the acquired; recognizes and measures the goodwill acquired in the business combination or the gain from a bargain purchase; and determines what information should be disclosed in the financial statements to enable users of the financial statements to evaluate the nature and financial effects of the business combination. SFAS 141 (Revised 2007) is effective for fiscal years beginning on or after December 15, 2008. We do not believe the adoption of SFAS 141 will have a material effect on our results of operations or financial position.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Arial" w:cs="Arial" w:eastAsia="Arial" w:hAnsi="Arial"/>
                <w:sz w:val="18"/>
                <w:szCs w:val="18"/>
                <w:b w:val="1"/>
                <w:bCs w:val="1"/>
                <w:color w:val="auto"/>
              </w:rPr>
              <w:t>3.</w:t>
            </w:r>
          </w:p>
        </w:tc>
        <w:tc>
          <w:tcPr>
            <w:tcW w:w="6700" w:type="dxa"/>
            <w:vAlign w:val="bottom"/>
          </w:tcPr>
          <w:p>
            <w:pPr>
              <w:ind w:left="60"/>
              <w:spacing w:after="0"/>
              <w:rPr>
                <w:sz w:val="20"/>
                <w:szCs w:val="20"/>
                <w:color w:val="auto"/>
              </w:rPr>
            </w:pPr>
            <w:r>
              <w:rPr>
                <w:rFonts w:ascii="Arial" w:cs="Arial" w:eastAsia="Arial" w:hAnsi="Arial"/>
                <w:sz w:val="18"/>
                <w:szCs w:val="18"/>
                <w:b w:val="1"/>
                <w:bCs w:val="1"/>
                <w:color w:val="auto"/>
              </w:rPr>
              <w:t>INVENTORIES</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0"/>
        </w:trPr>
        <w:tc>
          <w:tcPr>
            <w:tcW w:w="736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40"/>
        </w:trPr>
        <w:tc>
          <w:tcPr>
            <w:tcW w:w="6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24"/>
                <w:szCs w:val="2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August 31,</w:t>
            </w:r>
          </w:p>
        </w:tc>
      </w:tr>
      <w:tr>
        <w:trPr>
          <w:trHeight w:val="171"/>
        </w:trPr>
        <w:tc>
          <w:tcPr>
            <w:tcW w:w="660" w:type="dxa"/>
            <w:vAlign w:val="bottom"/>
          </w:tcPr>
          <w:p>
            <w:pPr>
              <w:spacing w:after="0"/>
              <w:rPr>
                <w:sz w:val="14"/>
                <w:szCs w:val="14"/>
                <w:color w:val="auto"/>
              </w:rPr>
            </w:pPr>
          </w:p>
        </w:tc>
        <w:tc>
          <w:tcPr>
            <w:tcW w:w="67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4"/>
                <w:szCs w:val="14"/>
                <w:color w:val="auto"/>
              </w:rPr>
            </w:pPr>
          </w:p>
        </w:tc>
      </w:tr>
      <w:tr>
        <w:trPr>
          <w:trHeight w:val="209"/>
        </w:trPr>
        <w:tc>
          <w:tcPr>
            <w:tcW w:w="66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532,210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183,658</w:t>
            </w:r>
          </w:p>
        </w:tc>
        <w:tc>
          <w:tcPr>
            <w:tcW w:w="120" w:type="dxa"/>
            <w:vAlign w:val="bottom"/>
            <w:shd w:val="clear" w:color="auto" w:fill="CCEEFF"/>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1,331,572</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7"/>
                <w:szCs w:val="17"/>
                <w:color w:val="auto"/>
              </w:rPr>
              <w:t>452,415</w:t>
            </w:r>
          </w:p>
        </w:tc>
        <w:tc>
          <w:tcPr>
            <w:tcW w:w="120" w:type="dxa"/>
            <w:vAlign w:val="bottom"/>
            <w:tcBorders>
              <w:bottom w:val="single" w:sz="8" w:color="CCEEFF"/>
            </w:tcBorders>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67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1,863,782</w:t>
            </w:r>
          </w:p>
        </w:tc>
        <w:tc>
          <w:tcPr>
            <w:tcW w:w="2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1,636,073</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CORPORATE JOINT VENTURES</w:t>
      </w:r>
    </w:p>
    <w:p>
      <w:pPr>
        <w:spacing w:after="0" w:line="227"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color w:val="auto"/>
        </w:rPr>
        <w:t>Composite financial information from the audited and unaudited financial statements of the Company’s joint ventures carried on the equity basis is summarized as follows:</w:t>
      </w:r>
    </w:p>
    <w:p>
      <w:pPr>
        <w:spacing w:after="0" w:line="14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May 31,</w:t>
            </w:r>
          </w:p>
        </w:tc>
        <w:tc>
          <w:tcPr>
            <w:tcW w:w="22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August 31,</w:t>
            </w:r>
          </w:p>
        </w:tc>
      </w:tr>
      <w:tr>
        <w:trPr>
          <w:trHeight w:val="171"/>
        </w:trPr>
        <w:tc>
          <w:tcPr>
            <w:tcW w:w="67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CCEEFF"/>
            </w:tcBorders>
          </w:tcPr>
          <w:p>
            <w:pPr>
              <w:spacing w:after="0"/>
              <w:rPr>
                <w:sz w:val="14"/>
                <w:szCs w:val="14"/>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6"/>
              </w:rPr>
              <w:t>52,535,155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42,767,569</w:t>
            </w:r>
          </w:p>
        </w:tc>
        <w:tc>
          <w:tcPr>
            <w:tcW w:w="120" w:type="dxa"/>
            <w:vAlign w:val="bottom"/>
            <w:shd w:val="clear" w:color="auto" w:fill="CCEEFF"/>
          </w:tcPr>
          <w:p>
            <w:pPr>
              <w:spacing w:after="0"/>
              <w:rPr>
                <w:sz w:val="18"/>
                <w:szCs w:val="18"/>
                <w:color w:val="auto"/>
              </w:rPr>
            </w:pPr>
          </w:p>
        </w:tc>
      </w:tr>
    </w:tbl>
    <w:p>
      <w:pPr>
        <w:sectPr>
          <w:pgSz w:w="11900" w:h="16838" w:orient="portrait"/>
          <w:cols w:equalWidth="0" w:num="1">
            <w:col w:w="11380"/>
          </w:cols>
          <w:pgMar w:left="240" w:top="578" w:right="2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Total assets</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60,071,889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49,</w:t>
            </w:r>
            <w:r>
              <w:rPr>
                <w:rFonts w:ascii="Arial" w:cs="Arial" w:eastAsia="Arial" w:hAnsi="Arial"/>
                <w:sz w:val="17"/>
                <w:szCs w:val="17"/>
                <w:color w:val="auto"/>
              </w:rPr>
              <w:t>312,491</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5"/>
        </w:trPr>
        <w:tc>
          <w:tcPr>
            <w:tcW w:w="6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20,807,784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14,939,496</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5,088,937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4,971,199</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66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34,175,168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29,401,796</w:t>
            </w:r>
          </w:p>
        </w:tc>
        <w:tc>
          <w:tcPr>
            <w:tcW w:w="8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660" w:type="dxa"/>
            <w:vAlign w:val="bottom"/>
          </w:tcPr>
          <w:p>
            <w:pPr>
              <w:spacing w:after="0"/>
              <w:rPr>
                <w:sz w:val="17"/>
                <w:szCs w:val="17"/>
                <w:color w:val="auto"/>
              </w:rPr>
            </w:pPr>
          </w:p>
        </w:tc>
        <w:tc>
          <w:tcPr>
            <w:tcW w:w="6700" w:type="dxa"/>
            <w:vAlign w:val="bottom"/>
            <w:gridSpan w:val="5"/>
          </w:tcPr>
          <w:p>
            <w:pPr>
              <w:spacing w:after="0" w:line="201" w:lineRule="exact"/>
              <w:rPr>
                <w:sz w:val="20"/>
                <w:szCs w:val="20"/>
                <w:color w:val="auto"/>
              </w:rPr>
            </w:pPr>
            <w:r>
              <w:rPr>
                <w:rFonts w:ascii="Arial" w:cs="Arial" w:eastAsia="Arial" w:hAnsi="Arial"/>
                <w:sz w:val="18"/>
                <w:szCs w:val="18"/>
                <w:color w:val="auto"/>
                <w:w w:val="98"/>
              </w:rPr>
              <w:t>Northern Technologies International Corporation’s share of Corporate Joint Ventures’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660" w:type="dxa"/>
            <w:vAlign w:val="bottom"/>
          </w:tcPr>
          <w:p>
            <w:pPr>
              <w:spacing w:after="0"/>
              <w:rPr>
                <w:sz w:val="19"/>
                <w:szCs w:val="19"/>
                <w:color w:val="auto"/>
              </w:rPr>
            </w:pPr>
          </w:p>
        </w:tc>
        <w:tc>
          <w:tcPr>
            <w:tcW w:w="4400" w:type="dxa"/>
            <w:vAlign w:val="bottom"/>
          </w:tcPr>
          <w:p>
            <w:pPr>
              <w:ind w:left="180"/>
              <w:spacing w:after="0"/>
              <w:rPr>
                <w:sz w:val="20"/>
                <w:szCs w:val="20"/>
                <w:color w:val="auto"/>
              </w:rPr>
            </w:pPr>
            <w:r>
              <w:rPr>
                <w:rFonts w:ascii="Arial" w:cs="Arial" w:eastAsia="Arial" w:hAnsi="Arial"/>
                <w:sz w:val="18"/>
                <w:szCs w:val="18"/>
                <w:color w:val="auto"/>
              </w:rPr>
              <w:t>equity</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16,193,141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13,602,842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30"/>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40" w:type="dxa"/>
            <w:vAlign w:val="bottom"/>
          </w:tcPr>
          <w:p>
            <w:pPr>
              <w:jc w:val="right"/>
              <w:ind w:right="5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1"/>
        </w:trPr>
        <w:tc>
          <w:tcPr>
            <w:tcW w:w="660" w:type="dxa"/>
            <w:vAlign w:val="bottom"/>
            <w:tcBorders>
              <w:bottom w:val="single" w:sz="8" w:color="010101"/>
            </w:tcBorders>
          </w:tcPr>
          <w:p>
            <w:pPr>
              <w:spacing w:after="0"/>
              <w:rPr>
                <w:sz w:val="11"/>
                <w:szCs w:val="11"/>
                <w:color w:val="auto"/>
              </w:rPr>
            </w:pPr>
          </w:p>
        </w:tc>
        <w:tc>
          <w:tcPr>
            <w:tcW w:w="440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gridSpan w:val="3"/>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gridSpan w:val="4"/>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09"/>
        </w:trPr>
        <w:tc>
          <w:tcPr>
            <w:tcW w:w="6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gridSpan w:val="7"/>
          </w:tcPr>
          <w:p>
            <w:pPr>
              <w:ind w:left="2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6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May 31,</w:t>
            </w:r>
          </w:p>
        </w:tc>
        <w:tc>
          <w:tcPr>
            <w:tcW w:w="2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May 31,</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3"/>
          </w:tcPr>
          <w:p>
            <w:pPr>
              <w:jc w:val="right"/>
              <w:ind w:right="600"/>
              <w:spacing w:after="0" w:line="119" w:lineRule="exact"/>
              <w:rPr>
                <w:sz w:val="20"/>
                <w:szCs w:val="20"/>
                <w:color w:val="auto"/>
              </w:rPr>
            </w:pPr>
            <w:r>
              <w:rPr>
                <w:rFonts w:ascii="Arial" w:cs="Arial" w:eastAsia="Arial" w:hAnsi="Arial"/>
                <w:sz w:val="13"/>
                <w:szCs w:val="13"/>
                <w:b w:val="1"/>
                <w:bCs w:val="1"/>
                <w:color w:val="auto"/>
              </w:rPr>
              <w:t>May 31,</w:t>
            </w:r>
          </w:p>
        </w:tc>
        <w:tc>
          <w:tcPr>
            <w:tcW w:w="2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May 31,</w:t>
            </w:r>
          </w:p>
        </w:tc>
        <w:tc>
          <w:tcPr>
            <w:tcW w:w="140" w:type="dxa"/>
            <w:vAlign w:val="bottom"/>
            <w:gridSpan w:val="2"/>
          </w:tcPr>
          <w:p>
            <w:pPr>
              <w:spacing w:after="0"/>
              <w:rPr>
                <w:sz w:val="10"/>
                <w:szCs w:val="10"/>
                <w:color w:val="auto"/>
              </w:rPr>
            </w:pPr>
          </w:p>
        </w:tc>
      </w:tr>
      <w:tr>
        <w:trPr>
          <w:trHeight w:val="171"/>
        </w:trPr>
        <w:tc>
          <w:tcPr>
            <w:tcW w:w="660" w:type="dxa"/>
            <w:vAlign w:val="bottom"/>
            <w:tcBorders>
              <w:bottom w:val="single" w:sz="8" w:color="CCEEFF"/>
            </w:tcBorders>
          </w:tcPr>
          <w:p>
            <w:pPr>
              <w:spacing w:after="0"/>
              <w:rPr>
                <w:sz w:val="14"/>
                <w:szCs w:val="14"/>
                <w:color w:val="auto"/>
              </w:rPr>
            </w:pPr>
          </w:p>
        </w:tc>
        <w:tc>
          <w:tcPr>
            <w:tcW w:w="44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2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2008</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30,802,632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6"/>
              </w:rPr>
              <w:t>19,992,979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79,893,753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59,265,028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50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13,840,622</w:t>
            </w:r>
          </w:p>
        </w:tc>
        <w:tc>
          <w:tcPr>
            <w:tcW w:w="22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9,780,323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36,383,556</w:t>
            </w:r>
          </w:p>
        </w:tc>
        <w:tc>
          <w:tcPr>
            <w:tcW w:w="2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28,705,348</w:t>
            </w:r>
          </w:p>
        </w:tc>
        <w:tc>
          <w:tcPr>
            <w:tcW w:w="40" w:type="dxa"/>
            <w:vAlign w:val="bottom"/>
          </w:tcPr>
          <w:p>
            <w:pPr>
              <w:spacing w:after="0"/>
              <w:rPr>
                <w:sz w:val="18"/>
                <w:szCs w:val="18"/>
                <w:color w:val="auto"/>
              </w:rPr>
            </w:pPr>
          </w:p>
        </w:tc>
      </w:tr>
      <w:tr>
        <w:trPr>
          <w:trHeight w:val="215"/>
        </w:trPr>
        <w:tc>
          <w:tcPr>
            <w:tcW w:w="5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2,174,841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1,769,563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5,434,476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4,903,342</w:t>
            </w:r>
          </w:p>
        </w:tc>
        <w:tc>
          <w:tcPr>
            <w:tcW w:w="40" w:type="dxa"/>
            <w:vAlign w:val="bottom"/>
          </w:tcPr>
          <w:p>
            <w:pPr>
              <w:spacing w:after="0"/>
              <w:rPr>
                <w:sz w:val="18"/>
                <w:szCs w:val="18"/>
                <w:color w:val="auto"/>
              </w:rPr>
            </w:pPr>
          </w:p>
        </w:tc>
      </w:tr>
      <w:tr>
        <w:trPr>
          <w:trHeight w:val="230"/>
        </w:trPr>
        <w:tc>
          <w:tcPr>
            <w:tcW w:w="5060" w:type="dxa"/>
            <w:vAlign w:val="bottom"/>
            <w:gridSpan w:val="2"/>
          </w:tcPr>
          <w:p>
            <w:pPr>
              <w:spacing w:after="0"/>
              <w:rPr>
                <w:sz w:val="20"/>
                <w:szCs w:val="20"/>
                <w:color w:val="auto"/>
              </w:rPr>
            </w:pPr>
            <w:r>
              <w:rPr>
                <w:rFonts w:ascii="Arial" w:cs="Arial" w:eastAsia="Arial" w:hAnsi="Arial"/>
                <w:sz w:val="18"/>
                <w:szCs w:val="18"/>
                <w:color w:val="auto"/>
              </w:rPr>
              <w:t>NTIC’s share of equity in income of Corporate Joint Ventures</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1,139,140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754,286</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3,006,996</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2,384,020</w:t>
            </w:r>
          </w:p>
        </w:tc>
        <w:tc>
          <w:tcPr>
            <w:tcW w:w="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-1240155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-1240155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6" w:lineRule="exact"/>
        <w:rPr>
          <w:sz w:val="20"/>
          <w:szCs w:val="20"/>
          <w:color w:val="auto"/>
        </w:rPr>
      </w:pPr>
    </w:p>
    <w:p>
      <w:pPr>
        <w:ind w:right="720"/>
        <w:spacing w:after="0" w:line="262" w:lineRule="auto"/>
        <w:rPr>
          <w:sz w:val="20"/>
          <w:szCs w:val="20"/>
          <w:color w:val="auto"/>
        </w:rPr>
      </w:pPr>
      <w:r>
        <w:rPr>
          <w:rFonts w:ascii="Arial" w:cs="Arial" w:eastAsia="Arial" w:hAnsi="Arial"/>
          <w:sz w:val="18"/>
          <w:szCs w:val="18"/>
          <w:color w:val="auto"/>
        </w:rPr>
        <w:t>The financial statements of the Company’s foreign joint ventures were prepared using accounting principles accepted in the joint ventures’ country of domicile. Amounts related to foreign joint ventures reported in the above tables and the accompanying financial statements have been adjusted to approximate US GAAP in all material respects.</w:t>
      </w:r>
    </w:p>
    <w:p>
      <w:pPr>
        <w:spacing w:after="0" w:line="182"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During the nine months ended May 31, 2008, the Company invested $87,950 in a non-industrial chemical joint venture in Thailand in addition to $143,000 previously invested in December 2006. The Company has a 50% ownership interest in the Thailand joint venture entity. The Thailand joint venture entity had no operations prior to the Company’s investment in December 2006. The total contributions made by both owners of the Thailand joint venture were $461,900 as of May 31, 2008.</w:t>
      </w:r>
    </w:p>
    <w:p>
      <w:pPr>
        <w:spacing w:after="0" w:line="18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During the nine months ended May 31, 2008, the Company invested $30,000 in to its consumer products joint venture to be used for working capital. The Company has a 50% ownership interest in its consumer products joint venture entity. The total contributions made by both owners of the consumer products joint venture were $60,000 as of May 31, 2008.</w:t>
      </w:r>
    </w:p>
    <w:p>
      <w:pPr>
        <w:spacing w:after="0" w:line="18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During the nine months ended May 31, 2008, the Company sold its 50% interest in its industrial chemical joint venture in Austria for $364,000. The Company’s industrial chemical joint venture in Germany purchased the Company’s 50% joint venture interest and has consolidated the Austrian joint venture entity into its existing business. The Company recorded a gain on the sale of $172,767, as the Company has determined its interest in the entity was non-controlling under EITF 02-05 “Definition of Common Control in relation to FASB Statement 141”.</w:t>
      </w:r>
    </w:p>
    <w:p>
      <w:pPr>
        <w:spacing w:after="0" w:line="181"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27"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During the nine months ended May 31, 2008, the Company did not purchase or retire any shares of its common stock and no stock options to purchase shares of the Company’s common stock were exercised. The Company granted stock bonuses under the Northern Technologies International Corporation 2007 Stock Incentive Plan for an aggregate of 33,595 shares of its common stock to various employees during the nine months ended May 31, 2008. The fair value of the shares of the Company’s common stock as of the date of grant of the stock bonuses was $334,270, based on the closing sale price of a share of the Company’s common stock on the date of grant.</w:t>
      </w:r>
    </w:p>
    <w:p>
      <w:pPr>
        <w:spacing w:after="0" w:line="191" w:lineRule="exact"/>
        <w:rPr>
          <w:sz w:val="20"/>
          <w:szCs w:val="20"/>
          <w:color w:val="auto"/>
        </w:rPr>
      </w:pPr>
    </w:p>
    <w:p>
      <w:pPr>
        <w:ind w:right="60"/>
        <w:spacing w:after="0" w:line="300" w:lineRule="auto"/>
        <w:rPr>
          <w:sz w:val="20"/>
          <w:szCs w:val="20"/>
          <w:color w:val="auto"/>
        </w:rPr>
      </w:pPr>
      <w:r>
        <w:rPr>
          <w:rFonts w:ascii="Arial" w:cs="Arial" w:eastAsia="Arial" w:hAnsi="Arial"/>
          <w:sz w:val="16"/>
          <w:szCs w:val="16"/>
          <w:color w:val="auto"/>
        </w:rPr>
        <w:t>During the nine months ended May 31, 2007, the Company did not purchase or retire any shares of its common stock and no stock options were exercised. The Company granted stock bonuses under the Northern Technologies International Corporation 2000 Stock Incentive Plan for an aggregate of 37,245 shares of its common stock to various employees during the nine months ended May 31, 2007. The fair value of the shares of the Company’s common stock as of the date of grant of the stock bonuses was $298,330, based on the closing sale price of a share of the Company’s common stock on the date of grant.</w:t>
      </w:r>
    </w:p>
    <w:p>
      <w:pPr>
        <w:spacing w:after="0" w:line="15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5500" w:type="dxa"/>
            <w:vAlign w:val="bottom"/>
          </w:tcPr>
          <w:p>
            <w:pPr>
              <w:ind w:left="26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0"/>
        </w:trPr>
        <w:tc>
          <w:tcPr>
            <w:tcW w:w="5900" w:type="dxa"/>
            <w:vAlign w:val="bottom"/>
            <w:gridSpan w:val="2"/>
          </w:tcPr>
          <w:p>
            <w:pPr>
              <w:spacing w:after="0"/>
              <w:rPr>
                <w:sz w:val="20"/>
                <w:szCs w:val="20"/>
                <w:color w:val="auto"/>
              </w:rPr>
            </w:pPr>
            <w:r>
              <w:rPr>
                <w:rFonts w:ascii="Arial" w:cs="Arial" w:eastAsia="Arial" w:hAnsi="Arial"/>
                <w:sz w:val="18"/>
                <w:szCs w:val="18"/>
                <w:color w:val="auto"/>
              </w:rPr>
              <w:t>The Company’s total comprehensive income was as follows: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3"/>
        </w:trPr>
        <w:tc>
          <w:tcPr>
            <w:tcW w:w="40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40" w:type="dxa"/>
            <w:vAlign w:val="bottom"/>
            <w:gridSpan w:val="5"/>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0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rPr>
              <w:t>May 31,</w:t>
            </w:r>
          </w:p>
        </w:tc>
        <w:tc>
          <w:tcPr>
            <w:tcW w:w="2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99"/>
              <w:spacing w:after="0" w:line="119" w:lineRule="exact"/>
              <w:rPr>
                <w:sz w:val="20"/>
                <w:szCs w:val="20"/>
                <w:color w:val="auto"/>
              </w:rPr>
            </w:pPr>
            <w:r>
              <w:rPr>
                <w:rFonts w:ascii="Arial" w:cs="Arial" w:eastAsia="Arial" w:hAnsi="Arial"/>
                <w:sz w:val="13"/>
                <w:szCs w:val="13"/>
                <w:b w:val="1"/>
                <w:bCs w:val="1"/>
                <w:color w:val="auto"/>
              </w:rPr>
              <w:t>May 31,</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gridSpan w:val="2"/>
          </w:tcPr>
          <w:p>
            <w:pPr>
              <w:ind w:left="120"/>
              <w:spacing w:after="0" w:line="119" w:lineRule="exact"/>
              <w:rPr>
                <w:sz w:val="20"/>
                <w:szCs w:val="20"/>
                <w:color w:val="auto"/>
              </w:rPr>
            </w:pPr>
            <w:r>
              <w:rPr>
                <w:rFonts w:ascii="Arial" w:cs="Arial" w:eastAsia="Arial" w:hAnsi="Arial"/>
                <w:sz w:val="13"/>
                <w:szCs w:val="13"/>
                <w:b w:val="1"/>
                <w:bCs w:val="1"/>
                <w:color w:val="auto"/>
              </w:rPr>
              <w:t>May 31,</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9"/>
              <w:spacing w:after="0" w:line="119" w:lineRule="exact"/>
              <w:rPr>
                <w:sz w:val="20"/>
                <w:szCs w:val="20"/>
                <w:color w:val="auto"/>
              </w:rPr>
            </w:pPr>
            <w:r>
              <w:rPr>
                <w:rFonts w:ascii="Arial" w:cs="Arial" w:eastAsia="Arial" w:hAnsi="Arial"/>
                <w:sz w:val="13"/>
                <w:szCs w:val="13"/>
                <w:b w:val="1"/>
                <w:bCs w:val="1"/>
                <w:color w:val="auto"/>
              </w:rPr>
              <w:t>May 31,</w:t>
            </w:r>
          </w:p>
        </w:tc>
        <w:tc>
          <w:tcPr>
            <w:tcW w:w="100" w:type="dxa"/>
            <w:vAlign w:val="bottom"/>
          </w:tcPr>
          <w:p>
            <w:pPr>
              <w:spacing w:after="0"/>
              <w:rPr>
                <w:sz w:val="10"/>
                <w:szCs w:val="10"/>
                <w:color w:val="auto"/>
              </w:rPr>
            </w:pPr>
          </w:p>
        </w:tc>
      </w:tr>
      <w:tr>
        <w:trPr>
          <w:trHeight w:val="171"/>
        </w:trPr>
        <w:tc>
          <w:tcPr>
            <w:tcW w:w="400" w:type="dxa"/>
            <w:vAlign w:val="bottom"/>
            <w:tcBorders>
              <w:bottom w:val="single" w:sz="8" w:color="CCEEFF"/>
            </w:tcBorders>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2008</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CCEEFF"/>
            </w:tcBorders>
          </w:tcPr>
          <w:p>
            <w:pPr>
              <w:spacing w:after="0"/>
              <w:rPr>
                <w:sz w:val="14"/>
                <w:szCs w:val="14"/>
                <w:color w:val="auto"/>
              </w:rPr>
            </w:pPr>
          </w:p>
        </w:tc>
      </w:tr>
      <w:tr>
        <w:trPr>
          <w:trHeight w:val="209"/>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788,148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627,800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7"/>
              </w:rPr>
              <w:t>2,106,034</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2,066,227</w:t>
            </w:r>
          </w:p>
        </w:tc>
        <w:tc>
          <w:tcPr>
            <w:tcW w:w="100" w:type="dxa"/>
            <w:vAlign w:val="bottom"/>
            <w:shd w:val="clear" w:color="auto" w:fill="CCEEFF"/>
          </w:tcPr>
          <w:p>
            <w:pPr>
              <w:spacing w:after="0"/>
              <w:rPr>
                <w:sz w:val="18"/>
                <w:szCs w:val="18"/>
                <w:color w:val="auto"/>
              </w:rPr>
            </w:pPr>
          </w:p>
        </w:tc>
      </w:tr>
      <w:tr>
        <w:trPr>
          <w:trHeight w:val="215"/>
        </w:trPr>
        <w:tc>
          <w:tcPr>
            <w:tcW w:w="5900" w:type="dxa"/>
            <w:vAlign w:val="bottom"/>
            <w:gridSpan w:val="2"/>
          </w:tcPr>
          <w:p>
            <w:pPr>
              <w:spacing w:after="0"/>
              <w:rPr>
                <w:sz w:val="20"/>
                <w:szCs w:val="20"/>
                <w:color w:val="auto"/>
              </w:rPr>
            </w:pPr>
            <w:r>
              <w:rPr>
                <w:rFonts w:ascii="Arial" w:cs="Arial" w:eastAsia="Arial" w:hAnsi="Arial"/>
                <w:sz w:val="18"/>
                <w:szCs w:val="18"/>
                <w:color w:val="auto"/>
              </w:rPr>
              <w:t>Other comprehensive income – foreign currency translation adjustment</w:t>
            </w:r>
          </w:p>
        </w:tc>
        <w:tc>
          <w:tcPr>
            <w:tcW w:w="220" w:type="dxa"/>
            <w:vAlign w:val="bottom"/>
          </w:tcPr>
          <w:p>
            <w:pPr>
              <w:spacing w:after="0"/>
              <w:rPr>
                <w:sz w:val="18"/>
                <w:szCs w:val="18"/>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149,198</w:t>
            </w:r>
          </w:p>
        </w:tc>
        <w:tc>
          <w:tcPr>
            <w:tcW w:w="200" w:type="dxa"/>
            <w:vAlign w:val="bottom"/>
          </w:tcPr>
          <w:p>
            <w:pPr>
              <w:spacing w:after="0"/>
              <w:rPr>
                <w:sz w:val="18"/>
                <w:szCs w:val="18"/>
                <w:color w:val="auto"/>
              </w:rPr>
            </w:pPr>
          </w:p>
        </w:tc>
        <w:tc>
          <w:tcPr>
            <w:tcW w:w="1080" w:type="dxa"/>
            <w:vAlign w:val="bottom"/>
            <w:gridSpan w:val="2"/>
          </w:tcPr>
          <w:p>
            <w:pPr>
              <w:ind w:left="340"/>
              <w:spacing w:after="0"/>
              <w:rPr>
                <w:sz w:val="20"/>
                <w:szCs w:val="20"/>
                <w:color w:val="auto"/>
              </w:rPr>
            </w:pPr>
            <w:r>
              <w:rPr>
                <w:rFonts w:ascii="Arial" w:cs="Arial" w:eastAsia="Arial" w:hAnsi="Arial"/>
                <w:sz w:val="18"/>
                <w:szCs w:val="18"/>
                <w:color w:val="auto"/>
              </w:rPr>
              <w:t>202,075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w w:val="87"/>
              </w:rPr>
              <w:t>1,461,997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505,880</w:t>
            </w:r>
          </w:p>
        </w:tc>
      </w:tr>
      <w:tr>
        <w:trPr>
          <w:trHeight w:val="215"/>
        </w:trPr>
        <w:tc>
          <w:tcPr>
            <w:tcW w:w="5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937,346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829,875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3,568,031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2,572,107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197"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27"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71"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color w:val="auto"/>
        </w:rPr>
        <w:t>For the nine month period ending May 31, 2008, options to purchase an aggregate of 35,140 shares were excluded from common share equivalents due to the exercise prices of such options exceeding average market prices. No options to purchase shares of common stock were excluded from the computation of common share equivalents as of May 31, 2007, as all stock option exercise prices were less than the average market price of a share of common stock.</w:t>
      </w:r>
    </w:p>
    <w:p>
      <w:pPr>
        <w:spacing w:after="0" w:line="14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ectPr>
          <w:pgSz w:w="11900" w:h="16838" w:orient="portrait"/>
          <w:cols w:equalWidth="0" w:num="1">
            <w:col w:w="11460"/>
          </w:cols>
          <w:pgMar w:left="240" w:top="125" w:right="199" w:bottom="204" w:gutter="0" w:footer="0" w:header="0"/>
        </w:sectPr>
      </w:pPr>
    </w:p>
    <w:bookmarkStart w:id="6" w:name="page7"/>
    <w:bookmarkEnd w:id="6"/>
    <w:p>
      <w:pPr>
        <w:spacing w:after="0" w:line="274" w:lineRule="auto"/>
        <w:rPr>
          <w:sz w:val="20"/>
          <w:szCs w:val="20"/>
          <w:color w:val="auto"/>
        </w:rPr>
      </w:pPr>
      <w:r>
        <w:rPr>
          <w:rFonts w:ascii="Arial" w:cs="Arial" w:eastAsia="Arial" w:hAnsi="Arial"/>
          <w:sz w:val="17"/>
          <w:szCs w:val="17"/>
          <w:color w:val="auto"/>
        </w:rPr>
        <w:t>The Company accounts for stock-based compensation awards in accordance with the provisions of Statement of Financial Accounting Standards (SFAS)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During the nine months ended May 31, 2008, options were granted with an exercise price equal to the market price of the Company’s common stock on the date of grant. The options vest equally over a three-year period and have a five-year term. Compensation expense equal to the grant date fair value is recognized for these awards over the vesting period. Total compensation expense for options was $71,403 and $60,786 for the nine months ended May 31, 2008 and May 31, 2007, respectively.</w:t>
      </w:r>
    </w:p>
    <w:p>
      <w:pPr>
        <w:spacing w:after="0" w:line="17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is expected to exercise his or her options.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56"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2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May 31, 2008</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May 31, 2007</w:t>
            </w:r>
          </w:p>
        </w:tc>
        <w:tc>
          <w:tcPr>
            <w:tcW w:w="160" w:type="dxa"/>
            <w:vAlign w:val="bottom"/>
            <w:tcBorders>
              <w:bottom w:val="single" w:sz="8" w:color="CCEEFF"/>
            </w:tcBorders>
          </w:tcPr>
          <w:p>
            <w:pPr>
              <w:spacing w:after="0"/>
              <w:rPr>
                <w:sz w:val="14"/>
                <w:szCs w:val="14"/>
                <w:color w:val="auto"/>
              </w:rPr>
            </w:pPr>
          </w:p>
        </w:tc>
      </w:tr>
      <w:tr>
        <w:trPr>
          <w:trHeight w:val="209"/>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r>
      <w:tr>
        <w:trPr>
          <w:trHeight w:val="215"/>
        </w:trPr>
        <w:tc>
          <w:tcPr>
            <w:tcW w:w="520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42.2%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42.9%</w:t>
            </w:r>
          </w:p>
        </w:tc>
      </w:tr>
      <w:tr>
        <w:trPr>
          <w:trHeight w:val="215"/>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 years</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 years</w:t>
            </w: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Average risk-free interest rate</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3.62%</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4.67%</w:t>
            </w:r>
          </w:p>
        </w:tc>
      </w:tr>
    </w:tbl>
    <w:p>
      <w:pPr>
        <w:spacing w:after="0" w:line="186"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The weighted-average fair value of options granted during the quarters ended May 31, 2008 and May 31, 2007 was $3.84 per share and $2.95 per share,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720" w:hanging="712"/>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April 2007, REACT-NTI, LLC (“React LLC”), a company that is 75% owned by the Company, was served with a summons and complaint that was filed by Shamrock Technologies, Inc. (“Shamrock”) in state court in New York. This case has been removed to the Federal District Court for the Southern District of New York. The lawsuit seeks payment from React LLC of commissions in the approximate amount of $314,500 owed by React LLC under a license agreement between React LLC and Shamrock. The complaint alleges breach of the license agreement by React LLC and seeks damages in an unspecified amount for such breach as well as damages of approximately $300,000 for the alleged failure of React LLC to purchase from Shamrock certain inventory manufactured for sale to a customer. React LLC acknowledges that React LLC has not made payment for product in the approximate amount of $300,000 to Shamrock as the invoice for this was only received after Shamrock had already filed its complaint, but denies all of the claims of breach of the license agreement by it and believes that damages caused by Shamrock’s breach of the license agreement and tortious conduct exceed any amounts owing to Shamrock. React LLC formally responded to the complaint after removal by moving to dismiss or stay because of Shamrock’s failure to comply with alternative dispute resolution procedures contained in the license agreement. By court order, the matter is presently stayed so that the parties can attempt mediation. The parties mediated for one day and were unsuccessful in resolving the matter. Negotiations following the mediation have also been unproductive, and it appears that the stay will be lifted. Accordingly, React LLC will both defend against Shamrock’s allegations and pursue counterclaims against Shamrock for breach of the license agreement and for tortious interference. Because this matter is in the early stage, the Company cannot estimate the possible loss or range of loss, if any, associated with its resolution. However, there can be no assurance that the ultimate resolution of the matter will not result in a material adverse effect on the Company’s business, financial condition or results of operations.</w:t>
      </w:r>
    </w:p>
    <w:p>
      <w:pPr>
        <w:spacing w:after="0" w:line="176"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The Company is involved in a legal action in Finland whereby the Company sued a Finnish company for trademark infringement. Upon initiation of legal action, the courts seized the inventory of the Finnish company as contraband. The Company won the initial case, but subsequently lost on appeal. The Company is currently appealing the latest court decision. The outcome of the appeal is unknown and any potential loss cannot be estimated at this time; however, the potential judgment or any settlement resulting from the case could have a material impact on the financial position or results of operations of the Company due to claims against the Company related to expiration of inventory seized from the Finnish company. The Company has obtained a $600,000 stand-by letter of credit to potentially fund the Company’s obligations related to the courts in Finland against the defendant’s products that were seized as contraband. Advances made under the demand letter of credit will be made at the sole discretion of National City Bank and will be due and payable on demand. Any outstanding unpaid principal balance under the demand letter of credit bears interest at an annual rate based on LIBOR plus 2.25%. Interest is payable in arrears beginning on January 15, 2007 and on the 15th day of each month thereafter and on demand. Because the Company believes that it has valid legal grounds for appeal, it has determined that a loss is not probable at this time as defined by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However, there can be no assurance that the ultimate resolution of the matter will not result in a material adverse effect on the Company’s business, financial condition or results of operations.</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On June 11, 2008, the Company entered into an agreement to settle a lawsuit brought by Evelyna Cantwell and Jack Cantwell, individually, and also doing business as the principals of Byrd-Walsh International, LLC, against the Company and its former Chairman of the Board and Chief Executive Officer and current Chairman Emeritus, Philip M. Lynch. The lawsuit sought unspecified injunctive relief as well as compensatory and punitive damages in an unspecified amount which, based on the allegations of the complaint, may have been claimed by plaintiffs to be in an amount in excess of $45 million. Under the terms of the settlement agreement, the plaintiffs agreed to dismiss their claims with prejudice and to release the Company and Mr. Philip M. Lynch from any and all claims, in exchange for a cash payment from the Company of $41,340.</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Company is involved in various other legal actions arising in the normal course of business. Management is of the opinion that any judgment or settlement resulting from these pending or threatened actions would not have a material adverse effect on the Company’s business, financial condition or results of operations.</w:t>
      </w:r>
    </w:p>
    <w:p>
      <w:pPr>
        <w:spacing w:after="0" w:line="182"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color w:val="auto"/>
        </w:rPr>
        <w:t>In June 2007, the U.S. Internal Revenue Service concluded its audit of the Company’s U.S. federal income tax returns for fiscal 2004 and 2005. As a result of such audit, the Company paid the IRS approximately $25,000 in additional payroll taxes. The Company also agreed in principle with the IRS to adjustments that will result in the additional payment of approximately $60,000 in income tax and interest. As a result of the audit, the IRS has also taken the position that</w:t>
      </w:r>
    </w:p>
    <w:p>
      <w:pPr>
        <w:sectPr>
          <w:pgSz w:w="11900" w:h="16838" w:orient="portrait"/>
          <w:cols w:equalWidth="0" w:num="1">
            <w:col w:w="11420"/>
          </w:cols>
          <w:pgMar w:left="240" w:top="125" w:right="239" w:bottom="0" w:gutter="0" w:footer="0" w:header="0"/>
        </w:sectPr>
      </w:pPr>
    </w:p>
    <w:bookmarkStart w:id="7" w:name="page8"/>
    <w:bookmarkEnd w:id="7"/>
    <w:p>
      <w:pPr>
        <w:spacing w:after="0" w:line="5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Company failed to withhold and has assessed against the Company approximately $505,000 of payroll taxes and individual income taxes on travel and other expense reimbursements made to Philip M. Lynch, the Company’s former Chairman of the Board and Chief Executive Officer and current Chairman Emeritus, and commissions payments made to Inter Alia Holding Co. under that certain former Manufacturer’s Representative Agreement dated as of October 1, 1976 and as subsequently amended thereafter between the Company and Inter Alia, which agreement has since been terminated. Inter Alia beneficially owns approximately 24.9% of the Company’s outstanding common stock and Philip M. Lynch, the Company’s former Chairman of the Board and Chief Executive Officer and current Chairman Emeritus, and G. Patrick Lynch, the Company’s current President and Chief Executive Officer, are shareholders of Inter Alia. G. Patrick Lynch is also the son of Philip M. Lynch. The Company disagrees with the IRS’ position on withholding and is in the process of appealing the matter. Because the Company believes that it has valid legal grounds for appeal, it has determined that a loss is not probable at this time as defined by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However, there can be no assurance that the ultimate resolution of the matter will not result in a material adverse effect on the Company’s business, financial condition or results of operations.</w:t>
      </w:r>
    </w:p>
    <w:p>
      <w:pPr>
        <w:spacing w:after="0" w:line="183"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On November 16, 2007, the Company’s Board of Directors, upon recommendation of the Compensation Committee, approved the material terms of an annual bonus plan for executive officers and certain employees of the Company for fiscal year ending August 31, 2008, the purpose of which is to align the interests of the Company and its subsidiaries, executive officers and stockholders by providing an incentive for the achievement of key corporate and individual performance measures that are critical to the success of the Company and linking a significant portion of each executive officer’s annual compensation to the achievement of such measures. The following is a brief summary of the material terms approved by the Board:</w:t>
      </w:r>
    </w:p>
    <w:p>
      <w:pPr>
        <w:spacing w:after="0" w:line="175" w:lineRule="exact"/>
        <w:rPr>
          <w:sz w:val="20"/>
          <w:szCs w:val="20"/>
          <w:color w:val="auto"/>
        </w:rPr>
      </w:pPr>
    </w:p>
    <w:p>
      <w:pPr>
        <w:ind w:left="1300" w:right="580" w:hanging="325"/>
        <w:spacing w:after="0" w:line="275" w:lineRule="auto"/>
        <w:tabs>
          <w:tab w:leader="none" w:pos="12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up to 25% of the Company’s earnings before interest, taxes and other income (EBITOI) for the fiscal year ending August 31, 2008;</w:t>
      </w:r>
    </w:p>
    <w:p>
      <w:pPr>
        <w:spacing w:after="0" w:line="170" w:lineRule="exact"/>
        <w:rPr>
          <w:rFonts w:ascii="Arial" w:cs="Arial" w:eastAsia="Arial" w:hAnsi="Arial"/>
          <w:sz w:val="18"/>
          <w:szCs w:val="18"/>
          <w:color w:val="auto"/>
        </w:rPr>
      </w:pPr>
    </w:p>
    <w:p>
      <w:pPr>
        <w:ind w:left="1300" w:right="220" w:hanging="325"/>
        <w:spacing w:after="0" w:line="275" w:lineRule="auto"/>
        <w:tabs>
          <w:tab w:leader="none" w:pos="1264"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total amount available under the bonus plan will be $0 if EBITOI, as adjusted to take into account amounts to be paid under the bonus plan, fall below 70% of target EBITOI; and</w:t>
      </w:r>
    </w:p>
    <w:p>
      <w:pPr>
        <w:spacing w:after="0" w:line="170" w:lineRule="exact"/>
        <w:rPr>
          <w:rFonts w:ascii="Arial" w:cs="Arial" w:eastAsia="Arial" w:hAnsi="Arial"/>
          <w:sz w:val="18"/>
          <w:szCs w:val="18"/>
          <w:color w:val="auto"/>
        </w:rPr>
      </w:pPr>
    </w:p>
    <w:p>
      <w:pPr>
        <w:ind w:left="1300" w:right="180" w:hanging="325"/>
        <w:spacing w:after="0" w:line="285" w:lineRule="auto"/>
        <w:tabs>
          <w:tab w:leader="none" w:pos="1264" w:val="left"/>
        </w:tabs>
        <w:numPr>
          <w:ilvl w:val="1"/>
          <w:numId w:val="11"/>
        </w:numPr>
        <w:rPr>
          <w:rFonts w:ascii="Arial" w:cs="Arial" w:eastAsia="Arial" w:hAnsi="Arial"/>
          <w:sz w:val="17"/>
          <w:szCs w:val="17"/>
          <w:color w:val="auto"/>
        </w:rPr>
      </w:pPr>
      <w:r>
        <w:rPr>
          <w:rFonts w:ascii="Arial" w:cs="Arial" w:eastAsia="Arial" w:hAnsi="Arial"/>
          <w:sz w:val="17"/>
          <w:szCs w:val="17"/>
          <w:color w:val="auto"/>
        </w:rPr>
        <w:t>The payment of bonuses under the plan will be made in both cash and shares of the Company’s common stock, the exact amount and percentages of which will be determined by the Board, upon recommendation of the Compensation Committee, within a reasonable period of time after the completion of the Company’s financial statements for the fiscal year ending August 31, 2008.</w:t>
      </w:r>
    </w:p>
    <w:p>
      <w:pPr>
        <w:spacing w:after="0" w:line="159" w:lineRule="exact"/>
        <w:rPr>
          <w:rFonts w:ascii="Arial" w:cs="Arial" w:eastAsia="Arial" w:hAnsi="Arial"/>
          <w:sz w:val="17"/>
          <w:szCs w:val="17"/>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OF CASH FLOWS</w:t>
      </w:r>
    </w:p>
    <w:p>
      <w:pPr>
        <w:spacing w:after="0" w:line="22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The Company did not declare or pay any cash dividends during fiscal 2007 and as of July 11, 2008, had not declared or paid any cash dividends during fiscal 2008.</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 issued 33,595 and 37,245 shares of common stock as stock bonuses under its stock incentive plans to various employees to satisfy $334,270 and $298,330 of accrued payroll liability during the nine months ended May 31, 2008 and May 31, 2007, respectively.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OR PLAN OF OPERATION</w:t>
      </w: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headings “Forward-Looking Statements” and “Risk Factors” appearing elsewhere in this report. The following discussion of the results of the operations and financial condition of NTIC should be read in conjunction with NTIC’s consolidated financial statements and the related notes thereto included under Part I, Item 1 entitled “Financial Statements” of this report.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NTIC focuses on developing, marketing and selling proprietary environmentally responsible materials science based products and technical services directly and via a network of independent distributors, manufacturers’ representatives and joint ventures in over 50 countries. NTIC manufactures, markets and sells primarily rust and corrosion inhibiting products and services for automotive, electronics, electrical, mechanical and military applications, sold under the brand names Zerust® and EXCOR®. NTIC also offers direct, worldwide on-site technical support on rust and corrosion issues. In North America, NTIC markets its technical services and Zerust® products principally to industrial users by a direct sales force and through a network of independent distributors and sales representatives. NTIC’s technical service representatives work directly with the end users of NTIC’s products to analyze their specific needs and develop systems to meet their technical requirements.</w:t>
      </w:r>
    </w:p>
    <w:p>
      <w:pPr>
        <w:spacing w:after="0" w:line="17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In addition to Zerust® products and services, NTIC’s consolidated net sales in North America for the nine months ended May 31, 2008 included $204,998 in sales of NTIC’s Natur-Tec™ products, which are part of NTIC’s new biodegradable and compostable plastics line. Beginning in fiscal 2008, NTIC began manufacturing, test marketing and selling a broad range of bio-based and biodegradable (compostable) polymer resin compounds and products under the Natur-Tec™ brand. In recent years, a combination of market drivers, such as higher petroleum prices, a desire to reduce dependence on foreign oil, increased environmental awareness at the consumer level and favorable regulations banning the use of regular plastics, have led to widespread interest in sustainable, renewable resource-based and compostable alternatives to traditional plastics. Natur-Tec™ bio-based and biodegradable plastics are manufactured using NTIC’s patented and/or proprietary technologies and are intended to replace conventional petroleum-based plastics. The Natur-Tec™ bioplastics portfolio spans flexible film, foam, rigid injection molded materials and engineered plastics. Natur-Tec™ biodegradable and compostable finished products include shopping and grocery bags, lawn and leaf bags, can liners, pet waste collection bags, cutlery, packaging foam and coated paper products and are engineered to be fully biodegradable in a composting environment. Unlike competing plastic products claiming to be “degradable” or “oxo-degradable” that only break down into smaller plastic fragments, Natur-Tec™ products are designed to completely biodegrade within 180 days in accordance with the ASTM D6400 standard for compostable plastics and are certified 100 percent biodegradable and compostable by the Biodegradable Products Institute.</w:t>
      </w:r>
    </w:p>
    <w:p>
      <w:pPr>
        <w:spacing w:after="0" w:line="174" w:lineRule="exact"/>
        <w:rPr>
          <w:sz w:val="20"/>
          <w:szCs w:val="20"/>
          <w:color w:val="auto"/>
        </w:rPr>
      </w:pPr>
    </w:p>
    <w:p>
      <w:pPr>
        <w:ind w:right="160"/>
        <w:spacing w:after="0" w:line="340" w:lineRule="auto"/>
        <w:rPr>
          <w:sz w:val="20"/>
          <w:szCs w:val="20"/>
          <w:color w:val="auto"/>
        </w:rPr>
      </w:pPr>
      <w:r>
        <w:rPr>
          <w:rFonts w:ascii="Arial" w:cs="Arial" w:eastAsia="Arial" w:hAnsi="Arial"/>
          <w:sz w:val="16"/>
          <w:szCs w:val="16"/>
          <w:color w:val="auto"/>
        </w:rPr>
        <w:t>NTIC participates, either directly or indirectly through holding companies, in 29 corporate joint venture arrangements in North America, South America, Europe, Asia and the Middle East. Each of these joint ventures generally manufactures, markets and sells finished products in the geographic territory that it</w:t>
      </w:r>
    </w:p>
    <w:p>
      <w:pPr>
        <w:sectPr>
          <w:pgSz w:w="11900" w:h="16898" w:orient="portrait"/>
          <w:cols w:equalWidth="0" w:num="1">
            <w:col w:w="11420"/>
          </w:cols>
          <w:pgMar w:left="240" w:top="125" w:right="239" w:bottom="0" w:gutter="0" w:footer="0" w:header="0"/>
        </w:sectPr>
      </w:pPr>
    </w:p>
    <w:bookmarkStart w:id="8" w:name="page9"/>
    <w:bookmarkEnd w:id="8"/>
    <w:p>
      <w:pPr>
        <w:ind w:right="40"/>
        <w:spacing w:after="0" w:line="295" w:lineRule="auto"/>
        <w:rPr>
          <w:sz w:val="20"/>
          <w:szCs w:val="20"/>
          <w:color w:val="auto"/>
        </w:rPr>
      </w:pPr>
      <w:r>
        <w:rPr>
          <w:rFonts w:ascii="Arial" w:cs="Arial" w:eastAsia="Arial" w:hAnsi="Arial"/>
          <w:sz w:val="16"/>
          <w:szCs w:val="16"/>
          <w:color w:val="auto"/>
        </w:rPr>
        <w:t>is assigned. NTIC’s joint venture partners are knowledgeable in the applicable environmental, labor, tax and other requisite regulations and laws of the respective foreign countries in which they operate, as well as the local customs and business practices. While most of NTIC’s joint ventures currently sell rust and corrosion inhibiting products and custom packaging systems, NTIC also has joint ventures that manufacture, market and sell or intend to manufacture, market or sell bio-based additives with both industrial and personal care applications, machinery that converts waste plastics into diesel, gasoline and mid-distillates, and electronic sensing instruments. NTIC categorizes its joint ventures into two principal areas: industrial chemical and non-industrial chemical.</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In an effort to increase net sales, NTIC is in the process of expanding its product line to include biodegradable and compostable plastics and machinery that converts waste plastics into diesel, gasoline and mid-distillates and the application of its corrosion inhibiting technology into the oil and gas industry. During fiscal 2008, NTIC expects to invest an aggregate of $2,800,000 to $3,100,000 in additional research and development and marketing efforts and resources into these emerging businesses, product lines and markets. During the first nine months of fiscal 2008, NTIC invested $2,258,931 in additional research and development and marketing efforts and resources into these emerging businesses, product lines and markets. These costs are included in expenses incurred in support of joint ventures. Although NTIC recognized $204,998 in sales of Natur-Tec™ for the nine months ended May 31, 2008, no assurance can be provided that such new businesses will be successful or that NTIC will be successful in obtaining additional revenue.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7"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NTIC’s consolidated net sales in North America decreased 26.3% during the nine months ended May 31, 2008 compared to the nine months ended May 31, 2007, primarily as a result of the anticipated loss of its React-NTI, LLC subsidiary’s most significant customer, partially offset by an increase in demand for NTIC’s Zerust® products and sales of its new Natur-Tec™ products. As previously disclosed by NTIC, the sales of React-NTI included in NTIC’s consolidated net sales historically have consisted almost entirely of sales by React Inc., a 100% owned subsidiary of React-NTI, of proprietary ink additives to one customer. During fourth quarter of fiscal 2007, this single customer notified React Inc. of the customer’s intent to purchase React’s remaining inventory of ink additives, but that after such inventory was depleted, the customer would not place any future orders with React Inc. React-NTI had consolidated sales of $291,668 in the nine months ended May 31, 2008 compared to sales of $4,076,784 in the nine months ended May 31, 2007. The vast majority of such sales by React-NTI were from React Inc., which had sales of $248,160 during the nine months ended May 31, 2008 compared to sales of $4,025,160 during the nine months ended May 31, 2007. NTIC anticipates React Inc. will have no additional sales after the nine months ended May 31, 2008. Accordingly, the loss of React’s sole customer has had and is expected to continue to have a material adverse impact on NTIC’s consolidated net sales. However, since the profit on React’s sales of the ink additives to this customer was extremely small, the effect on NTIC’s net income during the nine months ended May 31, 2008 was not material and NTIC does not expect that the anticipated continued decrease in net sales by React will have a material adverse effect on NTIC’s future consolidated net income.</w:t>
      </w:r>
    </w:p>
    <w:p>
      <w:pPr>
        <w:spacing w:after="0" w:line="184" w:lineRule="exact"/>
        <w:rPr>
          <w:sz w:val="20"/>
          <w:szCs w:val="20"/>
          <w:color w:val="auto"/>
        </w:rPr>
      </w:pPr>
    </w:p>
    <w:p>
      <w:pPr>
        <w:ind w:right="140"/>
        <w:spacing w:after="0" w:line="300" w:lineRule="auto"/>
        <w:rPr>
          <w:sz w:val="20"/>
          <w:szCs w:val="20"/>
          <w:color w:val="auto"/>
        </w:rPr>
      </w:pPr>
      <w:r>
        <w:rPr>
          <w:rFonts w:ascii="Arial" w:cs="Arial" w:eastAsia="Arial" w:hAnsi="Arial"/>
          <w:sz w:val="16"/>
          <w:szCs w:val="16"/>
          <w:color w:val="auto"/>
        </w:rPr>
        <w:t>Despite the decrease in NTIC’s consolidated net sales in North America, sales of NTIC’s rust and corrosion inhibiting products in North America increased slightly during the nine months ended May 31, 2008 compared to the same period in fiscal 2007. Net sales of NTIC’s Zerust® products increased 2.2% or $188,213 to $9,021,496 during the nine months ended May 31, 2008 compared to $8,833,283 during the nine months ended May 31, 2007. Additionally, NTIC’s consolidated net sales in North America during the nine months ended May 31, 2008 included $204,998 from sales of NTIC’s Natur-Tec™ products.</w:t>
      </w:r>
    </w:p>
    <w:p>
      <w:pPr>
        <w:spacing w:after="0" w:line="15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international business has expanded significantly during the past several fiscal years. Total net sales of all of NTIC’s joint ventures increased 34.8% to $79,893,753 during the nine months ended May 31, 2008 compared to $59,265,028 during the nine months ended May 31, 2007. The profits of NTIC’s corporate joint ventures are shared, however, by the respective corporate joint venture owners in accordance with their respective ownership percentages. In addition, NTIC’s receipt of funds as a result of sales by its joint ventures is dependent upon NTIC’s receipt of dividend distributions from the joint ventures and NTIC’s receipt of fees for technical and other support services that NTIC provides to its joint ventures based on the revenues of the joint ventures. NTIC typically owns 50% or less of its joint venture entities and thus does not control the decisions of these entities regarding whether and how much dividends should be paid in any given year. NTIC’s income from its corporate joint ventures and holding companies increased 87.1% to $3,880,352 for the nine months ended May 31, 2008 compared to $2,073,994 for the nine months ended May 31, 2007.</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NTIC sold its 50% ownership interest in its industrial chemical joint venture in Austria during the nine months ended May 31, 2008 for $364,000. NTIC’s industrial chemical joint venture in Germany purchased NTIC’s 50% Austrian joint venture interest and has consolidated the joint venture into its existing business. NTIC’s German joint venture will service the territory and customers of the former Austrian venture in addition to its own territory and customers. NTIC recorded a gain on the sale of its Austrian joint venture ownership interest of $172,767, as NTIC determined that its interest in the Austrian joint venture entity was non-controlling.</w:t>
      </w:r>
    </w:p>
    <w:p>
      <w:pPr>
        <w:spacing w:after="0" w:line="191" w:lineRule="exact"/>
        <w:rPr>
          <w:sz w:val="20"/>
          <w:szCs w:val="20"/>
          <w:color w:val="auto"/>
        </w:rPr>
      </w:pPr>
    </w:p>
    <w:p>
      <w:pPr>
        <w:jc w:val="both"/>
        <w:ind w:right="300"/>
        <w:spacing w:after="0" w:line="285" w:lineRule="auto"/>
        <w:rPr>
          <w:sz w:val="20"/>
          <w:szCs w:val="20"/>
          <w:color w:val="auto"/>
        </w:rPr>
      </w:pPr>
      <w:r>
        <w:rPr>
          <w:rFonts w:ascii="Arial" w:cs="Arial" w:eastAsia="Arial" w:hAnsi="Arial"/>
          <w:sz w:val="17"/>
          <w:szCs w:val="17"/>
          <w:color w:val="auto"/>
        </w:rPr>
        <w:t>Cost of goods sold as a percentage of net sales decreased to 60.6% for the nine months ended May 31, 2008 compared to 64.1% for the nine months ended May 31, 2007 primarily as a result of the significant decrease of React Inc. sales during the nine months ended May 31, 2008 compared to the same period during fiscal 2007, which sales were sold at lower margins than NTIC’s Zerust® and Natur-Tec™ products.</w:t>
      </w:r>
    </w:p>
    <w:p>
      <w:pPr>
        <w:spacing w:after="0" w:line="164" w:lineRule="exact"/>
        <w:rPr>
          <w:sz w:val="20"/>
          <w:szCs w:val="20"/>
          <w:color w:val="auto"/>
        </w:rPr>
      </w:pPr>
    </w:p>
    <w:p>
      <w:pPr>
        <w:ind w:right="40"/>
        <w:spacing w:after="0" w:line="278" w:lineRule="auto"/>
        <w:rPr>
          <w:sz w:val="20"/>
          <w:szCs w:val="20"/>
          <w:color w:val="auto"/>
        </w:rPr>
      </w:pPr>
      <w:r>
        <w:rPr>
          <w:rFonts w:ascii="Arial" w:cs="Arial" w:eastAsia="Arial" w:hAnsi="Arial"/>
          <w:sz w:val="17"/>
          <w:szCs w:val="17"/>
          <w:color w:val="auto"/>
        </w:rPr>
        <w:t>Net income increased 1.9% to $2,106,034, or $0.56 per diluted common share, for the nine months ended May 31, 2008 compared to $2,066,227, or $0.56 per diluted common share, for the nine months ended May 31, 2007. Net income for the nine months ended May 31, 2007 included the impact of a one-time gain on sale of assets of $724,495 and thus excluding the impact of the one-time gain, the percentage increase in net income for the nine months ended May 31, 2008 compared to the same period in during fiscal 2007 would have been significantly higher.</w:t>
      </w:r>
    </w:p>
    <w:p>
      <w:pPr>
        <w:spacing w:after="0" w:line="170"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NTIC’s working capital was $5,398,182 at May 31, 2008, including $418,994 in cash and cash equivalents. As of May 31, 2008, NTIC did not have any borrowings under its $2,300,000 demand line of credit.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NTIC elected not to pay a cash dividend to its stockholders in fiscal 2007 or thus far in fiscal 2008 in order to preserve cash and make investments in future operations. NTIC expects to meet its future liquidity requirements during at least the next 12 months by using its existing cash and cash equivalents, forecasted cash flows from future operations, anticipated distributions of earnings and technical assistance fees to NTIC from its joint venture investments and funds available through existing or anticipated financing arrangements. In order to take advantage of new product and market opportunities to expand its business and increase its revenues, NTIC may decide to finance such opportunities by borrowing under its line of credit or raising additional financing through the issuance of debt or equity securities.</w:t>
      </w:r>
    </w:p>
    <w:p>
      <w:pPr>
        <w:sectPr>
          <w:pgSz w:w="11900" w:h="16838" w:orient="portrait"/>
          <w:cols w:equalWidth="0" w:num="1">
            <w:col w:w="11400"/>
          </w:cols>
          <w:pgMar w:left="240" w:top="125" w:right="25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results of operations for the three months ended May 31, 2008 and May 31,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Three Months</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14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Three Months</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9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3"/>
              </w:rPr>
              <w:t>Ended</w:t>
            </w: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93"/>
              </w:rPr>
              <w:t>Ended</w:t>
            </w: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May 31, 2008</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May 31, 2007</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3,269,721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4,407,798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(1,138,077)</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2,059,855</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2,876,012</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65.3%</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(816,157)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799,949</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24.5%</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887,014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(87,065)</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702,592</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21.5%</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608,104</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13.8%</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94,488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32,631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46,941</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(14,310)</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3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1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following table sets forth NTIC’s results of operations for the nine months ended</w:t>
      </w:r>
      <w:r>
        <w:rPr>
          <w:rFonts w:ascii="Arial" w:cs="Arial" w:eastAsia="Arial" w:hAnsi="Arial"/>
          <w:sz w:val="18"/>
          <w:szCs w:val="18"/>
          <w:color w:val="auto"/>
        </w:rPr>
        <w:t xml:space="preserve"> May 31, 2008 and May 31,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1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Nine Months</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4"/>
                <w:szCs w:val="14"/>
                <w:color w:val="auto"/>
              </w:rPr>
            </w:pPr>
          </w:p>
        </w:tc>
        <w:tc>
          <w:tcPr>
            <w:tcW w:w="92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90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3"/>
              </w:rPr>
              <w:t>Ended</w:t>
            </w:r>
          </w:p>
        </w:tc>
        <w:tc>
          <w:tcPr>
            <w:tcW w:w="11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380"/>
              <w:spacing w:after="0" w:line="148" w:lineRule="exact"/>
              <w:rPr>
                <w:sz w:val="20"/>
                <w:szCs w:val="20"/>
                <w:color w:val="auto"/>
              </w:rPr>
            </w:pPr>
            <w:r>
              <w:rPr>
                <w:rFonts w:ascii="Arial" w:cs="Arial" w:eastAsia="Arial" w:hAnsi="Arial"/>
                <w:sz w:val="14"/>
                <w:szCs w:val="14"/>
                <w:b w:val="1"/>
                <w:bCs w:val="1"/>
                <w:color w:val="auto"/>
                <w:w w:val="93"/>
              </w:rPr>
              <w:t>Ended</w:t>
            </w: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3"/>
              </w:rPr>
              <w:t>May 31, 2008</w:t>
            </w:r>
          </w:p>
        </w:tc>
        <w:tc>
          <w:tcPr>
            <w:tcW w:w="22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5"/>
              </w:rPr>
              <w:t>May 31, 2007</w:t>
            </w:r>
          </w:p>
        </w:tc>
        <w:tc>
          <w:tcPr>
            <w:tcW w:w="2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9,518,162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12,910,067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(3,391,905)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5,763,500</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8,280,131</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64.1%</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(2,516,631)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Selling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2,413,895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2,466,218</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(52,323)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362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2,545,414</w:t>
            </w:r>
          </w:p>
        </w:tc>
        <w:tc>
          <w:tcPr>
            <w:tcW w:w="2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26.7%</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2,235,276</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17.3%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310,138</w:t>
            </w: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5"/>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Lab and technical support expenses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143,375</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177,316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(33,941)</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NTIC’s net sales originating in the United States decreased during the three and nine months ended May 31, 2008 compared to the same respective</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in fiscal 2007 primarily as a result of the loss of the principal customer of React Inc., partially offset by a slight increase in demand for Zerust® products sold to existing and new customers and sales of Natur-Tec™ products in the fiscal 2008 periods.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for the three months ended May 31, 2008 and May 31,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Three Months</w:t>
            </w:r>
          </w:p>
        </w:tc>
        <w:tc>
          <w:tcPr>
            <w:tcW w:w="280" w:type="dxa"/>
            <w:vAlign w:val="bottom"/>
          </w:tcPr>
          <w:p>
            <w:pPr>
              <w:spacing w:after="0"/>
              <w:rPr>
                <w:sz w:val="14"/>
                <w:szCs w:val="14"/>
                <w:color w:val="auto"/>
              </w:rPr>
            </w:pPr>
          </w:p>
        </w:tc>
        <w:tc>
          <w:tcPr>
            <w:tcW w:w="108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480" w:type="dxa"/>
            <w:vAlign w:val="bottom"/>
            <w:gridSpan w:val="2"/>
          </w:tcPr>
          <w:p>
            <w:pPr>
              <w:jc w:val="center"/>
              <w:ind w:right="440"/>
              <w:spacing w:after="0" w:line="148"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May 31, 2008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3"/>
              </w:rPr>
              <w:t>May 31, 2007</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3,167,431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3,116,681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50,750</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 xml:space="preserve">Natur-Tec™ </w:t>
            </w:r>
            <w:r>
              <w:rPr>
                <w:rFonts w:ascii="Arial" w:cs="Arial" w:eastAsia="Arial" w:hAnsi="Arial"/>
                <w:sz w:val="17"/>
                <w:szCs w:val="17"/>
                <w:color w:val="auto"/>
              </w:rPr>
              <w:t>sales</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102,290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102,290</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1,291,117</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(1,291,117)</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Total North American net sales</w:t>
            </w: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3,269,721</w:t>
            </w:r>
          </w:p>
        </w:tc>
        <w:tc>
          <w:tcPr>
            <w:tcW w:w="300" w:type="dxa"/>
            <w:vAlign w:val="bottom"/>
            <w:vMerge w:val="continue"/>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4,407,798</w:t>
            </w:r>
          </w:p>
        </w:tc>
        <w:tc>
          <w:tcPr>
            <w:tcW w:w="28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(1,138,077)</w:t>
            </w:r>
          </w:p>
        </w:tc>
        <w:tc>
          <w:tcPr>
            <w:tcW w:w="280" w:type="dxa"/>
            <w:vAlign w:val="bottom"/>
            <w:vMerge w:val="continue"/>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7"/>
          <w:szCs w:val="17"/>
          <w:color w:val="auto"/>
        </w:rPr>
        <w:t>following table sets forth NTIC’s net sales for the nine months ended</w:t>
      </w:r>
      <w:r>
        <w:rPr>
          <w:rFonts w:ascii="Arial" w:cs="Arial" w:eastAsia="Arial" w:hAnsi="Arial"/>
          <w:sz w:val="18"/>
          <w:szCs w:val="18"/>
          <w:color w:val="auto"/>
        </w:rPr>
        <w:t xml:space="preserve"> May 31, 2008 and May 31, 2007.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Nine Months</w:t>
            </w: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Nine Months</w:t>
            </w:r>
          </w:p>
        </w:tc>
        <w:tc>
          <w:tcPr>
            <w:tcW w:w="280" w:type="dxa"/>
            <w:vAlign w:val="bottom"/>
          </w:tcPr>
          <w:p>
            <w:pPr>
              <w:spacing w:after="0"/>
              <w:rPr>
                <w:sz w:val="14"/>
                <w:szCs w:val="14"/>
                <w:color w:val="auto"/>
              </w:rPr>
            </w:pPr>
          </w:p>
        </w:tc>
        <w:tc>
          <w:tcPr>
            <w:tcW w:w="1080" w:type="dxa"/>
            <w:vAlign w:val="bottom"/>
            <w:vMerge w:val="restart"/>
          </w:tcPr>
          <w:p>
            <w:pPr>
              <w:jc w:val="right"/>
              <w:ind w:right="55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360" w:type="dxa"/>
            <w:vAlign w:val="bottom"/>
            <w:vMerge w:val="restart"/>
          </w:tcPr>
          <w:p>
            <w:pPr>
              <w:jc w:val="right"/>
              <w:ind w:right="516"/>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2"/>
          </w:tcPr>
          <w:p>
            <w:pPr>
              <w:jc w:val="center"/>
              <w:ind w:right="500"/>
              <w:spacing w:after="0" w:line="148" w:lineRule="exact"/>
              <w:rPr>
                <w:sz w:val="20"/>
                <w:szCs w:val="20"/>
                <w:color w:val="auto"/>
              </w:rPr>
            </w:pPr>
            <w:r>
              <w:rPr>
                <w:rFonts w:ascii="Arial" w:cs="Arial" w:eastAsia="Arial" w:hAnsi="Arial"/>
                <w:sz w:val="14"/>
                <w:szCs w:val="14"/>
                <w:b w:val="1"/>
                <w:bCs w:val="1"/>
                <w:color w:val="auto"/>
                <w:w w:val="93"/>
              </w:rPr>
              <w:t>Ended</w:t>
            </w: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5"/>
              </w:rPr>
              <w:t>May 31, 2008</w:t>
            </w:r>
          </w:p>
        </w:tc>
        <w:tc>
          <w:tcPr>
            <w:tcW w:w="3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3"/>
              </w:rPr>
              <w:t>May 31, 2007</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Zerust® sales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9,021,496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8,833,283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188,213</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5"/>
        </w:trPr>
        <w:tc>
          <w:tcPr>
            <w:tcW w:w="4060" w:type="dxa"/>
            <w:vAlign w:val="bottom"/>
          </w:tcPr>
          <w:p>
            <w:pPr>
              <w:spacing w:after="0"/>
              <w:rPr>
                <w:sz w:val="20"/>
                <w:szCs w:val="20"/>
                <w:color w:val="auto"/>
              </w:rPr>
            </w:pPr>
            <w:r>
              <w:rPr>
                <w:rFonts w:ascii="Arial" w:cs="Arial" w:eastAsia="Arial" w:hAnsi="Arial"/>
                <w:sz w:val="18"/>
                <w:szCs w:val="18"/>
                <w:color w:val="auto"/>
              </w:rPr>
              <w:t xml:space="preserve">Natur-Tec™ </w:t>
            </w:r>
            <w:r>
              <w:rPr>
                <w:rFonts w:ascii="Arial" w:cs="Arial" w:eastAsia="Arial" w:hAnsi="Arial"/>
                <w:sz w:val="17"/>
                <w:szCs w:val="17"/>
                <w:color w:val="auto"/>
              </w:rPr>
              <w:t>sales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204,998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204,998</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React-NTI sales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291,668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4,076,784</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(3,785,116)</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Total North American net sales</w:t>
            </w: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06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9,518,162</w:t>
            </w:r>
          </w:p>
        </w:tc>
        <w:tc>
          <w:tcPr>
            <w:tcW w:w="300" w:type="dxa"/>
            <w:vAlign w:val="bottom"/>
            <w:vMerge w:val="continue"/>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12,910,067</w:t>
            </w:r>
          </w:p>
        </w:tc>
        <w:tc>
          <w:tcPr>
            <w:tcW w:w="280" w:type="dxa"/>
            <w:vAlign w:val="bottom"/>
            <w:vMerge w:val="continue"/>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(3,391,905)</w:t>
            </w:r>
          </w:p>
        </w:tc>
        <w:tc>
          <w:tcPr>
            <w:tcW w:w="280" w:type="dxa"/>
            <w:vAlign w:val="bottom"/>
            <w:vMerge w:val="continue"/>
          </w:tcPr>
          <w:p>
            <w:pPr>
              <w:spacing w:after="0"/>
              <w:rPr>
                <w:sz w:val="19"/>
                <w:szCs w:val="19"/>
                <w:color w:val="auto"/>
              </w:rPr>
            </w:pP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bl>
    <w:p>
      <w:pPr>
        <w:spacing w:after="0" w:line="186" w:lineRule="exact"/>
        <w:rPr>
          <w:sz w:val="20"/>
          <w:szCs w:val="20"/>
          <w:color w:val="auto"/>
        </w:rPr>
      </w:pPr>
    </w:p>
    <w:p>
      <w:pPr>
        <w:ind w:right="60"/>
        <w:spacing w:after="0" w:line="285" w:lineRule="auto"/>
        <w:rPr>
          <w:sz w:val="20"/>
          <w:szCs w:val="20"/>
          <w:color w:val="auto"/>
        </w:rPr>
      </w:pPr>
      <w:r>
        <w:rPr>
          <w:rFonts w:ascii="Arial" w:cs="Arial" w:eastAsia="Arial" w:hAnsi="Arial"/>
          <w:sz w:val="17"/>
          <w:szCs w:val="17"/>
          <w:i w:val="1"/>
          <w:iCs w:val="1"/>
          <w:color w:val="auto"/>
        </w:rPr>
        <w:t>Cost of Goods Sold</w:t>
      </w:r>
      <w:r>
        <w:rPr>
          <w:rFonts w:ascii="Arial" w:cs="Arial" w:eastAsia="Arial" w:hAnsi="Arial"/>
          <w:sz w:val="17"/>
          <w:szCs w:val="17"/>
          <w:color w:val="auto"/>
        </w:rPr>
        <w:t>. Cost of goods sold decreased as a percentage of net sales for the three and nine months ended May 31, 2008,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 periods in fiscal 2007 primarily as a result of the significant decrease in React Inc. sales which were sold at significantly lower margins than NTIC’s Zerust® products, combined with a slight reduction in the gross margin achieved on the core NTIC’s Zerust® products in North America.</w:t>
      </w:r>
    </w:p>
    <w:p>
      <w:pPr>
        <w:spacing w:after="0" w:line="164"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decreased for the three months ended May 31, 2008 compared to the same period in fiscal 2007 primarily as a</w:t>
      </w:r>
      <w:r>
        <w:rPr>
          <w:rFonts w:ascii="Arial" w:cs="Arial" w:eastAsia="Arial" w:hAnsi="Arial"/>
          <w:sz w:val="16"/>
          <w:szCs w:val="16"/>
          <w:i w:val="1"/>
          <w:iCs w:val="1"/>
          <w:color w:val="auto"/>
        </w:rPr>
        <w:t xml:space="preserve"> </w:t>
      </w:r>
      <w:r>
        <w:rPr>
          <w:rFonts w:ascii="Arial" w:cs="Arial" w:eastAsia="Arial" w:hAnsi="Arial"/>
          <w:sz w:val="16"/>
          <w:szCs w:val="16"/>
          <w:color w:val="auto"/>
        </w:rPr>
        <w:t>result of decreases in travel and related expenses associated with the discontinuation of sales by React Inc as noted above. Selling expenses decreased for the nine months ended May 31, 2008 by a negligible amount compared to the same period in fiscal 2007. Selling expenses as a percentage of net sales for the three and nine month periods increased significantly compared to same respective periods in fiscal 2007 due to the decrease in React Inc. sales.</w:t>
      </w:r>
    </w:p>
    <w:p>
      <w:pPr>
        <w:spacing w:after="0" w:line="15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for the three and nine months ended May 31, 2008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same respective periods in fiscal 2007. The increase for the nine-month period was primarily a result of increases in (i) audit and tax expense of $141,000 and</w:t>
      </w:r>
    </w:p>
    <w:p>
      <w:pPr>
        <w:ind w:right="160" w:firstLine="8"/>
        <w:spacing w:after="0" w:line="276" w:lineRule="auto"/>
        <w:tabs>
          <w:tab w:leader="none" w:pos="264" w:val="left"/>
        </w:tabs>
        <w:numPr>
          <w:ilvl w:val="0"/>
          <w:numId w:val="12"/>
        </w:numPr>
        <w:rPr>
          <w:rFonts w:ascii="Arial" w:cs="Arial" w:eastAsia="Arial" w:hAnsi="Arial"/>
          <w:sz w:val="17"/>
          <w:szCs w:val="17"/>
          <w:color w:val="auto"/>
        </w:rPr>
      </w:pPr>
      <w:r>
        <w:rPr>
          <w:rFonts w:ascii="Arial" w:cs="Arial" w:eastAsia="Arial" w:hAnsi="Arial"/>
          <w:sz w:val="17"/>
          <w:szCs w:val="17"/>
          <w:color w:val="auto"/>
        </w:rPr>
        <w:t>salary and benefits expenses of $60,000, partially offset by a decrease in insurance expense of $40,000. The increase for the three-month period was primarily the result of increases in the same types of expenses associated with the nine-month period. As a percentage of net sales, general and administrative expenses increased significantly compared to same respective periods in fiscal 2007 due to the decrease in React Inc. net sales.</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NTIC includes expenses in general and administrative expenses that provide benefit to the various joint ventures in addition to providing benefit to NTIC’s North American operations, including specifically, expenses associated with information technology, general insurance, salary and benefits, building expenses, audit and tax and directors fees.</w:t>
      </w:r>
    </w:p>
    <w:p>
      <w:pPr>
        <w:spacing w:after="0" w:line="182" w:lineRule="exact"/>
        <w:rPr>
          <w:sz w:val="20"/>
          <w:szCs w:val="20"/>
          <w:color w:val="auto"/>
        </w:rPr>
      </w:pPr>
    </w:p>
    <w:p>
      <w:pPr>
        <w:ind w:right="140"/>
        <w:spacing w:after="0" w:line="340" w:lineRule="auto"/>
        <w:rPr>
          <w:sz w:val="20"/>
          <w:szCs w:val="20"/>
          <w:color w:val="auto"/>
        </w:rPr>
      </w:pPr>
      <w:r>
        <w:rPr>
          <w:rFonts w:ascii="Arial" w:cs="Arial" w:eastAsia="Arial" w:hAnsi="Arial"/>
          <w:sz w:val="16"/>
          <w:szCs w:val="16"/>
          <w:i w:val="1"/>
          <w:iCs w:val="1"/>
          <w:color w:val="auto"/>
        </w:rPr>
        <w:t>Lab and Technical Support Expenses</w:t>
      </w:r>
      <w:r>
        <w:rPr>
          <w:rFonts w:ascii="Arial" w:cs="Arial" w:eastAsia="Arial" w:hAnsi="Arial"/>
          <w:sz w:val="16"/>
          <w:szCs w:val="16"/>
          <w:color w:val="auto"/>
        </w:rPr>
        <w:t>. NTIC’s lab and technical support expenses decreased by a negligible amount for the three months ended May 31, 2008</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fiscal 2007 and decreased for the nine months ended May 31, 2008 compared to the same period in fiscal 2007. As a</w:t>
      </w:r>
    </w:p>
    <w:p>
      <w:pPr>
        <w:sectPr>
          <w:pgSz w:w="11900" w:h="16838" w:orient="portrait"/>
          <w:cols w:equalWidth="0" w:num="1">
            <w:col w:w="11460"/>
          </w:cols>
          <w:pgMar w:left="240" w:top="336" w:right="199" w:bottom="0" w:gutter="0" w:footer="0" w:header="0"/>
        </w:sectPr>
      </w:pPr>
    </w:p>
    <w:bookmarkStart w:id="10" w:name="page11"/>
    <w:bookmarkEnd w:id="10"/>
    <w:p>
      <w:pPr>
        <w:ind w:right="20"/>
        <w:spacing w:after="0" w:line="275" w:lineRule="auto"/>
        <w:rPr>
          <w:sz w:val="20"/>
          <w:szCs w:val="20"/>
          <w:color w:val="auto"/>
        </w:rPr>
      </w:pPr>
      <w:r>
        <w:rPr>
          <w:rFonts w:ascii="Arial" w:cs="Arial" w:eastAsia="Arial" w:hAnsi="Arial"/>
          <w:sz w:val="18"/>
          <w:szCs w:val="18"/>
          <w:color w:val="auto"/>
        </w:rPr>
        <w:t>percentage of net sales, lab and technical support expenses increased slightly during the three and nine months ended May 31, 2008 compared to same periods in fiscal 2007.</w:t>
      </w:r>
    </w:p>
    <w:p>
      <w:pPr>
        <w:spacing w:after="0" w:line="171"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i w:val="1"/>
          <w:iCs w:val="1"/>
          <w:color w:val="auto"/>
        </w:rPr>
        <w:t>International Corporate Joint Ventures and Holding Companies</w:t>
      </w:r>
      <w:r>
        <w:rPr>
          <w:rFonts w:ascii="Arial" w:cs="Arial" w:eastAsia="Arial" w:hAnsi="Arial"/>
          <w:sz w:val="18"/>
          <w:szCs w:val="18"/>
          <w:color w:val="auto"/>
        </w:rPr>
        <w:t>. Net sales of NTIC’s corporate joint ventures for the three and nine months ended May 31,</w:t>
      </w:r>
      <w:r>
        <w:rPr>
          <w:rFonts w:ascii="Arial" w:cs="Arial" w:eastAsia="Arial" w:hAnsi="Arial"/>
          <w:sz w:val="18"/>
          <w:szCs w:val="18"/>
          <w:i w:val="1"/>
          <w:iCs w:val="1"/>
          <w:color w:val="auto"/>
        </w:rPr>
        <w:t xml:space="preserve"> </w:t>
      </w:r>
      <w:r>
        <w:rPr>
          <w:rFonts w:ascii="Arial" w:cs="Arial" w:eastAsia="Arial" w:hAnsi="Arial"/>
          <w:sz w:val="18"/>
          <w:szCs w:val="18"/>
          <w:color w:val="auto"/>
        </w:rPr>
        <w:t>2008 and May 31, 2007, excluding React-NTI LLC,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Three Months</w:t>
            </w:r>
          </w:p>
        </w:tc>
        <w:tc>
          <w:tcPr>
            <w:tcW w:w="16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5"/>
              </w:rPr>
              <w:t>May 31, 2008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May 31, 2007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30,419,909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19,457,194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10,962,715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Non-industrial chemical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382,723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535,785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(153,062)</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181"/>
        </w:trPr>
        <w:tc>
          <w:tcPr>
            <w:tcW w:w="37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w w:val="97"/>
              </w:rPr>
              <w:t>Total International Corporate Joint Ventures and</w:t>
            </w: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Companies sales</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30,802,632</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19,992,979</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10,809,653</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340"/>
        </w:trPr>
        <w:tc>
          <w:tcPr>
            <w:tcW w:w="3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Nine Months</w:t>
            </w:r>
          </w:p>
        </w:tc>
        <w:tc>
          <w:tcPr>
            <w:tcW w:w="160" w:type="dxa"/>
            <w:vAlign w:val="bottom"/>
          </w:tcPr>
          <w:p>
            <w:pPr>
              <w:spacing w:after="0"/>
              <w:rPr>
                <w:sz w:val="24"/>
                <w:szCs w:val="2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vMerge w:val="restart"/>
          </w:tcPr>
          <w:p>
            <w:pPr>
              <w:jc w:val="center"/>
              <w:ind w:right="178"/>
              <w:spacing w:after="0"/>
              <w:rPr>
                <w:sz w:val="20"/>
                <w:szCs w:val="20"/>
                <w:color w:val="auto"/>
              </w:rPr>
            </w:pPr>
            <w:r>
              <w:rPr>
                <w:rFonts w:ascii="Arial" w:cs="Arial" w:eastAsia="Arial" w:hAnsi="Arial"/>
                <w:sz w:val="14"/>
                <w:szCs w:val="14"/>
                <w:b w:val="1"/>
                <w:bCs w:val="1"/>
                <w:color w:val="auto"/>
                <w:w w:val="76"/>
              </w:rPr>
              <w:t>$</w:t>
            </w:r>
          </w:p>
        </w:tc>
        <w:tc>
          <w:tcPr>
            <w:tcW w:w="280" w:type="dxa"/>
            <w:vAlign w:val="bottom"/>
          </w:tcPr>
          <w:p>
            <w:pPr>
              <w:spacing w:after="0"/>
              <w:rPr>
                <w:sz w:val="24"/>
                <w:szCs w:val="2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4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5"/>
              </w:rPr>
              <w:t>May 31, 2008</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3"/>
              </w:rPr>
              <w:t>May 31, 2007</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78"/>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Industrial chemical</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78,897,265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57,860,080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21,037,185</w:t>
            </w: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Non-industrial chemical</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996,488</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1,404,948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(408,460)</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181"/>
        </w:trPr>
        <w:tc>
          <w:tcPr>
            <w:tcW w:w="3760" w:type="dxa"/>
            <w:vAlign w:val="bottom"/>
            <w:tcBorders>
              <w:top w:val="single" w:sz="8" w:color="CCEEFF"/>
            </w:tcBorders>
            <w:shd w:val="clear" w:color="auto" w:fill="CCEEFF"/>
          </w:tcPr>
          <w:p>
            <w:pPr>
              <w:spacing w:after="0" w:line="181" w:lineRule="exact"/>
              <w:rPr>
                <w:sz w:val="20"/>
                <w:szCs w:val="20"/>
                <w:color w:val="auto"/>
              </w:rPr>
            </w:pPr>
            <w:r>
              <w:rPr>
                <w:rFonts w:ascii="Arial" w:cs="Arial" w:eastAsia="Arial" w:hAnsi="Arial"/>
                <w:sz w:val="18"/>
                <w:szCs w:val="18"/>
                <w:color w:val="auto"/>
                <w:w w:val="97"/>
              </w:rPr>
              <w:t>Total International Corporate Joint Ventures and</w:t>
            </w: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Holding Companies sales</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79,893,753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59,265,028</w:t>
            </w:r>
          </w:p>
        </w:tc>
        <w:tc>
          <w:tcPr>
            <w:tcW w:w="4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20,628,725</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line="285" w:lineRule="auto"/>
        <w:rPr>
          <w:sz w:val="20"/>
          <w:szCs w:val="20"/>
          <w:color w:val="auto"/>
        </w:rPr>
      </w:pPr>
      <w:r>
        <w:rPr>
          <w:rFonts w:ascii="Arial" w:cs="Arial" w:eastAsia="Arial" w:hAnsi="Arial"/>
          <w:sz w:val="17"/>
          <w:szCs w:val="17"/>
          <w:color w:val="auto"/>
        </w:rPr>
        <w:t>NTIC had equity in income of corporate joint ventures and holding companies of $1,139,140 and $3,006,996 for the three and nine months ended May 31, 2008, respectively, and $754,286 and $2,384,020 for the three and nine months ended May 31, 2007, respectively. The increase in both of the three- and nine-month comparison was due to the increase in revenue and profitability due to the growth of NTIC’s corporate joint ventures as a whole.</w:t>
      </w:r>
    </w:p>
    <w:p>
      <w:pPr>
        <w:spacing w:after="0" w:line="164"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 xml:space="preserve">NTIC receives fees for technical and other support to NTIC’s corporate joint ventures based on the revenues of the individual corporate joint ventures. </w:t>
      </w:r>
      <w:r>
        <w:rPr>
          <w:rFonts w:ascii="Arial" w:cs="Arial" w:eastAsia="Arial" w:hAnsi="Arial"/>
          <w:sz w:val="17"/>
          <w:szCs w:val="17"/>
          <w:color w:val="auto"/>
        </w:rPr>
        <w:t>NTIC</w:t>
      </w:r>
      <w:r>
        <w:rPr>
          <w:rFonts w:ascii="Arial" w:cs="Arial" w:eastAsia="Arial" w:hAnsi="Arial"/>
          <w:sz w:val="18"/>
          <w:szCs w:val="18"/>
          <w:color w:val="auto"/>
        </w:rPr>
        <w:t xml:space="preserve"> </w:t>
      </w:r>
      <w:r>
        <w:rPr>
          <w:rFonts w:ascii="Arial" w:cs="Arial" w:eastAsia="Arial" w:hAnsi="Arial"/>
          <w:sz w:val="17"/>
          <w:szCs w:val="17"/>
          <w:color w:val="auto"/>
        </w:rPr>
        <w:t>recognized fee income for such support in the amounts of $1,517,428 and $4,537,855 for the three and nine months ended May 31, 2008, respectively, and $1,162,974 and $3,508,977 for the three and nine months ended May 31, 2007, respectively. These increases in fees for technical and other support to its corporate joint ventures were due to the increase in revenues and profitability from the corporate joint ventures as a whole, as well as the foreign currency exchange rate of the U.S. dollar compared other currencies in which NTIC’s joint ventures conduct business.</w:t>
      </w:r>
    </w:p>
    <w:p>
      <w:pPr>
        <w:spacing w:after="0" w:line="182"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color w:val="auto"/>
        </w:rPr>
        <w:t>NTIC sold its 50% ownership interest in its industrial chemical joint venture in Austria for $364,000. NTIC’s industrial chemical joint venture in Germany purchased NTIC’s Austrian joint venture ownership interest and has consolidated the Austrian joint venture into its existing business. NTIC’s German joint venture will service the territory and customers of NTIC’s former Austrian joint venture. NTIC recorded a gain on the sale of the joint venture interest of $172,767 as NTIC determined its interest in the entity was non-controlling.</w:t>
      </w:r>
    </w:p>
    <w:p>
      <w:pPr>
        <w:spacing w:after="0" w:line="185" w:lineRule="exact"/>
        <w:rPr>
          <w:sz w:val="20"/>
          <w:szCs w:val="20"/>
          <w:color w:val="auto"/>
        </w:rPr>
      </w:pPr>
    </w:p>
    <w:p>
      <w:pPr>
        <w:jc w:val="both"/>
        <w:ind w:right="100"/>
        <w:spacing w:after="0" w:line="262" w:lineRule="auto"/>
        <w:rPr>
          <w:sz w:val="20"/>
          <w:szCs w:val="20"/>
          <w:color w:val="auto"/>
        </w:rPr>
      </w:pPr>
      <w:r>
        <w:rPr>
          <w:rFonts w:ascii="Arial" w:cs="Arial" w:eastAsia="Arial" w:hAnsi="Arial"/>
          <w:sz w:val="18"/>
          <w:szCs w:val="18"/>
          <w:color w:val="auto"/>
        </w:rPr>
        <w:t>NTIC sponsors a worldwide corporate joint venture conference approximately every three to four years in which all of its corporate joint ventures are invited to participate. NTIC defers a portion of its technical and other support fees received from its corporate joint ventures in each accounting period leading up to the next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conference, reflecting that NTIC has not fully earned the payments received during that period. The next corporate joint venture conference is scheduled to be held in the summer of 2009 or 2010. There was $264,000 of deferred income recorded within other accrued liabilities at </w:t>
      </w:r>
      <w:r>
        <w:rPr>
          <w:rFonts w:ascii="Arial" w:cs="Arial" w:eastAsia="Arial" w:hAnsi="Arial"/>
          <w:sz w:val="17"/>
          <w:szCs w:val="17"/>
          <w:color w:val="auto"/>
        </w:rPr>
        <w:t>May 31, 2008</w:t>
      </w:r>
      <w:r>
        <w:rPr>
          <w:rFonts w:ascii="Arial" w:cs="Arial" w:eastAsia="Arial" w:hAnsi="Arial"/>
          <w:sz w:val="18"/>
          <w:szCs w:val="18"/>
          <w:color w:val="auto"/>
        </w:rPr>
        <w:t xml:space="preserve"> related to this future conference. The costs associated with these joint venture conferences are offset against the deferral as incurred, generally in the period in which the conference is held and immediately before.</w:t>
      </w:r>
    </w:p>
    <w:p>
      <w:pPr>
        <w:spacing w:after="0" w:line="18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NTIC incurred direct expenses related to its corporate joint ventures and the holding companies of $1,412,582 and $3,837,266 for the three and nine months ended May 31, 2008 compared to $1,161,702 and $3,819,003 for the three and nine months ended May 31, 2007. These expenses include: product and business development, consulting, travel, technical and marketing services to existing joint ventures, legal fees regarding the establishment of new joint ventures, registration and promotion and legal defense of worldwide trademarks and legal fees incurred in the filing of patent applications for new technologies to which NTIC acquired certain rights. The increase in direct expenses incurred relating to NTIC’s corporate joint ventures and holding companies for the three months ended May 31, 2008 compared to the same period in fiscal 2007 were attributable to an increase in (i) expenses related to employee wages of $105,000, (ii) travel and related expenses of $28,000, (iv) consulting expense of $32,000 and (v) miscellaneous expenses of $60,000. These increases were partially offset by a decrease in legal expense of $24,000. The increase for the nine months ended May 31, 2007 compared to the same period in fiscal 2007 was negligible. As a percentage of net sales, direct expenses incurred relating to NTIC’s corporate joint ventures and holding companies increased significantly due to the decrease in React Inc. net sales for the nine months ended May 31, 2008 compared to same period in fiscal 2007.</w:t>
      </w:r>
    </w:p>
    <w:p>
      <w:pPr>
        <w:spacing w:after="0" w:line="166" w:lineRule="exact"/>
        <w:rPr>
          <w:sz w:val="20"/>
          <w:szCs w:val="20"/>
          <w:color w:val="auto"/>
        </w:rPr>
      </w:pPr>
    </w:p>
    <w:p>
      <w:pPr>
        <w:ind w:right="100"/>
        <w:spacing w:after="0" w:line="310" w:lineRule="auto"/>
        <w:rPr>
          <w:sz w:val="20"/>
          <w:szCs w:val="20"/>
          <w:color w:val="auto"/>
        </w:rPr>
      </w:pPr>
      <w:r>
        <w:rPr>
          <w:rFonts w:ascii="Arial" w:cs="Arial" w:eastAsia="Arial" w:hAnsi="Arial"/>
          <w:sz w:val="16"/>
          <w:szCs w:val="16"/>
          <w:i w:val="1"/>
          <w:iCs w:val="1"/>
          <w:color w:val="auto"/>
        </w:rPr>
        <w:t>Interest Income</w:t>
      </w:r>
      <w:r>
        <w:rPr>
          <w:rFonts w:ascii="Arial" w:cs="Arial" w:eastAsia="Arial" w:hAnsi="Arial"/>
          <w:sz w:val="16"/>
          <w:szCs w:val="16"/>
          <w:color w:val="auto"/>
        </w:rPr>
        <w:t>. NTIC’s interest income increased to $22,277 for the three months ended May 31, 2008 compared to $667 for the same period in fiscal 2007</w:t>
      </w:r>
      <w:r>
        <w:rPr>
          <w:rFonts w:ascii="Arial" w:cs="Arial" w:eastAsia="Arial" w:hAnsi="Arial"/>
          <w:sz w:val="16"/>
          <w:szCs w:val="16"/>
          <w:i w:val="1"/>
          <w:iCs w:val="1"/>
          <w:color w:val="auto"/>
        </w:rPr>
        <w:t xml:space="preserve"> </w:t>
      </w:r>
      <w:r>
        <w:rPr>
          <w:rFonts w:ascii="Arial" w:cs="Arial" w:eastAsia="Arial" w:hAnsi="Arial"/>
          <w:sz w:val="16"/>
          <w:szCs w:val="16"/>
          <w:color w:val="auto"/>
        </w:rPr>
        <w:t>and increased to $23,196 for the nine months ended May 31, 2008 compared to $2,368 for the same period in fiscal 2007 due primarily to interest income received from the United Kingdom tax authorities related to interest earned on a tax refund received that covered the period from fiscal 2001 to 2007.</w:t>
      </w:r>
    </w:p>
    <w:p>
      <w:pPr>
        <w:spacing w:after="0" w:line="14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decreased to $21,757 for the three months ended May 31, 2008 compared to $41,139 for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2007 and decreased to $93,872 for the nine months ended May 31, 2008 compared to $131,503 for the same period in fiscal 2007 due to lower average outstanding debt levels and decreases in interest rates during the fiscal 2008 periods.</w:t>
      </w:r>
    </w:p>
    <w:p>
      <w:pPr>
        <w:spacing w:after="0" w:line="182"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i w:val="1"/>
          <w:iCs w:val="1"/>
          <w:color w:val="auto"/>
        </w:rPr>
        <w:t>Gain on Sale of Assets</w:t>
      </w:r>
      <w:r>
        <w:rPr>
          <w:rFonts w:ascii="Arial" w:cs="Arial" w:eastAsia="Arial" w:hAnsi="Arial"/>
          <w:sz w:val="18"/>
          <w:szCs w:val="18"/>
          <w:color w:val="auto"/>
        </w:rPr>
        <w:t>. NTIC recognized no gain on sale of assets for the three months ended May 31, 2008 compared to a gain on sale of assets of $100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period in fiscal 2007. NTIC recognized a gain on sale of assets of $5,529 during the nine months ended May 31, 2008 compared to a gain on sale of assets of $726,295 for the same period in fiscal 2007, $724,495 of which was due to the sale of land, building and equipment that previously served as NTIC’s corporate headquarters.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Income Before Income Tax Expense</w:t>
      </w:r>
      <w:r>
        <w:rPr>
          <w:rFonts w:ascii="Arial" w:cs="Arial" w:eastAsia="Arial" w:hAnsi="Arial"/>
          <w:sz w:val="17"/>
          <w:szCs w:val="17"/>
          <w:color w:val="auto"/>
        </w:rPr>
        <w:t>. Income before income tax expense increased to $936,148 for the three months ended May 31, 2008 compared to</w:t>
      </w:r>
    </w:p>
    <w:p>
      <w:pPr>
        <w:spacing w:after="0" w:line="34" w:lineRule="exact"/>
        <w:rPr>
          <w:sz w:val="20"/>
          <w:szCs w:val="20"/>
          <w:color w:val="auto"/>
        </w:rPr>
      </w:pPr>
    </w:p>
    <w:p>
      <w:pPr>
        <w:ind w:right="280"/>
        <w:spacing w:after="0" w:line="258" w:lineRule="auto"/>
        <w:rPr>
          <w:sz w:val="20"/>
          <w:szCs w:val="20"/>
          <w:color w:val="auto"/>
        </w:rPr>
      </w:pPr>
      <w:r>
        <w:rPr>
          <w:rFonts w:ascii="Arial" w:cs="Arial" w:eastAsia="Arial" w:hAnsi="Arial"/>
          <w:sz w:val="18"/>
          <w:szCs w:val="18"/>
          <w:color w:val="auto"/>
        </w:rPr>
        <w:t>$718,800 for the same period in fiscal 2007. Income before income tax expense increased $83,807 to $2,521,034 for the nine months ended May 31, 2008 compared to $2,437,227 for the same period in fiscal 2007.</w:t>
      </w:r>
    </w:p>
    <w:p>
      <w:pPr>
        <w:sectPr>
          <w:pgSz w:w="11900" w:h="16838" w:orient="portrait"/>
          <w:cols w:equalWidth="0" w:num="1">
            <w:col w:w="11380"/>
          </w:cols>
          <w:pgMar w:left="240" w:top="125" w:right="279" w:bottom="0" w:gutter="0" w:footer="0" w:header="0"/>
        </w:sectPr>
      </w:pPr>
    </w:p>
    <w:bookmarkStart w:id="11" w:name="page12"/>
    <w:bookmarkEnd w:id="11"/>
    <w:p>
      <w:pPr>
        <w:spacing w:after="0" w:line="254"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Income tax expense increased to $148,000 for the three months ended May 31, 2008 compared to $91,000 for the same period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2007. Income tax expense increased to $415,000 for the nine months ended May 31, 2008 compared to $371,000 for the same period in fiscal 2007. Income tax expense for the three and nine months ended May 31, 2008 and May 31, 2007, respectively, was calculated based on management’s estimate of NTIC’s annual effective income tax rate. NTIC’s annual effective income tax rate during the nine months ended May 31, 2008 and May 31, 2007 was lower than the statutory rate primarily due to NTIC’s equity in income of corporate joint ventures being recognized based on after-tax earnings of these entities. To the extent joint ventures’ undistributed earnings are distributed to NTIC, it is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not expected to result in any material additional income tax liability after the application of foreign tax credits.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May 31, 2008, NTIC’s working capital was $5,398,182, including $418,994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$3,788,777, including $244,499 in cash and cash equivalents, as of August 31, 2007.</w:t>
      </w:r>
    </w:p>
    <w:p>
      <w:pPr>
        <w:spacing w:after="0" w:line="17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 xml:space="preserve">On April 10, 2008, NTIC </w:t>
      </w:r>
      <w:r>
        <w:rPr>
          <w:rFonts w:ascii="Arial" w:cs="Arial" w:eastAsia="Arial" w:hAnsi="Arial"/>
          <w:sz w:val="16"/>
          <w:szCs w:val="16"/>
          <w:color w:val="auto"/>
        </w:rPr>
        <w:t>entered into a Promissory Note Modification Agreement with National City Bank pursuant to which NTIC’s demand line of credit was</w:t>
      </w:r>
      <w:r>
        <w:rPr>
          <w:rFonts w:ascii="Arial" w:cs="Arial" w:eastAsia="Arial" w:hAnsi="Arial"/>
          <w:sz w:val="17"/>
          <w:szCs w:val="17"/>
          <w:color w:val="auto"/>
        </w:rPr>
        <w:t xml:space="preserve"> </w:t>
      </w:r>
      <w:r>
        <w:rPr>
          <w:rFonts w:ascii="Arial" w:cs="Arial" w:eastAsia="Arial" w:hAnsi="Arial"/>
          <w:sz w:val="16"/>
          <w:szCs w:val="16"/>
          <w:color w:val="auto"/>
        </w:rPr>
        <w:t>increased to $2,300,000 and its $1,500,000 revolving credit facility was terminated. Advances made under the demand line of credit will be made at the sole discretion of National City Bank and will be due and payable on demand. Outstanding amounts under the demand line of credit bear interest at an annual rate based on LIBOR plus 2.25%. As of May 31, 2008, the interest rate was 4.75%. Interest is payable in arrears on the 15th day of each month and on demand. There was no outstanding balance under this facility as of May 31, 2008; however, $600,000 was committed from the demand line to cover a letter of credit.</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and technical assistance fees to NTIC from its joint venture investments and funds available through existing or anticipated financing arrangements, will continue to be adequate to fund its existing operations, capital expenditures, debt repayments and any stock repurchases for at least the next 12 months. In an effort to increase net sales, NTIC is in the process of expanding its product line to include biodegradable and compostable plastics and machinery that converts waste plastics into diesel, gasoline and mid-distillates and the application of its corrosion inhibiting technology into the oil and gas industry. During the remainder of fiscal 2008, NTIC expects to invest additional research and development and marketing efforts and resources into these emerging businesses, product lines and markets. During the first nine months of fiscal 2008, NTIC invested $2,258,931 in additional research and development and marketing efforts and resources into these emerging businesses, product lines and markets. In order to take advantage of such new product and market opportunities to expand its business and increase its revenues, NTIC may decide to finance such opportunities by borrowing under its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169"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Uses of Cash and Cash Flows</w:t>
      </w:r>
      <w:r>
        <w:rPr>
          <w:rFonts w:ascii="Arial" w:cs="Arial" w:eastAsia="Arial" w:hAnsi="Arial"/>
          <w:sz w:val="17"/>
          <w:szCs w:val="17"/>
          <w:color w:val="auto"/>
        </w:rPr>
        <w:t>. Cash flows used in operations for the nine months ended May 31, 2008 was $1,587,352, which resulted principally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equity income of corporate joint ventures, increases in technical and other services receivables, inventories and prepaid expenses and decreases in accounts payable being offset by net income, depreciation and amortization expense, decreases in trade receivables and increases in accrued liabilities. Cash flows used in operations for the nine months ended May 31, 2007 were $1,235,051, which resulted principally from equity in income from corporate joint ventures, gain on sale of assets, decreases in accounts payable and accrued liabilities and increases in inventories and prepaid expenses, offset by net income, depreciation and amortization expense, and decreases in trade and income tax receivables.</w:t>
      </w:r>
    </w:p>
    <w:p>
      <w:pPr>
        <w:spacing w:after="0" w:line="176" w:lineRule="exact"/>
        <w:rPr>
          <w:sz w:val="20"/>
          <w:szCs w:val="20"/>
          <w:color w:val="auto"/>
        </w:rPr>
      </w:pPr>
    </w:p>
    <w:p>
      <w:pPr>
        <w:ind w:right="40"/>
        <w:spacing w:after="0" w:line="300" w:lineRule="auto"/>
        <w:rPr>
          <w:sz w:val="20"/>
          <w:szCs w:val="20"/>
          <w:color w:val="auto"/>
        </w:rPr>
      </w:pPr>
      <w:r>
        <w:rPr>
          <w:rFonts w:ascii="Arial" w:cs="Arial" w:eastAsia="Arial" w:hAnsi="Arial"/>
          <w:sz w:val="16"/>
          <w:szCs w:val="16"/>
          <w:color w:val="auto"/>
        </w:rPr>
        <w:t>Net cash provided by investing activities for the nine months ended May 31, 2008 was $1,501,762 which was comprised of dividends received from corporate joint ventures and the sale of a joint venture, offset by additions to property and equipment, loans made and investment in joint ventures. Net cash provided by investing activities for the nine months ended May 31, 2007 was $1,269,591, which resulted from dividends received from corporate joint ventures, proceeds from the sale of assets and cash received from loans and deposits, offset by additions to property and equipment and investment in joint ventures.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Net cash provided by financing activities for the nine months ended May 31, 2008 was $260,085, which resulted primarily from proceeds from NTIC’s employee stock purchase plan and bank overdrafts, offset by principal payments on the bank loan for NTIC’s corporate headquarters building. Net cash provided by financing activities for the nine months ended May 31, 2007 was $202,589, which resulted primarily from borrowings on NTIC’s line of credit and proceeds from the exercise of stock options, offset by bank overdrafts.</w:t>
      </w:r>
    </w:p>
    <w:p>
      <w:pPr>
        <w:spacing w:after="0" w:line="185"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i w:val="1"/>
          <w:iCs w:val="1"/>
          <w:color w:val="auto"/>
        </w:rPr>
        <w:t>Capital Expenditures and Commitments</w:t>
      </w:r>
      <w:r>
        <w:rPr>
          <w:rFonts w:ascii="Arial" w:cs="Arial" w:eastAsia="Arial" w:hAnsi="Arial"/>
          <w:sz w:val="16"/>
          <w:szCs w:val="16"/>
          <w:color w:val="auto"/>
        </w:rPr>
        <w:t>. NTIC had no material lease commitments as of May 31, 2008, except a lease agreement entered into by NTI</w:t>
      </w:r>
      <w:r>
        <w:rPr>
          <w:rFonts w:ascii="Arial" w:cs="Arial" w:eastAsia="Arial" w:hAnsi="Arial"/>
          <w:sz w:val="16"/>
          <w:szCs w:val="16"/>
          <w:i w:val="1"/>
          <w:iCs w:val="1"/>
          <w:color w:val="auto"/>
        </w:rPr>
        <w:t xml:space="preserve"> </w:t>
      </w:r>
      <w:r>
        <w:rPr>
          <w:rFonts w:ascii="Arial" w:cs="Arial" w:eastAsia="Arial" w:hAnsi="Arial"/>
          <w:sz w:val="16"/>
          <w:szCs w:val="16"/>
          <w:color w:val="auto"/>
        </w:rPr>
        <w:t>Facilities, Inc., a subsidiary of NTIC, for approximately 16,994 square feet of office, manufacturing, laboratory and warehouse space in Beachwood, Ohio, requiring monthly payments of $17,500, which are adjusted annually according to the annual consumer price index, through November 2014.</w:t>
      </w:r>
    </w:p>
    <w:p>
      <w:pPr>
        <w:spacing w:after="0" w:line="14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NTIC moved its corporate headquarters in September 2006. NTIC purchased the real estate and 40,000 square feet building in which its new corporate headquarters is located pursuant to a like-kind exchange transaction within the meaning of Section 1031 of the Internal Revenue Code of 1986, as amended, for a purchase price of $1,475,000. To finance the transaction, NTIC obtained a secured term loan in the principal amount of $1,275,000. The term loan matures on May 1, 2011, bears interest at a fixed rate of 8.01% and is payable in 59 monthly installments equal to approximately $10,776 (inclusive of principal and interest) commencing June 1, 2006. All of the remaining unpaid principal and accrued interest is due and payable on the May 1, 2011 maturity date. The loan is secured by a first lien on the real estate and building.</w:t>
      </w:r>
    </w:p>
    <w:p>
      <w:pPr>
        <w:spacing w:after="0" w:line="176"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NTIC sold the real property and building in which NTIC’s former Lino Lakes corporate headquarters was located for a purchase price of $870,000 on September 8, 2006. The net book value of the building held for sale was $89,636 and the closing costs and fees associated with the sale of the property was $46,571. The gain on sale of the property was $724,495.</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NTIC has no post-retirement benefit plan and does not anticipate establishing any post-retirement benefit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ectPr>
          <w:pgSz w:w="11900" w:h="16838" w:orient="portrait"/>
          <w:cols w:equalWidth="0" w:num="1">
            <w:col w:w="11400"/>
          </w:cols>
          <w:pgMar w:left="240" w:top="125" w:right="259" w:bottom="0" w:gutter="0" w:footer="0" w:header="0"/>
        </w:sectPr>
      </w:pPr>
    </w:p>
    <w:bookmarkStart w:id="12" w:name="page13"/>
    <w:bookmarkEnd w:id="12"/>
    <w:p>
      <w:pPr>
        <w:spacing w:after="0" w:line="21" w:lineRule="exact"/>
        <w:rPr>
          <w:sz w:val="20"/>
          <w:szCs w:val="20"/>
          <w:color w:val="auto"/>
        </w:rPr>
      </w:pPr>
    </w:p>
    <w:p>
      <w:pPr>
        <w:jc w:val="both"/>
        <w:ind w:right="180"/>
        <w:spacing w:after="0" w:line="285"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164"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In fiscal 1999, a subsidiary of NTIC, NTI Facilities, Inc., acquired a one-third ownership of Omni-Northern Ltd., which owns and operates a rental property located at 23205 Mercantile Road, Beachwood, Ohio. The property has an approximate value of $2,205,000, based upon the cash-to-mortgage acquisition price of the property paid in fiscal 2000. NTIC has guaranteed up to $329,082 of Omni-Northern Ltd.’s $1,903,571 mortgage obligation with National City Bank, Cleveland, Ohio. The building is fully leased at present.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and Seasonality</w:t>
      </w:r>
    </w:p>
    <w:p>
      <w:pPr>
        <w:spacing w:after="0" w:line="227" w:lineRule="exact"/>
        <w:rPr>
          <w:sz w:val="20"/>
          <w:szCs w:val="20"/>
          <w:color w:val="auto"/>
        </w:rPr>
      </w:pPr>
    </w:p>
    <w:p>
      <w:pPr>
        <w:ind w:right="420"/>
        <w:spacing w:after="0" w:line="275" w:lineRule="auto"/>
        <w:rPr>
          <w:sz w:val="20"/>
          <w:szCs w:val="20"/>
          <w:color w:val="auto"/>
        </w:rPr>
      </w:pPr>
      <w:r>
        <w:rPr>
          <w:rFonts w:ascii="Arial" w:cs="Arial" w:eastAsia="Arial" w:hAnsi="Arial"/>
          <w:sz w:val="18"/>
          <w:szCs w:val="18"/>
          <w:color w:val="auto"/>
        </w:rPr>
        <w:t>Inflation in the U.S. and abroad historically has had little effect on NTIC’s business, results of operations or financial condition. NTIC’s business has not historically been seasonal.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92" w:lineRule="auto"/>
        <w:rPr>
          <w:sz w:val="20"/>
          <w:szCs w:val="20"/>
          <w:color w:val="auto"/>
        </w:rPr>
      </w:pPr>
      <w:r>
        <w:rPr>
          <w:rFonts w:ascii="Arial" w:cs="Arial" w:eastAsia="Arial" w:hAnsi="Arial"/>
          <w:sz w:val="16"/>
          <w:szCs w:val="16"/>
          <w:color w:val="auto"/>
        </w:rPr>
        <w:t>NTIC is exposed to foreign currency exchange rate risk arising from its investments in its foreign corporate joint ventures and holding companies since NTIC’s fees for technical support and other services and dividend distributions from these foreign entities are paid in foreign currencies.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6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71" w:lineRule="exact"/>
        <w:rPr>
          <w:sz w:val="20"/>
          <w:szCs w:val="20"/>
          <w:color w:val="auto"/>
        </w:rPr>
      </w:pPr>
    </w:p>
    <w:p>
      <w:pPr>
        <w:ind w:right="680"/>
        <w:spacing w:after="0" w:line="340" w:lineRule="auto"/>
        <w:rPr>
          <w:sz w:val="20"/>
          <w:szCs w:val="20"/>
          <w:color w:val="auto"/>
        </w:rPr>
      </w:pPr>
      <w:r>
        <w:rPr>
          <w:rFonts w:ascii="Arial" w:cs="Arial" w:eastAsia="Arial" w:hAnsi="Arial"/>
          <w:sz w:val="16"/>
          <w:szCs w:val="16"/>
          <w:color w:val="auto"/>
        </w:rPr>
        <w:t>NTIC’s demand line of credit bears interest at a rate based on LIBOR and thus may subject NTIC to some market risk on interest rates. There was no outstanding balance under this facility as of May 31, 2008; however, $600,000 was committed from the demand line to cover a letter of credit.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Corporate Joint Ventures</w:t>
      </w:r>
    </w:p>
    <w:p>
      <w:pPr>
        <w:spacing w:after="0" w:line="223" w:lineRule="exact"/>
        <w:rPr>
          <w:sz w:val="20"/>
          <w:szCs w:val="20"/>
          <w:color w:val="auto"/>
        </w:rPr>
      </w:pPr>
    </w:p>
    <w:p>
      <w:pPr>
        <w:ind w:right="140"/>
        <w:spacing w:after="0" w:line="292" w:lineRule="auto"/>
        <w:rPr>
          <w:sz w:val="20"/>
          <w:szCs w:val="20"/>
          <w:color w:val="auto"/>
        </w:rPr>
      </w:pPr>
      <w:r>
        <w:rPr>
          <w:rFonts w:ascii="Arial" w:cs="Arial" w:eastAsia="Arial" w:hAnsi="Arial"/>
          <w:sz w:val="16"/>
          <w:szCs w:val="16"/>
          <w:color w:val="auto"/>
        </w:rPr>
        <w:t>NTIC’s investments in corporate joint ventures are accounted for using the equity method, except for React-NTI LLC which has been fully consolidated, due to the adoption of FIN 46R. Periodically, NTIC evaluates the investments for any impairment and assesses the future cash flow projections to determine if there are any going concern issues. If an investment were determined to be impaired, then a reserve would be created to reflect the impairment on the financial results of NTIC. NTIC’s evaluation of its investments in corporate joint ventures requires NTIC to make assumptions about future cash flows of its corporate joint ventures. These assumptions require significant judgment and actual results may differ from assumed or estimated amounts. NTIC’s investments in corporate joint ventures were $16,193,141 and $13,602,842 as of May 31, 2008 and August 31, 2007,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NTIC’s consolidated financial statements include the accounts of Northern Technologies International Corporation, its wholly owned subsidiaries, NTI Facilities, Inc. and Northern Technologies Holding Company, LLC, and its 75% owned subsidiary, React-NTI LLC. All significant intercompany transactions and balances have been eliminated in consolidation.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23"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history, current financial conditions of key customers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NTIC’s actual future losses from uncollectible accounts may differ from its estimates. In the event NTIC</w:t>
      </w:r>
    </w:p>
    <w:p>
      <w:pPr>
        <w:sectPr>
          <w:pgSz w:w="11900" w:h="16859" w:orient="portrait"/>
          <w:cols w:equalWidth="0" w:num="1">
            <w:col w:w="11420"/>
          </w:cols>
          <w:pgMar w:left="240" w:top="125" w:right="239" w:bottom="0" w:gutter="0" w:footer="0" w:header="0"/>
        </w:sectPr>
      </w:pPr>
    </w:p>
    <w:bookmarkStart w:id="13" w:name="page14"/>
    <w:bookmarkEnd w:id="13"/>
    <w:p>
      <w:pPr>
        <w:jc w:val="both"/>
        <w:ind w:right="180"/>
        <w:spacing w:after="0" w:line="262" w:lineRule="auto"/>
        <w:rPr>
          <w:sz w:val="20"/>
          <w:szCs w:val="20"/>
          <w:color w:val="auto"/>
        </w:rPr>
      </w:pPr>
      <w:r>
        <w:rPr>
          <w:rFonts w:ascii="Arial" w:cs="Arial" w:eastAsia="Arial" w:hAnsi="Arial"/>
          <w:sz w:val="18"/>
          <w:szCs w:val="18"/>
          <w:color w:val="auto"/>
        </w:rPr>
        <w:t>determined that a smaller or larger uncollectible accounts reserve is appropriate, NTIC would record a credit or charge to selling expense in the period that it made such a determination. Accounts receivable have been reduced by an allowance for uncollectible accounts of $20,000 and $30,000 at May 31, 2008 and August 31, 2007,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In recognizing revenue, NTIC applies the provisions of the Securities and Exchange Commission Staff Accounting Bulletin No. 104, Revenue Recognition. 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or distributor.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23"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color w:val="auto"/>
        </w:rPr>
        <w:t>The functional currency of each international corporate joint venture is the applicable local currency. The translation of the applicable foreign currencies into U.S. dollars is performed for balance sheet accounts using current exchange rates in effect at the balance sheet date and for revenue and expense accounts using an average monthly exchange rate. Translation gains or losses are reported as an element of accumulated other comprehensive income.</w:t>
      </w:r>
    </w:p>
    <w:p>
      <w:pPr>
        <w:spacing w:after="0" w:line="147"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NTIC conducts all foreign transactions based on the U.S. dollar, except for its investments in various foreign corporate joint ventures and holding companies. The exchange rate differential relating to investments in foreign corporate joint ventures and holding companies is accounted for under the requirements of SFAS No. 52, “</w:t>
      </w:r>
      <w:r>
        <w:rPr>
          <w:rFonts w:ascii="Arial" w:cs="Arial" w:eastAsia="Arial" w:hAnsi="Arial"/>
          <w:sz w:val="17"/>
          <w:szCs w:val="17"/>
          <w:i w:val="1"/>
          <w:iCs w:val="1"/>
          <w:color w:val="auto"/>
        </w:rPr>
        <w:t>Foreign Currency Translation</w:t>
      </w:r>
      <w:r>
        <w:rPr>
          <w:rFonts w:ascii="Arial" w:cs="Arial" w:eastAsia="Arial" w:hAnsi="Arial"/>
          <w:sz w:val="17"/>
          <w:szCs w:val="17"/>
          <w:color w:val="auto"/>
        </w:rPr>
        <w:t>.”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 of income.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December 2004, FASB published FASB Statement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FAS 123(R) requires that the compensation cost relating to share-based payment transactions, including grants of employee stock options, be recognized in financial statements. That cost will be measured based on the fair value of the equity or liability instruments issued. FAS 123(R) covers a wide range of share-based compensation arrangements including stock options, restricted share plans, performance-based awards, share appreciation rights and employee share purchase plans. FAS 123(R) is a replacement of FASB Statement No. 123, “</w:t>
      </w:r>
      <w:r>
        <w:rPr>
          <w:rFonts w:ascii="Arial" w:cs="Arial" w:eastAsia="Arial" w:hAnsi="Arial"/>
          <w:sz w:val="17"/>
          <w:szCs w:val="17"/>
          <w:i w:val="1"/>
          <w:iCs w:val="1"/>
          <w:color w:val="auto"/>
        </w:rPr>
        <w:t>Accounting for Stock-Based Compensation</w:t>
      </w:r>
      <w:r>
        <w:rPr>
          <w:rFonts w:ascii="Arial" w:cs="Arial" w:eastAsia="Arial" w:hAnsi="Arial"/>
          <w:sz w:val="17"/>
          <w:szCs w:val="17"/>
          <w:color w:val="auto"/>
        </w:rPr>
        <w:t>,” and supersedes APB Opinion No. 25, “</w:t>
      </w:r>
      <w:r>
        <w:rPr>
          <w:rFonts w:ascii="Arial" w:cs="Arial" w:eastAsia="Arial" w:hAnsi="Arial"/>
          <w:sz w:val="17"/>
          <w:szCs w:val="17"/>
          <w:i w:val="1"/>
          <w:iCs w:val="1"/>
          <w:color w:val="auto"/>
        </w:rPr>
        <w:t>Accounting for Stock Issued to Employees</w:t>
      </w:r>
      <w:r>
        <w:rPr>
          <w:rFonts w:ascii="Arial" w:cs="Arial" w:eastAsia="Arial" w:hAnsi="Arial"/>
          <w:sz w:val="17"/>
          <w:szCs w:val="17"/>
          <w:color w:val="auto"/>
        </w:rPr>
        <w:t>,” and its related interpretive guidance. The effect of FAS 123(R) is to require entities to measure the cost of employee services received in exchange for stock options based on the grant-date fair value of the award, and to recognize the cost over the period the employee is required to provide services for the award. FAS 123(R) permits entities to use any option-pricing model that meets the fair value objective in FAS 123(R). NTIC implemented FAS 123(R) on September 1, 2006, using the modified prospective transition method.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report contains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plans, objectives, strategies and prospects regarding, among other things, its financial condition, results of operations and business. NTIC has identified some of these forward-looking statements with words like “believe,” “may,” “could,” “might,” “forecast,” “possible,” “potential,” “project,” “will,” “should,” “expect,” “intend,” “plan,” “predict,” “anticipate,” “estimate,” “approximate” or “continue” and other words and terms of similar meaning. These forward-looking statements may be contained in the notes to NTIC’s consolidated financial statements and elsewhere in this report, including under the heading “Part 1. Financial Information. Item 2. Management’s Discussion and Analysis or Plan of Operation.”</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“Risk Factors.” The risks and uncertainties described under the heading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you, however, to consult any further disclosures it may make on related subjects in its Annual Reports on Form 10-KSB, Quarterly Reports on Form 10-QSB and Current Reports on Form 8-K that NTIC files with or furnishes to the Securities and Exchange Commission.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financial condition or operating results.</w:t>
      </w:r>
    </w:p>
    <w:p>
      <w:pPr>
        <w:spacing w:after="0" w:line="23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i w:val="1"/>
          <w:iCs w:val="1"/>
          <w:color w:val="auto"/>
        </w:rPr>
        <w:t>A significant portion of NTIC’s historical consolidated net sales were dependent upon a single React Inc. customer, which has indicated a desire not to purchase any future products from NTIC or its subsidiaries. As a result, NTIC’s fiscal 2008 have been materially harmed and NTIC’s future consolidated net sales will continue to be materially harmed.</w:t>
      </w:r>
    </w:p>
    <w:p>
      <w:pPr>
        <w:spacing w:after="0" w:line="182"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A customer of NTIC’s React-NTI, LLC joint venture accounted for, in the aggregate, approximately 28.0% and 26.6% of NTIC’s consolidated net sales for the fiscal year ended August 31, 2007 and 2006. As described in more detail under the heading “Part I. Financial Information. Item 2. Management’s Discussion and Analysis or Plan of Operation—Financial Overview,” during fourth quarter of fiscal 2007, this customer notified React that it would place future orders for React’s remaining inventory of ink additives, but that after such inventory was purchased, the customer would not place any future orders. The loss of this</w:t>
      </w:r>
    </w:p>
    <w:p>
      <w:pPr>
        <w:sectPr>
          <w:pgSz w:w="11900" w:h="16838" w:orient="portrait"/>
          <w:cols w:equalWidth="0" w:num="1">
            <w:col w:w="11420"/>
          </w:cols>
          <w:pgMar w:left="240" w:top="125" w:right="239" w:bottom="0" w:gutter="0" w:footer="0" w:header="0"/>
        </w:sectPr>
      </w:pPr>
    </w:p>
    <w:bookmarkStart w:id="14" w:name="page15"/>
    <w:bookmarkEnd w:id="14"/>
    <w:p>
      <w:pPr>
        <w:ind w:right="100"/>
        <w:spacing w:after="0" w:line="275" w:lineRule="auto"/>
        <w:rPr>
          <w:sz w:val="20"/>
          <w:szCs w:val="20"/>
          <w:color w:val="auto"/>
        </w:rPr>
      </w:pPr>
      <w:r>
        <w:rPr>
          <w:rFonts w:ascii="Arial" w:cs="Arial" w:eastAsia="Arial" w:hAnsi="Arial"/>
          <w:sz w:val="18"/>
          <w:szCs w:val="18"/>
          <w:color w:val="auto"/>
        </w:rPr>
        <w:t>customer has had a material adverse impact on NTIC’s consolidated net sales for fiscal 2008 and NTIC anticipates that the loss of this customer will continue to have a material adverse impact on NTIC’s consolidated net sales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20"/>
        <w:spacing w:after="0" w:line="300" w:lineRule="auto"/>
        <w:rPr>
          <w:sz w:val="20"/>
          <w:szCs w:val="20"/>
          <w:color w:val="auto"/>
        </w:rPr>
      </w:pPr>
      <w:r>
        <w:rPr>
          <w:rFonts w:ascii="Arial" w:cs="Arial" w:eastAsia="Arial" w:hAnsi="Arial"/>
          <w:sz w:val="16"/>
          <w:szCs w:val="16"/>
          <w:color w:val="auto"/>
        </w:rPr>
        <w:t>thereafter. However, since the margins on React’s sales of the ink additives to this customer were extremely small, the loss of this customer did not have a material adverse effect on NTIC’s consolidated net income for the first and second quarters of fiscal 2008 and NTIC does not expect that the anticipated continued decrease in net sales by React will have a material adverse effect on NTIC’s future consolidated net income. No assurance can be provided, however, that the loss of this customer will not have a material adverse effect on NTIC’s future consolidated net income.</w:t>
      </w:r>
    </w:p>
    <w:p>
      <w:pPr>
        <w:spacing w:after="0" w:line="159" w:lineRule="exact"/>
        <w:rPr>
          <w:sz w:val="20"/>
          <w:szCs w:val="20"/>
          <w:color w:val="auto"/>
        </w:rPr>
      </w:pPr>
    </w:p>
    <w:p>
      <w:pPr>
        <w:jc w:val="both"/>
        <w:spacing w:after="0" w:line="285" w:lineRule="auto"/>
        <w:rPr>
          <w:sz w:val="20"/>
          <w:szCs w:val="20"/>
          <w:color w:val="auto"/>
        </w:rPr>
      </w:pPr>
      <w:r>
        <w:rPr>
          <w:rFonts w:ascii="Arial" w:cs="Arial" w:eastAsia="Arial" w:hAnsi="Arial"/>
          <w:sz w:val="15"/>
          <w:szCs w:val="15"/>
          <w:b w:val="1"/>
          <w:bCs w:val="1"/>
          <w:i w:val="1"/>
          <w:iCs w:val="1"/>
          <w:color w:val="auto"/>
        </w:rPr>
        <w:t>The automotive industry in the United States has experienced contraction in recent years thus resulting in decreased demand for NTIC’s Zerust</w:t>
      </w:r>
      <w:r>
        <w:rPr>
          <w:rFonts w:ascii="Arial" w:cs="Arial" w:eastAsia="Arial" w:hAnsi="Arial"/>
          <w:sz w:val="24"/>
          <w:szCs w:val="24"/>
          <w:color w:val="auto"/>
          <w:vertAlign w:val="superscript"/>
        </w:rPr>
        <w:t>®</w:t>
      </w:r>
      <w:r>
        <w:rPr>
          <w:rFonts w:ascii="Arial" w:cs="Arial" w:eastAsia="Arial" w:hAnsi="Arial"/>
          <w:sz w:val="15"/>
          <w:szCs w:val="15"/>
          <w:b w:val="1"/>
          <w:bCs w:val="1"/>
          <w:i w:val="1"/>
          <w:iCs w:val="1"/>
          <w:color w:val="auto"/>
        </w:rPr>
        <w:t xml:space="preserve"> products in the United States, which has adversely affected and may continue to adversely affect NTIC’s net sales from North American operations and net income.</w:t>
      </w:r>
    </w:p>
    <w:p>
      <w:pPr>
        <w:spacing w:after="0" w:line="149"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During the fiscal year ended August 31, 2007 and during the nine months ended May 31, 2008, over 70% and 97.0%, respectively, of NTIC’s consolidated net sales were derived from the sales of Zerust</w:t>
      </w:r>
      <w:r>
        <w:rPr>
          <w:rFonts w:ascii="Arial" w:cs="Arial" w:eastAsia="Arial" w:hAnsi="Arial"/>
          <w:sz w:val="26"/>
          <w:szCs w:val="26"/>
          <w:color w:val="auto"/>
          <w:vertAlign w:val="superscript"/>
        </w:rPr>
        <w:t>®</w:t>
      </w:r>
      <w:r>
        <w:rPr>
          <w:rFonts w:ascii="Arial" w:cs="Arial" w:eastAsia="Arial" w:hAnsi="Arial"/>
          <w:sz w:val="16"/>
          <w:szCs w:val="16"/>
          <w:color w:val="auto"/>
        </w:rPr>
        <w:t xml:space="preserve"> rust and corrosion inhibiting packaging products and services. Most of these products and services were sold to customers in the automotive industry and to a lesser extent to customers in the electronics, electrical, mechanical, military and retail consumer markets. The automotive industry in the United States has experienced contraction in recent years and is not expected to improve in the foreseeable future, which may result in a continued adverse effect on NTIC’s net sales from North American operations and net income. While NTIC intends to increase marketing efforts of its</w:t>
      </w:r>
    </w:p>
    <w:p>
      <w:pPr>
        <w:spacing w:after="0" w:line="1" w:lineRule="exact"/>
        <w:rPr>
          <w:sz w:val="20"/>
          <w:szCs w:val="20"/>
          <w:color w:val="auto"/>
        </w:rPr>
      </w:pPr>
    </w:p>
    <w:p>
      <w:pPr>
        <w:ind w:right="100"/>
        <w:spacing w:after="0" w:line="208" w:lineRule="auto"/>
        <w:rPr>
          <w:sz w:val="20"/>
          <w:szCs w:val="20"/>
          <w:color w:val="auto"/>
        </w:rPr>
      </w:pPr>
      <w:r>
        <w:rPr>
          <w:rFonts w:ascii="Arial" w:cs="Arial" w:eastAsia="Arial" w:hAnsi="Arial"/>
          <w:sz w:val="18"/>
          <w:szCs w:val="18"/>
          <w:color w:val="auto"/>
        </w:rPr>
        <w:t>Zerust</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products and services to customers in other target industries, no assurance can be provided that NTIC will be successful in doing so or will recognize increased sales from such new target markets.</w:t>
      </w:r>
    </w:p>
    <w:p>
      <w:pPr>
        <w:spacing w:after="0" w:line="203"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i w:val="1"/>
          <w:iCs w:val="1"/>
          <w:color w:val="auto"/>
        </w:rPr>
        <w:t>NTIC intends to invest additional research and development and marketing efforts and resources to expand its existing product lines and the distribution of its products into new target markets, such as the oil and gas industry. No assurance can be provided, however, that NTIC’s investments in such new products and markets will be successful and result in additional revenue.</w:t>
      </w:r>
    </w:p>
    <w:p>
      <w:pPr>
        <w:spacing w:after="0" w:line="1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an effort to increase net sales, NTIC is expanding its corrosion solution products into new markets, such as the oil and gas industry, and expanding its product lines to include other products, such as biodegradable and compostable plastics, plastic recycling technology and corrosion solutions in the oil and gas industry. During fiscal 2008, NTIC expects to make additional research and development and marketing efforts and invest additional resources into these new product lines and markets. During the first nine months of fiscal 2008, NTIC invested $2,258,931 in additional research and development and marketing efforts and resources into these emerging businesses, product lines and markets. Although NTIC recognized $204,998 in sales of Natur-Tec™ for the nine months ended May 31, 2008, no assurance can be provided that such new businesses will be successful or that NTIC will be successful in obtaining additional revenue.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NTIC’s emerging new businesses are risky and may not prove to be successful, which could harm NTIC’s operating results and financial condition.</w:t>
      </w:r>
    </w:p>
    <w:p>
      <w:pPr>
        <w:spacing w:after="0" w:line="246" w:lineRule="exact"/>
        <w:rPr>
          <w:sz w:val="20"/>
          <w:szCs w:val="20"/>
          <w:color w:val="auto"/>
        </w:rPr>
      </w:pPr>
    </w:p>
    <w:p>
      <w:pPr>
        <w:jc w:val="both"/>
        <w:ind w:right="420"/>
        <w:spacing w:after="0" w:line="340" w:lineRule="auto"/>
        <w:rPr>
          <w:sz w:val="20"/>
          <w:szCs w:val="20"/>
          <w:color w:val="auto"/>
        </w:rPr>
      </w:pPr>
      <w:r>
        <w:rPr>
          <w:rFonts w:ascii="Arial" w:cs="Arial" w:eastAsia="Arial" w:hAnsi="Arial"/>
          <w:sz w:val="16"/>
          <w:szCs w:val="16"/>
          <w:color w:val="auto"/>
        </w:rPr>
        <w:t>NTIC is in the process of expanding its technologies into other applications and businesses. NTIC is undertaking these new businesses either directly or through joint ventures. Such new businesses are risky and subject to all of the risks inherent in the establishment of a new business enterprise, including:</w:t>
      </w:r>
    </w:p>
    <w:p>
      <w:pPr>
        <w:spacing w:after="0" w:line="124" w:lineRule="exact"/>
        <w:rPr>
          <w:sz w:val="20"/>
          <w:szCs w:val="20"/>
          <w:color w:val="auto"/>
        </w:rPr>
      </w:pPr>
    </w:p>
    <w:p>
      <w:pPr>
        <w:ind w:left="920" w:hanging="2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absence of an operating history;</w:t>
      </w:r>
    </w:p>
    <w:p>
      <w:pPr>
        <w:spacing w:after="0" w:line="22" w:lineRule="exact"/>
        <w:rPr>
          <w:rFonts w:ascii="Arial" w:cs="Arial" w:eastAsia="Arial" w:hAnsi="Arial"/>
          <w:sz w:val="18"/>
          <w:szCs w:val="18"/>
          <w:color w:val="auto"/>
        </w:rPr>
      </w:pPr>
    </w:p>
    <w:p>
      <w:pPr>
        <w:ind w:left="920" w:hanging="2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insufficient capital and other resources;</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expected reliance on third parties for the commercialization of some of the proposed products;</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 and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20" w:hanging="267"/>
        <w:spacing w:after="0"/>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23"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i w:val="1"/>
          <w:iCs w:val="1"/>
          <w:color w:val="auto"/>
        </w:rPr>
        <w:t>A significant portion of NTIC’s consolidated net sales, including corporate joint venture sales, are generated outside of the U.S. and NTIC intends to continue to expand its international operations. NTIC’s international operations require management attention and financial resources and expose NTIC to difficulties and risks presented by international economic, political, legal, accounting and business factors.</w:t>
      </w:r>
    </w:p>
    <w:p>
      <w:pPr>
        <w:spacing w:after="0" w:line="16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NTIC offers direct on-site technical support on rust and corrosion issues in over 50 countries, and operates a marketing, distribution, and technical network through joint ventures in North America, South America, Europe, Asia and the Middle East. One of NTIC’s strategic objectives is the continued expansion of its international operations. NTIC has recently entered into joint ventures in Indonesia, the Ukraine, Thailand and the United Arab Emirates. The expansion of NTIC’s existing international operations and entry into additional international markets requires management attention and financial resources. Many of the countries in which NTIC sells its products directly or indirectly through its corporate joint ventures, are, to some degree, subject to political, economic and/or social instability. NTIC’s international operations expose NTIC and its joint venture partners, representatives, agents and distributors to risks inherent in operating in foreign jurisdictions. These risks include:</w:t>
      </w:r>
    </w:p>
    <w:p>
      <w:pPr>
        <w:spacing w:after="0" w:line="176" w:lineRule="exact"/>
        <w:rPr>
          <w:sz w:val="20"/>
          <w:szCs w:val="20"/>
          <w:color w:val="auto"/>
        </w:rPr>
      </w:pPr>
    </w:p>
    <w:p>
      <w:pPr>
        <w:ind w:left="980" w:right="280" w:hanging="327"/>
        <w:spacing w:after="0" w:line="257"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information technology;</w:t>
      </w:r>
    </w:p>
    <w:p>
      <w:pPr>
        <w:spacing w:after="0" w:line="1" w:lineRule="exact"/>
        <w:rPr>
          <w:rFonts w:ascii="Arial" w:cs="Arial" w:eastAsia="Arial" w:hAnsi="Arial"/>
          <w:sz w:val="18"/>
          <w:szCs w:val="18"/>
          <w:color w:val="auto"/>
        </w:rPr>
      </w:pPr>
    </w:p>
    <w:p>
      <w:pPr>
        <w:ind w:left="980" w:right="340" w:hanging="327"/>
        <w:spacing w:after="0" w:line="249"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980" w:right="360" w:hanging="327"/>
        <w:spacing w:after="0" w:line="249" w:lineRule="auto"/>
        <w:tabs>
          <w:tab w:leader="none" w:pos="93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920" w:hanging="267"/>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pressure that NTIC or its corporate joint ventures may experience internationally;</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ectPr>
          <w:pgSz w:w="11900" w:h="16838" w:orient="portrait"/>
          <w:cols w:equalWidth="0" w:num="1">
            <w:col w:w="11400"/>
          </w:cols>
          <w:pgMar w:left="240" w:top="125" w:right="259" w:bottom="0" w:gutter="0" w:footer="0" w:header="0"/>
        </w:sectPr>
      </w:pPr>
    </w:p>
    <w:bookmarkStart w:id="15" w:name="page16"/>
    <w:bookmarkEnd w:id="15"/>
    <w:p>
      <w:pPr>
        <w:ind w:left="920" w:hanging="26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22" w:lineRule="exact"/>
        <w:rPr>
          <w:rFonts w:ascii="Arial" w:cs="Arial" w:eastAsia="Arial" w:hAnsi="Arial"/>
          <w:sz w:val="18"/>
          <w:szCs w:val="18"/>
          <w:color w:val="auto"/>
        </w:rPr>
      </w:pPr>
    </w:p>
    <w:p>
      <w:pPr>
        <w:ind w:left="920" w:hanging="26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8" w:lineRule="exact"/>
        <w:rPr>
          <w:rFonts w:ascii="Arial" w:cs="Arial" w:eastAsia="Arial" w:hAnsi="Arial"/>
          <w:sz w:val="18"/>
          <w:szCs w:val="18"/>
          <w:color w:val="auto"/>
        </w:rPr>
      </w:pPr>
    </w:p>
    <w:p>
      <w:pPr>
        <w:ind w:left="920" w:hanging="267"/>
        <w:spacing w:after="0"/>
        <w:tabs>
          <w:tab w:leader="none" w:pos="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w:t>
      </w:r>
    </w:p>
    <w:p>
      <w:pPr>
        <w:spacing w:after="0" w:line="209"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color w:val="auto"/>
        </w:rPr>
        <w:t>NTIC cannot assure you that one or more of the factors listed above will not harm its business. Any material decrease in NTIC’s international sales could adversely affect NTIC’s operating results.</w:t>
      </w:r>
    </w:p>
    <w:p>
      <w:pPr>
        <w:spacing w:after="0" w:line="17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i w:val="1"/>
          <w:iCs w:val="1"/>
          <w:color w:val="auto"/>
        </w:rPr>
        <w:t>NTIC’s liquidity and financial position rely on dividend distributions from its corporate joint ventures, which if such dividends cease or are reduced could adversely affect NTIC’s liquidity and financial position.</w:t>
      </w:r>
    </w:p>
    <w:p>
      <w:pPr>
        <w:spacing w:after="0" w:line="171"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NTIC’s liquidity and financial position rely on dividend distributions from its corporate joint ventures. During the nine months ended May 31, 2008 and the fiscal year ended August 31, 2007, NTIC received $1,805,411 and $1,643,091, respectively, in dividends from its corporate joint ventures. Because NTIC typically owns only 50% or less of its joint venture entities, NTIC does not control the decisions of these entities regarding whether to pay dividends and how much in dividends should be paid in any given year. Thus, NTIC cannot guarantee that any of its joint ventures will pay dividends in any given year. The failure of NTIC’s joint ventures to declare dividends in amounts typically expected by NTIC could adversely affect NTIC’s liquidity and financial position.</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reported consolidated net sales and net income.</w:t>
      </w:r>
    </w:p>
    <w:p>
      <w:pPr>
        <w:spacing w:after="0" w:line="2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Because the functional currency of NTIC’s foreign operations and investments in its foreign corporate joint ventures and holding companies is the applicable local currency, NTIC is exposed to foreign currency exchange rate risk arising from transactions in the normal course of business since NTIC’s fees for technical support and other services and dividend distributions from these foreign entities are paid in foreign currencies. NTIC’s reported consolidated net sales and net income are subject to fluctuations in foreign exchange rates. NTIC’s principal exchange rate exposure is with the Euro, the Japanese yen, Korean won and the English pound against the U.S. dollar. NTIC does not hedge against its foreign currency exchange rate risk. Since NTIC’s investments in its corporate joint ventures and holding companies are accounted for using the equity method, any changes in foreign currency exchange rates would be reflected as a foreign currency translation adjustment and would not change the equity in income of joint ventures and holding companies reflected in NTIC’s consolidated statements of income.</w:t>
      </w:r>
    </w:p>
    <w:p>
      <w:pPr>
        <w:spacing w:after="0" w:line="190"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b w:val="1"/>
          <w:bCs w:val="1"/>
          <w:i w:val="1"/>
          <w:iCs w:val="1"/>
          <w:color w:val="auto"/>
        </w:rPr>
        <w:t>NTIC’s compliance with U.S. generally accepted accounting principles and any changes in such principles might adversely affect NTIC’s operating results and financial condition. Any requirement to consolidate NTIC’s corporate joint ventures or subject them to compliance with the internal control provisions of the Sarbanes-Oxley Act of 2002 could adversely affect NTIC’s operating results and financial condition.</w:t>
      </w:r>
    </w:p>
    <w:p>
      <w:pPr>
        <w:spacing w:after="0" w:line="164"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NTIC adopted accounting policy FASB Interpretation No. 46R (FIN 46R), “</w:t>
      </w:r>
      <w:r>
        <w:rPr>
          <w:rFonts w:ascii="Arial" w:cs="Arial" w:eastAsia="Arial" w:hAnsi="Arial"/>
          <w:sz w:val="18"/>
          <w:szCs w:val="18"/>
          <w:i w:val="1"/>
          <w:iCs w:val="1"/>
          <w:color w:val="auto"/>
        </w:rPr>
        <w:t>Consolidation of Variable Interest Entities</w:t>
      </w:r>
      <w:r>
        <w:rPr>
          <w:rFonts w:ascii="Arial" w:cs="Arial" w:eastAsia="Arial" w:hAnsi="Arial"/>
          <w:sz w:val="18"/>
          <w:szCs w:val="18"/>
          <w:color w:val="auto"/>
        </w:rPr>
        <w:t xml:space="preserve">, </w:t>
      </w:r>
      <w:r>
        <w:rPr>
          <w:rFonts w:ascii="Arial" w:cs="Arial" w:eastAsia="Arial" w:hAnsi="Arial"/>
          <w:sz w:val="18"/>
          <w:szCs w:val="18"/>
          <w:i w:val="1"/>
          <w:iCs w:val="1"/>
          <w:color w:val="auto"/>
        </w:rPr>
        <w:t>a revision of FIN 46”</w:t>
      </w:r>
      <w:r>
        <w:rPr>
          <w:rFonts w:ascii="Arial" w:cs="Arial" w:eastAsia="Arial" w:hAnsi="Arial"/>
          <w:sz w:val="18"/>
          <w:szCs w:val="18"/>
          <w:color w:val="auto"/>
        </w:rPr>
        <w:t xml:space="preserve"> effective as of May 31, 2005. As a result of FIN 46R, NTIC consolidated React-NTI LLC, one of its corporate joint ventures that is 75% owned by NTIC. If the interpretation of FIN 46R were to change and NTIC were required to fully consolidate the remaining 28 of its corporate joint ventures or if NTIC’s corporate joint ventures otherwise would be required to be in compliance with the internal control provisions of the Sarbanes-Oxley Act of 2002, NTIC would incur significant additional costs. NTIC estimates that the costs for each of its corporate joint ventures to become Sarbanes-Oxley compliant would range between $150,000 to $500,000 and that annual maintenance expenses would range from $50,000 to $100,000 per year per corporate joint venture thereafter. In addition, other accounting pronouncements issued in the future could have a material cost associated with NTIC’s implementation of such new accounting pronouncements.</w:t>
      </w:r>
    </w:p>
    <w:p>
      <w:pPr>
        <w:spacing w:after="0" w:line="190" w:lineRule="exact"/>
        <w:rPr>
          <w:sz w:val="20"/>
          <w:szCs w:val="20"/>
          <w:color w:val="auto"/>
        </w:rPr>
      </w:pPr>
    </w:p>
    <w:p>
      <w:pPr>
        <w:jc w:val="both"/>
        <w:ind w:right="340"/>
        <w:spacing w:after="0" w:line="310" w:lineRule="auto"/>
        <w:rPr>
          <w:sz w:val="20"/>
          <w:szCs w:val="20"/>
          <w:color w:val="auto"/>
        </w:rPr>
      </w:pPr>
      <w:r>
        <w:rPr>
          <w:rFonts w:ascii="Arial" w:cs="Arial" w:eastAsia="Arial" w:hAnsi="Arial"/>
          <w:sz w:val="16"/>
          <w:szCs w:val="16"/>
          <w:b w:val="1"/>
          <w:bCs w:val="1"/>
          <w:i w:val="1"/>
          <w:iCs w:val="1"/>
          <w:color w:val="auto"/>
        </w:rPr>
        <w:t>One of NTIC’s principal stockholders beneficially owns 24.5% of NTIC’s outstanding common stock and is affiliated with NTIC’s President and Chief Executive Officer and thus may be able influence matters requiring stockholder approval, including the election of directors, and could discourage or otherwise impede a transaction in which a third party wishes to purchase NTIC’s outstanding shares at a premium.</w:t>
      </w:r>
    </w:p>
    <w:p>
      <w:pPr>
        <w:spacing w:after="0" w:line="147"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As of July 11, 2008, Inter Alia Holding Company beneficially owned approximately 24.5% of NTIC’s outstanding common stock. Inter Alia is an entity owned by, among others, G. Patrick Lynch, NTIC’s President and Chief Executive Officer and a director, and Philip M. Lynch, NTIC’s former Chairman of the Board and Chief Executive Officer and current Chairman Emeritus. G. Patrick Lynch is the son of Philip M. Lynch. Messrs. G.P. Lynch and P.M. Lynch share voting and dispositive power of shares of NTIC’s common stock held by Inter Alia Holding Company. As a result of his share ownership through Inter Alia and his position as President and Chief Executive Officer and a director of NTIC, Mr. G.P. Lynch may be able to influence the affairs and actions of NTIC, including matters requiring stockholder approval, such as the election of directors and approval of significant corporate transactions. The interests of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7"/>
          <w:szCs w:val="17"/>
          <w:color w:val="auto"/>
        </w:rPr>
        <w:t>stock that could give stockholders the opportunity to realize a premium over the then-prevailing market price for shares of NTIC’s common stock.</w:t>
      </w:r>
    </w:p>
    <w:p>
      <w:pPr>
        <w:spacing w:after="0" w:line="235"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i w:val="1"/>
          <w:iCs w:val="1"/>
          <w:color w:val="auto"/>
        </w:rPr>
        <w:t>NTIC is currently involved in litigation over its trademark on the use of the color Yellow in corrosion inhibiting packaging, the loss of which could adversely affect NTIC’s business.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One of NTIC’s important trademarks for its business is the trademark for the color Yellow. NTIC is currently involved in litigation against a competitor over this trademark. NTIC has also in the past successfully prosecuted infringement claims against other competitors and third parties for their use of the color Yellow. If NTIC were to lose this current or any future litigation over its trademark for the color Yellow, NTIC could be in a more difficult position to enforce its rights to this trademark in other countries and against other third parties. NTIC believes that the loss of its trademark for the color Yellow could have an adverse effect on NTIC’s business.</w:t>
      </w:r>
    </w:p>
    <w:p>
      <w:pPr>
        <w:sectPr>
          <w:pgSz w:w="11900" w:h="16838" w:orient="portrait"/>
          <w:cols w:equalWidth="0" w:num="1">
            <w:col w:w="11420"/>
          </w:cols>
          <w:pgMar w:left="240" w:top="125" w:right="239" w:bottom="73" w:gutter="0" w:footer="0" w:header="0"/>
        </w:sectPr>
      </w:pPr>
    </w:p>
    <w:bookmarkStart w:id="16" w:name="page17"/>
    <w:bookmarkEnd w:id="16"/>
    <w:p>
      <w:pPr>
        <w:ind w:right="20"/>
        <w:spacing w:after="0" w:line="262"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with which compliance may require NTIC to incur expenses or modify its products or operations and may expose NTIC to penalties for non-compliance. Governmental regulation may also adversely affect the demand for some of NTIC’s products and NTIC’s operating results.</w:t>
      </w:r>
    </w:p>
    <w:p>
      <w:pPr>
        <w:spacing w:after="0" w:line="18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of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35"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185" w:lineRule="exact"/>
        <w:rPr>
          <w:sz w:val="20"/>
          <w:szCs w:val="20"/>
          <w:color w:val="auto"/>
        </w:rPr>
      </w:pPr>
    </w:p>
    <w:p>
      <w:pPr>
        <w:ind w:left="920" w:hanging="267"/>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2" w:lineRule="exact"/>
        <w:rPr>
          <w:rFonts w:ascii="Arial" w:cs="Arial" w:eastAsia="Arial" w:hAnsi="Arial"/>
          <w:sz w:val="18"/>
          <w:szCs w:val="18"/>
          <w:color w:val="auto"/>
        </w:rPr>
      </w:pPr>
    </w:p>
    <w:p>
      <w:pPr>
        <w:ind w:left="980" w:right="380" w:hanging="327"/>
        <w:spacing w:after="0" w:line="249" w:lineRule="auto"/>
        <w:tabs>
          <w:tab w:leader="none" w:pos="9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an acquired business or in realizing projected efficiencies, cost savings and revenue synergies;</w:t>
      </w:r>
    </w:p>
    <w:p>
      <w:pPr>
        <w:ind w:left="980" w:right="240" w:hanging="327"/>
        <w:spacing w:after="0" w:line="249" w:lineRule="auto"/>
        <w:tabs>
          <w:tab w:leader="none" w:pos="9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acquired businesses or adverse effects on existing business relationships with suppliers and customers;</w:t>
      </w:r>
    </w:p>
    <w:p>
      <w:pPr>
        <w:ind w:left="920" w:hanging="267"/>
        <w:spacing w:after="0"/>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adverse impact on overall profitability if acquired businesses do not achieve the financial results projected in NTIC’s valuation models;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80" w:right="100" w:hanging="327"/>
        <w:spacing w:after="0" w:line="255" w:lineRule="auto"/>
        <w:tabs>
          <w:tab w:leader="none" w:pos="9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acquisition purchase prices, which could in turn restrict NTIC’s ability to access additional capital when needed or to pursue other important elements of NTIC’s business strategy;</w:t>
      </w:r>
    </w:p>
    <w:p>
      <w:pPr>
        <w:ind w:left="920" w:hanging="267"/>
        <w:spacing w:after="0"/>
        <w:tabs>
          <w:tab w:leader="none" w:pos="9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inaccurate assessment of undisclosed, contingent or other liabilities or problems and unanticipated costs associated with the acquisition; and</w:t>
      </w:r>
    </w:p>
    <w:p>
      <w:pPr>
        <w:spacing w:after="0" w:line="31" w:lineRule="exact"/>
        <w:rPr>
          <w:rFonts w:ascii="Arial" w:cs="Arial" w:eastAsia="Arial" w:hAnsi="Arial"/>
          <w:sz w:val="16"/>
          <w:szCs w:val="16"/>
          <w:color w:val="auto"/>
        </w:rPr>
      </w:pPr>
    </w:p>
    <w:p>
      <w:pPr>
        <w:ind w:left="980" w:right="120" w:hanging="327"/>
        <w:spacing w:after="0" w:line="258" w:lineRule="auto"/>
        <w:tabs>
          <w:tab w:leader="none" w:pos="93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incurrence of non-recurring charges and write-off of significant amounts of goodwill that could adversely affect NTIC’s operating results.</w:t>
      </w:r>
    </w:p>
    <w:p>
      <w:pPr>
        <w:spacing w:after="0" w:line="186"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relies on its independent distributors, manufacturer’s sales representatives and corporate joint ventures to market and sell its products.</w:t>
      </w:r>
    </w:p>
    <w:p>
      <w:pPr>
        <w:spacing w:after="0" w:line="2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In addition to its direct sales force, NTIC relies on its independent distributors, manufacturer’s sales representatives and corporate joint ventures to market and sell its products in the United States and internationally. NTIC’s independent distributors, manufacturer’s sales representatives and joint venture partners might terminate their relationship with NTIC, or devote insufficient sales efforts to NTIC’s products. NTIC does not control its independent distributors, manufacturer’s sales representatives and joint ventures and they may not be successful in implementing NTIC’s marketing plans. NTIC’s failure to maintain its existing relationships with its independent distributors, manufacturer’s sales representatives and joint ventures, or its failure to recruit and retain additional skilled independent distributors, manufacturer’s sales representatives and joint venture partners could have an adverse effect on NTIC’s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very limited staffing and will continue to be dependent upon key employees.</w:t>
      </w:r>
    </w:p>
    <w:p>
      <w:pPr>
        <w:spacing w:after="0" w:line="22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staff. NTIC’s future success will also depend in large part on its ability to retain these individuals and identify, attract and retain other highly qualified managerial, technical, sales and marketing and customer service personnel. Competition for these individuals is intense, especially in the markets in which NTIC operates. NTIC may not succeed in identifying, attracting and retaining these personnel. The current management, other than the President and Chief Executive Officer, do not have any material stock ownership in NTIC or any contractual obligation to maintain their employment with us. The loss or interruption of services of any of NTIC’s key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164"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18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ectPr>
          <w:pgSz w:w="11900" w:h="16838" w:orient="portrait"/>
          <w:cols w:equalWidth="0" w:num="1">
            <w:col w:w="11420"/>
          </w:cols>
          <w:pgMar w:left="240" w:top="125" w:right="239" w:bottom="0" w:gutter="0" w:footer="0" w:header="0"/>
        </w:sectPr>
      </w:pP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95250</wp:posOffset>
            </wp:positionV>
            <wp:extent cx="7268210" cy="26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8210" cy="2667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17" w:name="page18"/>
    <w:bookmarkEnd w:id="17"/>
    <w:p>
      <w:pPr>
        <w:ind w:right="120"/>
        <w:spacing w:after="0" w:line="275"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195"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In addition, NTIC relies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64" w:lineRule="exact"/>
        <w:rPr>
          <w:sz w:val="20"/>
          <w:szCs w:val="20"/>
          <w:color w:val="auto"/>
        </w:rPr>
      </w:pPr>
    </w:p>
    <w:p>
      <w:pPr>
        <w:ind w:right="380"/>
        <w:spacing w:after="0" w:line="306" w:lineRule="auto"/>
        <w:rPr>
          <w:sz w:val="20"/>
          <w:szCs w:val="20"/>
          <w:color w:val="auto"/>
        </w:rPr>
      </w:pPr>
      <w:r>
        <w:rPr>
          <w:rFonts w:ascii="Arial" w:cs="Arial" w:eastAsia="Arial" w:hAnsi="Arial"/>
          <w:sz w:val="17"/>
          <w:szCs w:val="17"/>
          <w:b w:val="1"/>
          <w:bCs w:val="1"/>
          <w:i w:val="1"/>
          <w:iCs w:val="1"/>
          <w:color w:val="auto"/>
        </w:rPr>
        <w:t>If NTIC is unable to continue to enhance existing products and develop and market new products that respond to customer needs and achieve market acceptance, NTIC may experience a decrease in demand for its products, and its business could suffer.</w:t>
      </w:r>
    </w:p>
    <w:p>
      <w:pPr>
        <w:spacing w:after="0" w:line="147" w:lineRule="exact"/>
        <w:rPr>
          <w:sz w:val="20"/>
          <w:szCs w:val="20"/>
          <w:color w:val="auto"/>
        </w:rPr>
      </w:pPr>
    </w:p>
    <w:p>
      <w:pPr>
        <w:ind w:right="180"/>
        <w:spacing w:after="0" w:line="268"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in the markets in which it competes. Product development requires significant financial and other resources. Although in the past NTIC has implemented lean manufacturing and other productivity improvement initiatives to provide investment funding for new products, NTIC cannot assure you that it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cannot assure you it will be able to compete effectively, which would harm its business and operating results.</w:t>
      </w:r>
    </w:p>
    <w:p>
      <w:pPr>
        <w:spacing w:after="0" w:line="20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NTIC’s products are sold in highly competitive markets throughout the world. The principal competitive factors in NTIC’s markets are pricing, product innovation, quality and reliability, product support and customer service and reputation. NTIC often competes with numerous manufacturers, many of who have substantially greater financial, marketing, and other resources than NTIC does. As a result, they may be able to adapt more quickly to new or emerging technologies and changes in customer requirements, or to devote greater resources to the promotion and sale of their products than NTIC can. In addition, competition could increase if new companies enter the market or if existing competitors expand their product lines or intensify efforts within existing product lines. NTIC’s current products, products under development and its ability to</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develop new and improved products may be insufficient to enable NTIC to compete effectively with its competitors. NTIC cannot assure you that it will be able to compete effectively, which would harm its business and operating results.</w:t>
      </w:r>
    </w:p>
    <w:p>
      <w:pPr>
        <w:spacing w:after="0" w:line="171" w:lineRule="exact"/>
        <w:rPr>
          <w:sz w:val="20"/>
          <w:szCs w:val="20"/>
          <w:color w:val="auto"/>
        </w:rPr>
      </w:pPr>
    </w:p>
    <w:p>
      <w:pPr>
        <w:ind w:right="320"/>
        <w:spacing w:after="0" w:line="306" w:lineRule="auto"/>
        <w:rPr>
          <w:sz w:val="20"/>
          <w:szCs w:val="20"/>
          <w:color w:val="auto"/>
        </w:rPr>
      </w:pPr>
      <w:r>
        <w:rPr>
          <w:rFonts w:ascii="Arial" w:cs="Arial" w:eastAsia="Arial" w:hAnsi="Arial"/>
          <w:sz w:val="17"/>
          <w:szCs w:val="17"/>
          <w:b w:val="1"/>
          <w:bCs w:val="1"/>
          <w:i w:val="1"/>
          <w:iCs w:val="1"/>
          <w:color w:val="auto"/>
        </w:rPr>
        <w:t>NTIC is currently involved in several litigation matters and an audit matter with the U.S. Internal Revenue Service, which are costly to defend and the resolution of which could have a material adverse effect on NTIC’s operating results and financial position.</w:t>
      </w:r>
    </w:p>
    <w:p>
      <w:pPr>
        <w:spacing w:after="0" w:line="147" w:lineRule="exact"/>
        <w:rPr>
          <w:sz w:val="20"/>
          <w:szCs w:val="20"/>
          <w:color w:val="auto"/>
        </w:rPr>
      </w:pPr>
    </w:p>
    <w:p>
      <w:pPr>
        <w:ind w:right="260"/>
        <w:spacing w:after="0" w:line="285" w:lineRule="auto"/>
        <w:rPr>
          <w:sz w:val="20"/>
          <w:szCs w:val="20"/>
          <w:color w:val="auto"/>
        </w:rPr>
      </w:pPr>
      <w:r>
        <w:rPr>
          <w:rFonts w:ascii="Arial" w:cs="Arial" w:eastAsia="Arial" w:hAnsi="Arial"/>
          <w:sz w:val="17"/>
          <w:szCs w:val="17"/>
          <w:color w:val="auto"/>
        </w:rPr>
        <w:t>NTIC is party to several litigation matters and an audit matter with the U.S. Internal Revenue Service as described in more detail in Note 9 to NTIC’s consolidated financial statements. Such litigation and audit matter are costly and may adversely affect NTIC’s operating results and financial condition. In addition, the resolution of such matters may also have a material adverse effect on NTIC’s operating results and financial condition.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46"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Sarbanes-Oxley Act of 2002 and related and other recent regulations implemented by the SEC and The American Stock Exchange, are creating uncertainty for public companies, increasing legal and financial compliance costs and making some activities more time consuming. NTIC will be evaluating its internal controls systems to allow management to report on, and its independent registered public accounting firm to attest to, NTIC’s internal control over financial reporting. NTIC will be performing the system and process evaluation and testing (and any necessary remediation) required to comply with the management certification and auditor attestation requirements of Section 404 of the Sarbanes-Oxley Act. NTIC cannot be certain as to the timing of completion of its evaluation, testing and remediation actions or the impact of the same on its operations since there is presently no precedent available by which to measure compliance adequacy. If NTIC is not able to implement the requirements of Section 404 in a timely manner or with adequate compliance, NTIC may be subject to sanctions or investigation by regulatory authorities, including the SEC or the NASDAQ Stock Market. This type of action could adversely affect NTIC’s financial results or investors’ confidence in NTIC, and could cause NTIC’s stock price to decline. In addition, the controls and procedures that NTIC may implement may not comply with all of the relevant rules and regulations of the SEC and the NASDAQ Stock Market. If NTIC fails to develop and maintain effective controls and procedures, it may be unable to provide the required financial information in a timely and reliable manner. In addition, NTIC’s efforts to comply with Section 404 of the Sarbanes-Oxley Act of 2002 and the related regulations regarding its assessment of its internal control over financial reporting and its independent registered public accounting firm’s report on that assessment will require the commitment of significant financial and managerial resources.</w:t>
      </w:r>
    </w:p>
    <w:p>
      <w:pPr>
        <w:spacing w:after="0" w:line="16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CONTROLS AND PROCEDURES</w:t>
      </w:r>
    </w:p>
    <w:p>
      <w:pPr>
        <w:sectPr>
          <w:pgSz w:w="11900" w:h="16838" w:orient="portrait"/>
          <w:cols w:equalWidth="0" w:num="1">
            <w:col w:w="11400"/>
          </w:cols>
          <w:pgMar w:left="240" w:top="582" w:right="259" w:bottom="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reasonably ensure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and principal financial officers, or persons performing similar functions, as appropriate to allow timely decisions regarding required disclosure. In designing and evaluating NTIC’s disclosure controls and procedures, NTIC recognizes that any controls and procedures, no matter how well designed and operated can provide only reasonable assurance of achieving the desired control objectives and NTIC necessarily is required to apply its judgment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in evaluating the cost-benefit relationship of possible controls and procedures.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NTIC’s Exchange Act reports is recorded, processed, summarized, and reported within the time periods specified in the SEC’s rules and forms, and that material information relating to NTIC and its consolidated subsidiaries is made known to management, including NTIC’s Chief Executive Officer and Chief Financial Officer, particularly during the period when NTIC’s periodic reports are being prepared.</w:t>
      </w:r>
    </w:p>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NTIC’s management is aware, however, that there is a lack of segregation of duties due to the small number of employees of NTIC dealing with general administrative and financial matters. However, NTIC’s management has decided that considering the employees involved and the control procedures in place, risks associated with such lack of segregation are minimal and the potential benefits of adding employees to clearly segregate duties do not at this time justify the expenses associated with such increases.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May 31, 2008 that has materially affected, or is reasonably likely to materially affect NTIC’s internal control over financial reporting.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right="680"/>
        <w:spacing w:after="0" w:line="275" w:lineRule="auto"/>
        <w:rPr>
          <w:sz w:val="20"/>
          <w:szCs w:val="20"/>
          <w:color w:val="auto"/>
        </w:rPr>
      </w:pPr>
      <w:r>
        <w:rPr>
          <w:rFonts w:ascii="Arial" w:cs="Arial" w:eastAsia="Arial" w:hAnsi="Arial"/>
          <w:sz w:val="18"/>
          <w:szCs w:val="18"/>
          <w:color w:val="auto"/>
        </w:rPr>
        <w:t>A description of NTIC’s legal proceedings in Note 9 of NTIC’s consolidated financial statements included within this report is incorporated herein by reference.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11, 2008, Northern Technologies International Corporation entered into an agreement to settle a lawsuit brought by Evelyna Cantwell and Jack Cantwell, individually, and also doing business as the principals of Byrd-Walsh International, LLC, against NTIC and its former Chairman of the Board and Chief Executive Officer and current Chairman Emeritus, Philip M. Lynch. The lawsuit sought unspecified injunctive relief as well as compensatory and punitive damages in an unspecified amount which, based on the allegations of the complaint, may have been claimed by plaintiffs to be in an amount in excess of $45 million. Under the terms of the settlement agreement, the plaintiffs agreed to dismiss their claims with prejudice and to release NTIC and Mr. Philip M. Lynch from any and all claims, in exchange for a cash payment from NTIC of $41,340.</w:t>
      </w:r>
    </w:p>
    <w:p>
      <w:pPr>
        <w:spacing w:after="0" w:line="17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2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During the three months ended May 31, 2008, NTIC did not issue any shares of its common stock or other equity securities of NTIC that were not registered under the Securities Act of 1933.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 Business 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May 31, 2008, NTIC did not purchase any shares of its common stock or other equity securities of NTIC.</w:t>
      </w:r>
    </w:p>
    <w:p>
      <w:pPr>
        <w:spacing w:after="0" w:line="223"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On November 13, 2003, the Board of Directors of NTIC authorized Matthew Wolsfeld, Chief Financial Officer of NTIC, to repurchase on behalf of NTIC, up to 100,000 shares of NTIC’s common stock from time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80645</wp:posOffset>
            </wp:positionV>
            <wp:extent cx="726821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to time in accordance with applicable rules governing issuer stock repurchases. Since being authorized, NTIC has repurchased and retired an aggregate of 44,200 shares of its common stock.</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7"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color w:val="auto"/>
        </w:rPr>
        <w:t>NTIC moved its common stock listing from the American Stock Exchange to the NASDAQ Global Market. The company’s common stock began trading on NASDAQ under the symbol NTIC on June 30, 2008.</w:t>
      </w:r>
    </w:p>
    <w:p>
      <w:pPr>
        <w:spacing w:after="0" w:line="1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being filed or furnished with this quarterly report on Form 10-QSB:</w:t>
      </w:r>
    </w:p>
    <w:p>
      <w:pPr>
        <w:sectPr>
          <w:pgSz w:w="11900" w:h="16838" w:orient="portrait"/>
          <w:cols w:equalWidth="0" w:num="1">
            <w:col w:w="11420"/>
          </w:cols>
          <w:pgMar w:left="240" w:top="121" w:right="239" w:bottom="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70"/>
        </w:trPr>
        <w:tc>
          <w:tcPr>
            <w:tcW w:w="9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2"/>
              </w:rPr>
              <w:t>Exhibit No.</w:t>
            </w:r>
          </w:p>
        </w:tc>
        <w:tc>
          <w:tcPr>
            <w:tcW w:w="340" w:type="dxa"/>
            <w:vAlign w:val="bottom"/>
          </w:tcPr>
          <w:p>
            <w:pPr>
              <w:spacing w:after="0"/>
              <w:rPr>
                <w:sz w:val="14"/>
                <w:szCs w:val="14"/>
                <w:color w:val="auto"/>
              </w:rPr>
            </w:pPr>
          </w:p>
        </w:tc>
        <w:tc>
          <w:tcPr>
            <w:tcW w:w="10140" w:type="dxa"/>
            <w:vAlign w:val="bottom"/>
            <w:tcBorders>
              <w:bottom w:val="single" w:sz="8" w:color="auto"/>
            </w:tcBorders>
          </w:tcPr>
          <w:p>
            <w:pPr>
              <w:ind w:left="47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4"/>
        </w:trPr>
        <w:tc>
          <w:tcPr>
            <w:tcW w:w="940" w:type="dxa"/>
            <w:vAlign w:val="bottom"/>
          </w:tcPr>
          <w:p>
            <w:pPr>
              <w:jc w:val="right"/>
              <w:ind w:right="213"/>
              <w:spacing w:after="0" w:line="195" w:lineRule="exact"/>
              <w:rPr>
                <w:sz w:val="20"/>
                <w:szCs w:val="20"/>
                <w:color w:val="auto"/>
              </w:rPr>
            </w:pPr>
            <w:r>
              <w:rPr>
                <w:rFonts w:ascii="Arial" w:cs="Arial" w:eastAsia="Arial" w:hAnsi="Arial"/>
                <w:sz w:val="18"/>
                <w:szCs w:val="18"/>
                <w:color w:val="auto"/>
              </w:rPr>
              <w:t>10.1</w:t>
            </w:r>
          </w:p>
        </w:tc>
        <w:tc>
          <w:tcPr>
            <w:tcW w:w="340" w:type="dxa"/>
            <w:vAlign w:val="bottom"/>
          </w:tcPr>
          <w:p>
            <w:pPr>
              <w:spacing w:after="0"/>
              <w:rPr>
                <w:sz w:val="16"/>
                <w:szCs w:val="16"/>
                <w:color w:val="auto"/>
              </w:rPr>
            </w:pPr>
          </w:p>
        </w:tc>
        <w:tc>
          <w:tcPr>
            <w:tcW w:w="10140" w:type="dxa"/>
            <w:vAlign w:val="bottom"/>
          </w:tcPr>
          <w:p>
            <w:pPr>
              <w:spacing w:after="0" w:line="195" w:lineRule="exact"/>
              <w:rPr>
                <w:sz w:val="20"/>
                <w:szCs w:val="20"/>
                <w:color w:val="auto"/>
              </w:rPr>
            </w:pPr>
            <w:r>
              <w:rPr>
                <w:rFonts w:ascii="Arial" w:cs="Arial" w:eastAsia="Arial" w:hAnsi="Arial"/>
                <w:sz w:val="18"/>
                <w:szCs w:val="18"/>
                <w:color w:val="auto"/>
                <w:w w:val="92"/>
              </w:rPr>
              <w:t>Promissory Note Modification Agreement dated April 10, 2008 between Northern Technologies International Corporation and National City</w:t>
            </w:r>
          </w:p>
        </w:tc>
        <w:tc>
          <w:tcPr>
            <w:tcW w:w="40" w:type="dxa"/>
            <w:vAlign w:val="bottom"/>
          </w:tcPr>
          <w:p>
            <w:pPr>
              <w:spacing w:after="0"/>
              <w:rPr>
                <w:sz w:val="16"/>
                <w:szCs w:val="16"/>
                <w:color w:val="auto"/>
              </w:rPr>
            </w:pPr>
          </w:p>
        </w:tc>
      </w:tr>
      <w:tr>
        <w:trPr>
          <w:trHeight w:val="230"/>
        </w:trPr>
        <w:tc>
          <w:tcPr>
            <w:tcW w:w="940" w:type="dxa"/>
            <w:vAlign w:val="bottom"/>
          </w:tcPr>
          <w:p>
            <w:pPr>
              <w:spacing w:after="0"/>
              <w:rPr>
                <w:sz w:val="19"/>
                <w:szCs w:val="19"/>
                <w:color w:val="auto"/>
              </w:rPr>
            </w:pPr>
          </w:p>
        </w:tc>
        <w:tc>
          <w:tcPr>
            <w:tcW w:w="10480" w:type="dxa"/>
            <w:vAlign w:val="bottom"/>
            <w:gridSpan w:val="2"/>
          </w:tcPr>
          <w:p>
            <w:pPr>
              <w:ind w:left="340"/>
              <w:spacing w:after="0"/>
              <w:rPr>
                <w:sz w:val="20"/>
                <w:szCs w:val="20"/>
                <w:color w:val="auto"/>
              </w:rPr>
            </w:pPr>
            <w:r>
              <w:rPr>
                <w:rFonts w:ascii="Arial" w:cs="Arial" w:eastAsia="Arial" w:hAnsi="Arial"/>
                <w:sz w:val="18"/>
                <w:szCs w:val="18"/>
                <w:color w:val="auto"/>
              </w:rPr>
              <w:t>Bank</w:t>
            </w:r>
          </w:p>
        </w:tc>
        <w:tc>
          <w:tcPr>
            <w:tcW w:w="40" w:type="dxa"/>
            <w:vAlign w:val="bottom"/>
          </w:tcPr>
          <w:p>
            <w:pPr>
              <w:spacing w:after="0"/>
              <w:rPr>
                <w:sz w:val="19"/>
                <w:szCs w:val="19"/>
                <w:color w:val="auto"/>
              </w:rPr>
            </w:pPr>
          </w:p>
        </w:tc>
      </w:tr>
      <w:tr>
        <w:trPr>
          <w:trHeight w:val="430"/>
        </w:trPr>
        <w:tc>
          <w:tcPr>
            <w:tcW w:w="940" w:type="dxa"/>
            <w:vAlign w:val="bottom"/>
          </w:tcPr>
          <w:p>
            <w:pPr>
              <w:jc w:val="right"/>
              <w:ind w:right="213"/>
              <w:spacing w:after="0"/>
              <w:rPr>
                <w:sz w:val="20"/>
                <w:szCs w:val="20"/>
                <w:color w:val="auto"/>
              </w:rPr>
            </w:pPr>
            <w:r>
              <w:rPr>
                <w:rFonts w:ascii="Arial" w:cs="Arial" w:eastAsia="Arial" w:hAnsi="Arial"/>
                <w:sz w:val="18"/>
                <w:szCs w:val="18"/>
                <w:color w:val="auto"/>
              </w:rPr>
              <w:t>31.1</w:t>
            </w:r>
          </w:p>
        </w:tc>
        <w:tc>
          <w:tcPr>
            <w:tcW w:w="1048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40" w:type="dxa"/>
            <w:vAlign w:val="bottom"/>
          </w:tcPr>
          <w:p>
            <w:pPr>
              <w:spacing w:after="0"/>
              <w:rPr>
                <w:sz w:val="24"/>
                <w:szCs w:val="24"/>
                <w:color w:val="auto"/>
              </w:rPr>
            </w:pPr>
          </w:p>
        </w:tc>
      </w:tr>
      <w:tr>
        <w:trPr>
          <w:trHeight w:val="430"/>
        </w:trPr>
        <w:tc>
          <w:tcPr>
            <w:tcW w:w="940" w:type="dxa"/>
            <w:vAlign w:val="bottom"/>
          </w:tcPr>
          <w:p>
            <w:pPr>
              <w:jc w:val="right"/>
              <w:ind w:right="213"/>
              <w:spacing w:after="0"/>
              <w:rPr>
                <w:sz w:val="20"/>
                <w:szCs w:val="20"/>
                <w:color w:val="auto"/>
              </w:rPr>
            </w:pPr>
            <w:r>
              <w:rPr>
                <w:rFonts w:ascii="Arial" w:cs="Arial" w:eastAsia="Arial" w:hAnsi="Arial"/>
                <w:sz w:val="18"/>
                <w:szCs w:val="18"/>
                <w:color w:val="auto"/>
              </w:rPr>
              <w:t>31.2</w:t>
            </w:r>
          </w:p>
        </w:tc>
        <w:tc>
          <w:tcPr>
            <w:tcW w:w="10480" w:type="dxa"/>
            <w:vAlign w:val="bottom"/>
            <w:gridSpan w:val="2"/>
          </w:tcPr>
          <w:p>
            <w:pPr>
              <w:ind w:left="34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40" w:type="dxa"/>
            <w:vAlign w:val="bottom"/>
          </w:tcPr>
          <w:p>
            <w:pPr>
              <w:spacing w:after="0"/>
              <w:rPr>
                <w:sz w:val="24"/>
                <w:szCs w:val="24"/>
                <w:color w:val="auto"/>
              </w:rPr>
            </w:pPr>
          </w:p>
        </w:tc>
      </w:tr>
      <w:tr>
        <w:trPr>
          <w:trHeight w:val="416"/>
        </w:trPr>
        <w:tc>
          <w:tcPr>
            <w:tcW w:w="940" w:type="dxa"/>
            <w:vAlign w:val="bottom"/>
          </w:tcPr>
          <w:p>
            <w:pPr>
              <w:jc w:val="right"/>
              <w:ind w:right="213"/>
              <w:spacing w:after="0"/>
              <w:rPr>
                <w:sz w:val="20"/>
                <w:szCs w:val="20"/>
                <w:color w:val="auto"/>
              </w:rPr>
            </w:pPr>
            <w:r>
              <w:rPr>
                <w:rFonts w:ascii="Arial" w:cs="Arial" w:eastAsia="Arial" w:hAnsi="Arial"/>
                <w:sz w:val="18"/>
                <w:szCs w:val="18"/>
                <w:color w:val="auto"/>
              </w:rPr>
              <w:t>32.1</w:t>
            </w:r>
          </w:p>
        </w:tc>
        <w:tc>
          <w:tcPr>
            <w:tcW w:w="1048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906 of the Sarbanes-Oxley Act</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19"/>
                <w:szCs w:val="19"/>
                <w:color w:val="auto"/>
              </w:rPr>
            </w:pPr>
          </w:p>
        </w:tc>
        <w:tc>
          <w:tcPr>
            <w:tcW w:w="10480" w:type="dxa"/>
            <w:vAlign w:val="bottom"/>
            <w:gridSpan w:val="2"/>
          </w:tcPr>
          <w:p>
            <w:pPr>
              <w:ind w:left="340"/>
              <w:spacing w:after="0"/>
              <w:rPr>
                <w:sz w:val="20"/>
                <w:szCs w:val="20"/>
                <w:color w:val="auto"/>
              </w:rPr>
            </w:pPr>
            <w:r>
              <w:rPr>
                <w:rFonts w:ascii="Arial" w:cs="Arial" w:eastAsia="Arial" w:hAnsi="Arial"/>
                <w:sz w:val="18"/>
                <w:szCs w:val="18"/>
                <w:color w:val="auto"/>
              </w:rPr>
              <w:t>of 2002</w:t>
            </w:r>
          </w:p>
        </w:tc>
        <w:tc>
          <w:tcPr>
            <w:tcW w:w="40" w:type="dxa"/>
            <w:vAlign w:val="bottom"/>
          </w:tcPr>
          <w:p>
            <w:pPr>
              <w:spacing w:after="0"/>
              <w:rPr>
                <w:sz w:val="19"/>
                <w:szCs w:val="19"/>
                <w:color w:val="auto"/>
              </w:rPr>
            </w:pPr>
          </w:p>
        </w:tc>
      </w:tr>
      <w:tr>
        <w:trPr>
          <w:trHeight w:val="416"/>
        </w:trPr>
        <w:tc>
          <w:tcPr>
            <w:tcW w:w="940" w:type="dxa"/>
            <w:vAlign w:val="bottom"/>
          </w:tcPr>
          <w:p>
            <w:pPr>
              <w:jc w:val="right"/>
              <w:ind w:right="213"/>
              <w:spacing w:after="0"/>
              <w:rPr>
                <w:sz w:val="20"/>
                <w:szCs w:val="20"/>
                <w:color w:val="auto"/>
              </w:rPr>
            </w:pPr>
            <w:r>
              <w:rPr>
                <w:rFonts w:ascii="Arial" w:cs="Arial" w:eastAsia="Arial" w:hAnsi="Arial"/>
                <w:sz w:val="18"/>
                <w:szCs w:val="18"/>
                <w:color w:val="auto"/>
              </w:rPr>
              <w:t>32.2</w:t>
            </w:r>
          </w:p>
        </w:tc>
        <w:tc>
          <w:tcPr>
            <w:tcW w:w="10480" w:type="dxa"/>
            <w:vAlign w:val="bottom"/>
            <w:gridSpan w:val="2"/>
          </w:tcPr>
          <w:p>
            <w:pPr>
              <w:ind w:left="340"/>
              <w:spacing w:after="0"/>
              <w:rPr>
                <w:sz w:val="20"/>
                <w:szCs w:val="20"/>
                <w:color w:val="auto"/>
              </w:rPr>
            </w:pPr>
            <w:r>
              <w:rPr>
                <w:rFonts w:ascii="Arial" w:cs="Arial" w:eastAsia="Arial" w:hAnsi="Arial"/>
                <w:sz w:val="18"/>
                <w:szCs w:val="18"/>
                <w:color w:val="auto"/>
                <w:w w:val="91"/>
              </w:rPr>
              <w:t>Certification of Chief Financial Officer Pursuant to 18 U.S.C. Section 1350, as Adopted Pursuant to Section 906 of the Sarbanes-Oxley Act</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19"/>
                <w:szCs w:val="19"/>
                <w:color w:val="auto"/>
              </w:rPr>
            </w:pPr>
          </w:p>
        </w:tc>
        <w:tc>
          <w:tcPr>
            <w:tcW w:w="10480" w:type="dxa"/>
            <w:vAlign w:val="bottom"/>
            <w:gridSpan w:val="2"/>
          </w:tcPr>
          <w:p>
            <w:pPr>
              <w:ind w:left="340"/>
              <w:spacing w:after="0"/>
              <w:rPr>
                <w:sz w:val="20"/>
                <w:szCs w:val="20"/>
                <w:color w:val="auto"/>
              </w:rPr>
            </w:pPr>
            <w:r>
              <w:rPr>
                <w:rFonts w:ascii="Arial" w:cs="Arial" w:eastAsia="Arial" w:hAnsi="Arial"/>
                <w:sz w:val="18"/>
                <w:szCs w:val="18"/>
                <w:color w:val="auto"/>
              </w:rPr>
              <w:t>of 2002</w:t>
            </w:r>
          </w:p>
        </w:tc>
        <w:tc>
          <w:tcPr>
            <w:tcW w:w="40" w:type="dxa"/>
            <w:vAlign w:val="bottom"/>
          </w:tcPr>
          <w:p>
            <w:pPr>
              <w:spacing w:after="0"/>
              <w:rPr>
                <w:sz w:val="19"/>
                <w:szCs w:val="19"/>
                <w:color w:val="auto"/>
              </w:rPr>
            </w:pPr>
          </w:p>
        </w:tc>
      </w:tr>
      <w:tr>
        <w:trPr>
          <w:trHeight w:val="430"/>
        </w:trPr>
        <w:tc>
          <w:tcPr>
            <w:tcW w:w="940" w:type="dxa"/>
            <w:vAlign w:val="bottom"/>
          </w:tcPr>
          <w:p>
            <w:pPr>
              <w:spacing w:after="0"/>
              <w:rPr>
                <w:sz w:val="24"/>
                <w:szCs w:val="24"/>
                <w:color w:val="auto"/>
              </w:rPr>
            </w:pPr>
          </w:p>
        </w:tc>
        <w:tc>
          <w:tcPr>
            <w:tcW w:w="10480" w:type="dxa"/>
            <w:vAlign w:val="bottom"/>
            <w:gridSpan w:val="2"/>
          </w:tcPr>
          <w:p>
            <w:pPr>
              <w:jc w:val="right"/>
              <w:ind w:right="5539"/>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24"/>
                <w:szCs w:val="24"/>
                <w:color w:val="auto"/>
              </w:rPr>
            </w:pPr>
          </w:p>
        </w:tc>
      </w:tr>
      <w:tr>
        <w:trPr>
          <w:trHeight w:val="131"/>
        </w:trPr>
        <w:tc>
          <w:tcPr>
            <w:tcW w:w="9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10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ind w:right="860"/>
        <w:spacing w:after="0" w:line="275"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153670</wp:posOffset>
            </wp:positionV>
            <wp:extent cx="1280160" cy="6997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0160"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660" w:type="dxa"/>
            <w:vAlign w:val="bottom"/>
            <w:gridSpan w:val="3"/>
          </w:tcPr>
          <w:p>
            <w:pPr>
              <w:spacing w:after="0"/>
              <w:rPr>
                <w:sz w:val="20"/>
                <w:szCs w:val="20"/>
                <w:color w:val="auto"/>
              </w:rPr>
            </w:pPr>
            <w:r>
              <w:rPr>
                <w:rFonts w:ascii="Arial" w:cs="Arial" w:eastAsia="Arial" w:hAnsi="Arial"/>
                <w:sz w:val="18"/>
                <w:szCs w:val="18"/>
                <w:color w:val="auto"/>
              </w:rPr>
              <w:t>Date: July 11, 2008</w:t>
            </w:r>
          </w:p>
        </w:tc>
        <w:tc>
          <w:tcPr>
            <w:tcW w:w="3040" w:type="dxa"/>
            <w:vAlign w:val="bottom"/>
          </w:tcPr>
          <w:p>
            <w:pPr>
              <w:spacing w:after="0"/>
              <w:rPr>
                <w:sz w:val="18"/>
                <w:szCs w:val="18"/>
                <w:color w:val="auto"/>
              </w:rPr>
            </w:pPr>
          </w:p>
        </w:tc>
        <w:tc>
          <w:tcPr>
            <w:tcW w:w="57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Matthew C. Wolsfeld, CPA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w w:val="98"/>
              </w:rPr>
              <w:t>Chief Financial Officer</w:t>
            </w: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(Principal Financial and Accounting Officer and Duly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Authorized to Sign on Behalf of the Registrant)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560" w:type="dxa"/>
            <w:vAlign w:val="bottom"/>
            <w:gridSpan w:val="2"/>
          </w:tcPr>
          <w:p>
            <w:pPr>
              <w:jc w:val="center"/>
              <w:ind w:left="1413"/>
              <w:spacing w:after="0"/>
              <w:rPr>
                <w:sz w:val="20"/>
                <w:szCs w:val="20"/>
                <w:color w:val="auto"/>
              </w:rPr>
            </w:pPr>
            <w:r>
              <w:rPr>
                <w:rFonts w:ascii="Arial" w:cs="Arial" w:eastAsia="Arial" w:hAnsi="Arial"/>
                <w:sz w:val="18"/>
                <w:szCs w:val="18"/>
                <w:color w:val="auto"/>
                <w:w w:val="89"/>
              </w:rPr>
              <w:t>33</w:t>
            </w: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4560" w:type="dxa"/>
            <w:vAlign w:val="bottom"/>
            <w:tcBorders>
              <w:bottom w:val="single" w:sz="8" w:color="010101"/>
            </w:tcBorders>
            <w:gridSpan w:val="2"/>
          </w:tcPr>
          <w:p>
            <w:pPr>
              <w:spacing w:after="0"/>
              <w:rPr>
                <w:sz w:val="11"/>
                <w:szCs w:val="11"/>
                <w:color w:val="auto"/>
              </w:rPr>
            </w:pPr>
          </w:p>
        </w:tc>
        <w:tc>
          <w:tcPr>
            <w:tcW w:w="4180" w:type="dxa"/>
            <w:vAlign w:val="bottom"/>
            <w:tcBorders>
              <w:bottom w:val="single" w:sz="8" w:color="010101"/>
            </w:tcBorders>
            <w:gridSpan w:val="2"/>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5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740" w:type="dxa"/>
            <w:vAlign w:val="bottom"/>
            <w:gridSpan w:val="4"/>
          </w:tcPr>
          <w:p>
            <w:pPr>
              <w:jc w:val="center"/>
              <w:ind w:right="2593"/>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800" w:type="dxa"/>
            <w:vAlign w:val="bottom"/>
            <w:gridSpan w:val="3"/>
          </w:tcPr>
          <w:p>
            <w:pPr>
              <w:jc w:val="center"/>
              <w:ind w:left="1173"/>
              <w:spacing w:after="0"/>
              <w:rPr>
                <w:sz w:val="20"/>
                <w:szCs w:val="20"/>
                <w:color w:val="auto"/>
              </w:rPr>
            </w:pPr>
            <w:r>
              <w:rPr>
                <w:rFonts w:ascii="Arial" w:cs="Arial" w:eastAsia="Arial" w:hAnsi="Arial"/>
                <w:sz w:val="18"/>
                <w:szCs w:val="18"/>
                <w:b w:val="1"/>
                <w:bCs w:val="1"/>
                <w:color w:val="auto"/>
                <w:w w:val="98"/>
              </w:rPr>
              <w:t>QUARTERLY REPORT ON FORM 10-QSB</w:t>
            </w: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800" w:type="dxa"/>
            <w:vAlign w:val="bottom"/>
            <w:gridSpan w:val="3"/>
          </w:tcPr>
          <w:p>
            <w:pPr>
              <w:jc w:val="center"/>
              <w:ind w:left="1173"/>
              <w:spacing w:after="0"/>
              <w:rPr>
                <w:sz w:val="20"/>
                <w:szCs w:val="20"/>
                <w:color w:val="auto"/>
              </w:rPr>
            </w:pPr>
            <w:r>
              <w:rPr>
                <w:rFonts w:ascii="Arial" w:cs="Arial" w:eastAsia="Arial" w:hAnsi="Arial"/>
                <w:sz w:val="18"/>
                <w:szCs w:val="18"/>
                <w:b w:val="1"/>
                <w:bCs w:val="1"/>
                <w:color w:val="auto"/>
              </w:rPr>
              <w:t>EXHIBIT INDEX</w:t>
            </w: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3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Method of Filing</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b w:val="1"/>
                <w:bCs w:val="1"/>
                <w:color w:val="auto"/>
              </w:rPr>
              <w:t>No.</w:t>
            </w:r>
          </w:p>
        </w:tc>
        <w:tc>
          <w:tcPr>
            <w:tcW w:w="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0" w:type="dxa"/>
            <w:vAlign w:val="bottom"/>
            <w:gridSpan w:val="3"/>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60" w:type="dxa"/>
            <w:vAlign w:val="bottom"/>
            <w:tcBorders>
              <w:top w:val="single" w:sz="8" w:color="auto"/>
            </w:tcBorders>
          </w:tcPr>
          <w:p>
            <w:pPr>
              <w:jc w:val="right"/>
              <w:ind w:right="159"/>
              <w:spacing w:after="0" w:line="195"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6"/>
                <w:szCs w:val="16"/>
                <w:color w:val="auto"/>
              </w:rPr>
            </w:pPr>
          </w:p>
        </w:tc>
        <w:tc>
          <w:tcPr>
            <w:tcW w:w="62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6"/>
              </w:rPr>
              <w:t>Promissory Note Modification Agreement dated April 10, 2008 between Northern</w:t>
            </w:r>
          </w:p>
        </w:tc>
        <w:tc>
          <w:tcPr>
            <w:tcW w:w="240" w:type="dxa"/>
            <w:vAlign w:val="bottom"/>
          </w:tcPr>
          <w:p>
            <w:pPr>
              <w:spacing w:after="0"/>
              <w:rPr>
                <w:sz w:val="16"/>
                <w:szCs w:val="16"/>
                <w:color w:val="auto"/>
              </w:rPr>
            </w:pPr>
          </w:p>
        </w:tc>
        <w:tc>
          <w:tcPr>
            <w:tcW w:w="39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Incorporated by reference to Exhibit 10.3 to NTIC’s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00" w:type="dxa"/>
            <w:vAlign w:val="bottom"/>
            <w:gridSpan w:val="5"/>
          </w:tcPr>
          <w:p>
            <w:pPr>
              <w:ind w:left="260"/>
              <w:spacing w:after="0"/>
              <w:rPr>
                <w:sz w:val="20"/>
                <w:szCs w:val="20"/>
                <w:color w:val="auto"/>
              </w:rPr>
            </w:pPr>
            <w:r>
              <w:rPr>
                <w:rFonts w:ascii="Arial" w:cs="Arial" w:eastAsia="Arial" w:hAnsi="Arial"/>
                <w:sz w:val="18"/>
                <w:szCs w:val="18"/>
                <w:color w:val="auto"/>
              </w:rPr>
              <w:t>Technologies International Corporation and National City Bank</w:t>
            </w:r>
          </w:p>
        </w:tc>
        <w:tc>
          <w:tcPr>
            <w:tcW w:w="3940" w:type="dxa"/>
            <w:vAlign w:val="bottom"/>
          </w:tcPr>
          <w:p>
            <w:pPr>
              <w:jc w:val="center"/>
              <w:spacing w:after="0"/>
              <w:rPr>
                <w:sz w:val="20"/>
                <w:szCs w:val="20"/>
                <w:color w:val="auto"/>
              </w:rPr>
            </w:pPr>
            <w:r>
              <w:rPr>
                <w:rFonts w:ascii="Arial" w:cs="Arial" w:eastAsia="Arial" w:hAnsi="Arial"/>
                <w:sz w:val="18"/>
                <w:szCs w:val="18"/>
                <w:color w:val="auto"/>
                <w:w w:val="91"/>
              </w:rPr>
              <w:t>Quarterly Report on Form 10-QSB for the fiscal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jc w:val="center"/>
              <w:spacing w:after="0"/>
              <w:rPr>
                <w:sz w:val="20"/>
                <w:szCs w:val="20"/>
                <w:color w:val="auto"/>
              </w:rPr>
            </w:pPr>
            <w:r>
              <w:rPr>
                <w:rFonts w:ascii="Arial" w:cs="Arial" w:eastAsia="Arial" w:hAnsi="Arial"/>
                <w:sz w:val="18"/>
                <w:szCs w:val="18"/>
                <w:color w:val="auto"/>
                <w:w w:val="89"/>
              </w:rPr>
              <w:t>quarter ended February 29, 2008 (File No. 001-11038)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 w:type="dxa"/>
            <w:vAlign w:val="bottom"/>
            <w:gridSpan w:val="2"/>
          </w:tcPr>
          <w:p>
            <w:pPr>
              <w:jc w:val="right"/>
              <w:ind w:right="159"/>
              <w:spacing w:after="0"/>
              <w:rPr>
                <w:sz w:val="20"/>
                <w:szCs w:val="20"/>
                <w:color w:val="auto"/>
              </w:rPr>
            </w:pPr>
            <w:r>
              <w:rPr>
                <w:rFonts w:ascii="Arial" w:cs="Arial" w:eastAsia="Arial" w:hAnsi="Arial"/>
                <w:sz w:val="18"/>
                <w:szCs w:val="18"/>
                <w:color w:val="auto"/>
              </w:rPr>
              <w:t>31.1</w:t>
            </w:r>
          </w:p>
        </w:tc>
        <w:tc>
          <w:tcPr>
            <w:tcW w:w="6700" w:type="dxa"/>
            <w:vAlign w:val="bottom"/>
            <w:gridSpan w:val="5"/>
          </w:tcPr>
          <w:p>
            <w:pPr>
              <w:ind w:left="260"/>
              <w:spacing w:after="0"/>
              <w:rPr>
                <w:sz w:val="20"/>
                <w:szCs w:val="20"/>
                <w:color w:val="auto"/>
              </w:rPr>
            </w:pPr>
            <w:r>
              <w:rPr>
                <w:rFonts w:ascii="Arial" w:cs="Arial" w:eastAsia="Arial" w:hAnsi="Arial"/>
                <w:sz w:val="18"/>
                <w:szCs w:val="18"/>
                <w:color w:val="auto"/>
              </w:rPr>
              <w:t>Certification of Chief Executive Officer Pursuant to Section 302 of the Sarbanes-</w:t>
            </w: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color w:val="auto"/>
              </w:rPr>
              <w:t>Oxley Act of 2002</w:t>
            </w:r>
          </w:p>
        </w:tc>
        <w:tc>
          <w:tcPr>
            <w:tcW w:w="3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 w:type="dxa"/>
            <w:vAlign w:val="bottom"/>
            <w:gridSpan w:val="2"/>
          </w:tcPr>
          <w:p>
            <w:pPr>
              <w:jc w:val="right"/>
              <w:ind w:right="159"/>
              <w:spacing w:after="0"/>
              <w:rPr>
                <w:sz w:val="20"/>
                <w:szCs w:val="20"/>
                <w:color w:val="auto"/>
              </w:rPr>
            </w:pPr>
            <w:r>
              <w:rPr>
                <w:rFonts w:ascii="Arial" w:cs="Arial" w:eastAsia="Arial" w:hAnsi="Arial"/>
                <w:sz w:val="18"/>
                <w:szCs w:val="18"/>
                <w:color w:val="auto"/>
              </w:rPr>
              <w:t>31.2</w:t>
            </w:r>
          </w:p>
        </w:tc>
        <w:tc>
          <w:tcPr>
            <w:tcW w:w="6700" w:type="dxa"/>
            <w:vAlign w:val="bottom"/>
            <w:gridSpan w:val="5"/>
          </w:tcPr>
          <w:p>
            <w:pPr>
              <w:ind w:left="260"/>
              <w:spacing w:after="0"/>
              <w:rPr>
                <w:sz w:val="20"/>
                <w:szCs w:val="20"/>
                <w:color w:val="auto"/>
              </w:rPr>
            </w:pPr>
            <w:r>
              <w:rPr>
                <w:rFonts w:ascii="Arial" w:cs="Arial" w:eastAsia="Arial" w:hAnsi="Arial"/>
                <w:sz w:val="18"/>
                <w:szCs w:val="18"/>
                <w:color w:val="auto"/>
              </w:rPr>
              <w:t>Certification of Chief Financial Officer Pursuant to Section 302 of the Sarbanes-</w:t>
            </w:r>
          </w:p>
        </w:tc>
        <w:tc>
          <w:tcPr>
            <w:tcW w:w="3940" w:type="dxa"/>
            <w:vAlign w:val="bottom"/>
          </w:tcPr>
          <w:p>
            <w:pPr>
              <w:jc w:val="center"/>
              <w:spacing w:after="0"/>
              <w:rPr>
                <w:sz w:val="20"/>
                <w:szCs w:val="20"/>
                <w:color w:val="auto"/>
              </w:rPr>
            </w:pPr>
            <w:r>
              <w:rPr>
                <w:rFonts w:ascii="Arial" w:cs="Arial" w:eastAsia="Arial" w:hAnsi="Arial"/>
                <w:sz w:val="18"/>
                <w:szCs w:val="18"/>
                <w:color w:val="auto"/>
                <w:w w:val="92"/>
              </w:rPr>
              <w:t>Filed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900" w:type="dxa"/>
            <w:vAlign w:val="bottom"/>
            <w:gridSpan w:val="2"/>
          </w:tcPr>
          <w:p>
            <w:pPr>
              <w:ind w:left="260"/>
              <w:spacing w:after="0"/>
              <w:rPr>
                <w:sz w:val="20"/>
                <w:szCs w:val="20"/>
                <w:color w:val="auto"/>
              </w:rPr>
            </w:pPr>
            <w:r>
              <w:rPr>
                <w:rFonts w:ascii="Arial" w:cs="Arial" w:eastAsia="Arial" w:hAnsi="Arial"/>
                <w:sz w:val="18"/>
                <w:szCs w:val="18"/>
                <w:color w:val="auto"/>
              </w:rPr>
              <w:t>Oxley Act of 2002</w:t>
            </w:r>
          </w:p>
        </w:tc>
        <w:tc>
          <w:tcPr>
            <w:tcW w:w="30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 w:type="dxa"/>
            <w:vAlign w:val="bottom"/>
            <w:gridSpan w:val="2"/>
          </w:tcPr>
          <w:p>
            <w:pPr>
              <w:jc w:val="right"/>
              <w:ind w:right="159"/>
              <w:spacing w:after="0"/>
              <w:rPr>
                <w:sz w:val="20"/>
                <w:szCs w:val="20"/>
                <w:color w:val="auto"/>
              </w:rPr>
            </w:pPr>
            <w:r>
              <w:rPr>
                <w:rFonts w:ascii="Arial" w:cs="Arial" w:eastAsia="Arial" w:hAnsi="Arial"/>
                <w:sz w:val="18"/>
                <w:szCs w:val="18"/>
                <w:color w:val="auto"/>
              </w:rPr>
              <w:t>32.1</w:t>
            </w:r>
          </w:p>
        </w:tc>
        <w:tc>
          <w:tcPr>
            <w:tcW w:w="6700" w:type="dxa"/>
            <w:vAlign w:val="bottom"/>
            <w:gridSpan w:val="5"/>
          </w:tcPr>
          <w:p>
            <w:pPr>
              <w:ind w:left="260"/>
              <w:spacing w:after="0"/>
              <w:rPr>
                <w:sz w:val="20"/>
                <w:szCs w:val="20"/>
                <w:color w:val="auto"/>
              </w:rPr>
            </w:pPr>
            <w:r>
              <w:rPr>
                <w:rFonts w:ascii="Arial" w:cs="Arial" w:eastAsia="Arial" w:hAnsi="Arial"/>
                <w:sz w:val="18"/>
                <w:szCs w:val="18"/>
                <w:color w:val="auto"/>
              </w:rPr>
              <w:t>Certification of Chief Executive Officer Pursuant to 18 U.S.C. Section 1350, as</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700" w:type="dxa"/>
            <w:vAlign w:val="bottom"/>
            <w:gridSpan w:val="5"/>
          </w:tcPr>
          <w:p>
            <w:pPr>
              <w:ind w:left="26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0" w:type="dxa"/>
            <w:vAlign w:val="bottom"/>
            <w:gridSpan w:val="2"/>
          </w:tcPr>
          <w:p>
            <w:pPr>
              <w:jc w:val="right"/>
              <w:ind w:right="159"/>
              <w:spacing w:after="0"/>
              <w:rPr>
                <w:sz w:val="20"/>
                <w:szCs w:val="20"/>
                <w:color w:val="auto"/>
              </w:rPr>
            </w:pPr>
            <w:r>
              <w:rPr>
                <w:rFonts w:ascii="Arial" w:cs="Arial" w:eastAsia="Arial" w:hAnsi="Arial"/>
                <w:sz w:val="18"/>
                <w:szCs w:val="18"/>
                <w:color w:val="auto"/>
              </w:rPr>
              <w:t>32.2</w:t>
            </w:r>
          </w:p>
        </w:tc>
        <w:tc>
          <w:tcPr>
            <w:tcW w:w="6700" w:type="dxa"/>
            <w:vAlign w:val="bottom"/>
            <w:gridSpan w:val="5"/>
          </w:tcPr>
          <w:p>
            <w:pPr>
              <w:ind w:left="260"/>
              <w:spacing w:after="0"/>
              <w:rPr>
                <w:sz w:val="20"/>
                <w:szCs w:val="20"/>
                <w:color w:val="auto"/>
              </w:rPr>
            </w:pPr>
            <w:r>
              <w:rPr>
                <w:rFonts w:ascii="Arial" w:cs="Arial" w:eastAsia="Arial" w:hAnsi="Arial"/>
                <w:sz w:val="18"/>
                <w:szCs w:val="18"/>
                <w:color w:val="auto"/>
              </w:rPr>
              <w:t>Certification of Chief Financial Officer Pursuant to 18 U.S.C. Section 1350, as</w:t>
            </w:r>
          </w:p>
        </w:tc>
        <w:tc>
          <w:tcPr>
            <w:tcW w:w="3940" w:type="dxa"/>
            <w:vAlign w:val="bottom"/>
          </w:tcPr>
          <w:p>
            <w:pPr>
              <w:jc w:val="center"/>
              <w:spacing w:after="0"/>
              <w:rPr>
                <w:sz w:val="20"/>
                <w:szCs w:val="20"/>
                <w:color w:val="auto"/>
              </w:rPr>
            </w:pPr>
            <w:r>
              <w:rPr>
                <w:rFonts w:ascii="Arial" w:cs="Arial" w:eastAsia="Arial" w:hAnsi="Arial"/>
                <w:sz w:val="18"/>
                <w:szCs w:val="18"/>
                <w:color w:val="auto"/>
                <w:w w:val="90"/>
              </w:rPr>
              <w:t>Furnished herewith</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700" w:type="dxa"/>
            <w:vAlign w:val="bottom"/>
            <w:gridSpan w:val="5"/>
          </w:tcPr>
          <w:p>
            <w:pPr>
              <w:ind w:left="260"/>
              <w:spacing w:after="0"/>
              <w:rPr>
                <w:sz w:val="20"/>
                <w:szCs w:val="20"/>
                <w:color w:val="auto"/>
              </w:rPr>
            </w:pPr>
            <w:r>
              <w:rPr>
                <w:rFonts w:ascii="Arial" w:cs="Arial" w:eastAsia="Arial" w:hAnsi="Arial"/>
                <w:sz w:val="18"/>
                <w:szCs w:val="18"/>
                <w:color w:val="auto"/>
              </w:rPr>
              <w:t>Adopted Pursuant to Section 906 of the Sarbanes-Oxley Act of 2002</w:t>
            </w: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560" w:type="dxa"/>
            <w:vAlign w:val="bottom"/>
            <w:gridSpan w:val="2"/>
          </w:tcPr>
          <w:p>
            <w:pPr>
              <w:jc w:val="center"/>
              <w:ind w:left="1413"/>
              <w:spacing w:after="0"/>
              <w:rPr>
                <w:sz w:val="20"/>
                <w:szCs w:val="20"/>
                <w:color w:val="auto"/>
              </w:rPr>
            </w:pPr>
            <w:r>
              <w:rPr>
                <w:rFonts w:ascii="Arial" w:cs="Arial" w:eastAsia="Arial" w:hAnsi="Arial"/>
                <w:sz w:val="18"/>
                <w:szCs w:val="18"/>
                <w:color w:val="auto"/>
                <w:w w:val="89"/>
              </w:rPr>
              <w:t>34</w:t>
            </w: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40" w:type="dxa"/>
            <w:vAlign w:val="bottom"/>
            <w:tcBorders>
              <w:bottom w:val="single" w:sz="8" w:color="010101"/>
            </w:tcBorders>
          </w:tcPr>
          <w:p>
            <w:pPr>
              <w:spacing w:after="0"/>
              <w:rPr>
                <w:sz w:val="11"/>
                <w:szCs w:val="11"/>
                <w:color w:val="auto"/>
              </w:rPr>
            </w:pPr>
          </w:p>
        </w:tc>
        <w:tc>
          <w:tcPr>
            <w:tcW w:w="304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9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-2999740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-2999740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31.1</w:t>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23" w:lineRule="exact"/>
        <w:rPr>
          <w:sz w:val="20"/>
          <w:szCs w:val="20"/>
          <w:color w:val="auto"/>
        </w:rPr>
      </w:pPr>
    </w:p>
    <w:p>
      <w:pPr>
        <w:ind w:left="540" w:hanging="532"/>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223" w:lineRule="exact"/>
        <w:rPr>
          <w:rFonts w:ascii="Arial" w:cs="Arial" w:eastAsia="Arial" w:hAnsi="Arial"/>
          <w:sz w:val="18"/>
          <w:szCs w:val="18"/>
          <w:color w:val="auto"/>
        </w:rPr>
      </w:pPr>
    </w:p>
    <w:p>
      <w:pPr>
        <w:jc w:val="both"/>
        <w:ind w:left="520" w:right="460" w:hanging="512"/>
        <w:spacing w:after="0" w:line="262"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440" w:hanging="512"/>
        <w:spacing w:after="0" w:line="340" w:lineRule="auto"/>
        <w:tabs>
          <w:tab w:leader="none" w:pos="5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520" w:hanging="512"/>
        <w:spacing w:after="0" w:line="275"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20"/>
        <w:spacing w:after="0" w:line="285" w:lineRule="auto"/>
        <w:tabs>
          <w:tab w:leader="none" w:pos="1508"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040" w:right="120"/>
        <w:spacing w:after="0" w:line="262" w:lineRule="auto"/>
        <w:tabs>
          <w:tab w:leader="none" w:pos="1518"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8"/>
          <w:szCs w:val="18"/>
          <w:color w:val="auto"/>
        </w:rPr>
      </w:pPr>
    </w:p>
    <w:p>
      <w:pPr>
        <w:ind w:left="1040" w:right="200"/>
        <w:spacing w:after="0" w:line="262" w:lineRule="auto"/>
        <w:tabs>
          <w:tab w:leader="none" w:pos="1508"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82" w:lineRule="exact"/>
        <w:rPr>
          <w:rFonts w:ascii="Arial" w:cs="Arial" w:eastAsia="Arial" w:hAnsi="Arial"/>
          <w:sz w:val="18"/>
          <w:szCs w:val="18"/>
          <w:color w:val="auto"/>
        </w:rPr>
      </w:pPr>
    </w:p>
    <w:p>
      <w:pPr>
        <w:ind w:left="520" w:right="280" w:hanging="512"/>
        <w:spacing w:after="0" w:line="262" w:lineRule="auto"/>
        <w:tabs>
          <w:tab w:leader="none" w:pos="53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82" w:lineRule="exact"/>
        <w:rPr>
          <w:rFonts w:ascii="Arial" w:cs="Arial" w:eastAsia="Arial" w:hAnsi="Arial"/>
          <w:sz w:val="18"/>
          <w:szCs w:val="18"/>
          <w:color w:val="auto"/>
        </w:rPr>
      </w:pPr>
    </w:p>
    <w:p>
      <w:pPr>
        <w:ind w:left="1040" w:right="360" w:hanging="6"/>
        <w:spacing w:after="0" w:line="340" w:lineRule="auto"/>
        <w:tabs>
          <w:tab w:leader="none" w:pos="1552"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500"/>
        <w:spacing w:after="0" w:line="275" w:lineRule="auto"/>
        <w:tabs>
          <w:tab w:leader="none" w:pos="1523"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117475</wp:posOffset>
            </wp:positionV>
            <wp:extent cx="1724025" cy="4184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724025" cy="41846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July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13970</wp:posOffset>
            </wp:positionV>
            <wp:extent cx="36023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60235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 Patrick Lynch</w:t>
      </w:r>
    </w:p>
    <w:p>
      <w:pPr>
        <w:spacing w:after="0" w:line="2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821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22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23" w:lineRule="exact"/>
        <w:rPr>
          <w:sz w:val="20"/>
          <w:szCs w:val="20"/>
          <w:color w:val="auto"/>
        </w:rPr>
      </w:pPr>
    </w:p>
    <w:p>
      <w:pPr>
        <w:ind w:left="540" w:hanging="532"/>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10-QSB of Northern Technologies International Corporation;</w:t>
      </w:r>
    </w:p>
    <w:p>
      <w:pPr>
        <w:spacing w:after="0" w:line="223" w:lineRule="exact"/>
        <w:rPr>
          <w:rFonts w:ascii="Arial" w:cs="Arial" w:eastAsia="Arial" w:hAnsi="Arial"/>
          <w:sz w:val="18"/>
          <w:szCs w:val="18"/>
          <w:color w:val="auto"/>
        </w:rPr>
      </w:pPr>
    </w:p>
    <w:p>
      <w:pPr>
        <w:jc w:val="both"/>
        <w:ind w:left="520" w:right="500" w:hanging="512"/>
        <w:spacing w:after="0" w:line="262" w:lineRule="auto"/>
        <w:tabs>
          <w:tab w:leader="none" w:pos="5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480" w:hanging="512"/>
        <w:spacing w:after="0" w:line="340" w:lineRule="auto"/>
        <w:tabs>
          <w:tab w:leader="none" w:pos="533"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small business issuer as of, and for, the periods presented in this report;</w:t>
      </w:r>
    </w:p>
    <w:p>
      <w:pPr>
        <w:spacing w:after="0" w:line="123" w:lineRule="exact"/>
        <w:rPr>
          <w:rFonts w:ascii="Arial" w:cs="Arial" w:eastAsia="Arial" w:hAnsi="Arial"/>
          <w:sz w:val="16"/>
          <w:szCs w:val="16"/>
          <w:color w:val="auto"/>
        </w:rPr>
      </w:pPr>
    </w:p>
    <w:p>
      <w:pPr>
        <w:ind w:left="520" w:right="560" w:hanging="512"/>
        <w:spacing w:after="0" w:line="275" w:lineRule="auto"/>
        <w:tabs>
          <w:tab w:leader="none" w:pos="5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are responsible for establishing and maintaining disclosure controls and procedures (as defined in Exchange Act Rules 13a-15(e) and 15d-15(e)) for the small business issuer and have:</w:t>
      </w:r>
    </w:p>
    <w:p>
      <w:pPr>
        <w:spacing w:after="0" w:line="170" w:lineRule="exact"/>
        <w:rPr>
          <w:rFonts w:ascii="Arial" w:cs="Arial" w:eastAsia="Arial" w:hAnsi="Arial"/>
          <w:sz w:val="18"/>
          <w:szCs w:val="18"/>
          <w:color w:val="auto"/>
        </w:rPr>
      </w:pPr>
    </w:p>
    <w:p>
      <w:pPr>
        <w:ind w:left="1040" w:right="60"/>
        <w:spacing w:after="0" w:line="285" w:lineRule="auto"/>
        <w:tabs>
          <w:tab w:leader="none" w:pos="1508" w:val="left"/>
        </w:tabs>
        <w:numPr>
          <w:ilvl w:val="1"/>
          <w:numId w:val="2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small business issuer,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7"/>
          <w:szCs w:val="17"/>
          <w:color w:val="auto"/>
        </w:rPr>
      </w:pPr>
    </w:p>
    <w:p>
      <w:pPr>
        <w:ind w:left="1040" w:right="160"/>
        <w:spacing w:after="0" w:line="262" w:lineRule="auto"/>
        <w:tabs>
          <w:tab w:leader="none" w:pos="1518"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small business issuer’s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8"/>
          <w:szCs w:val="18"/>
          <w:color w:val="auto"/>
        </w:rPr>
      </w:pPr>
    </w:p>
    <w:p>
      <w:pPr>
        <w:ind w:left="1040" w:right="240"/>
        <w:spacing w:after="0" w:line="262" w:lineRule="auto"/>
        <w:tabs>
          <w:tab w:leader="none" w:pos="15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small business issuer’s internal control over financial reporting that occurred during the small business issuer’s fourth quarter that has materially affected, or is reasonably likely to materially affect, the small business issuer’s internal control over financial reporting; and</w:t>
      </w:r>
    </w:p>
    <w:p>
      <w:pPr>
        <w:spacing w:after="0" w:line="182" w:lineRule="exact"/>
        <w:rPr>
          <w:rFonts w:ascii="Arial" w:cs="Arial" w:eastAsia="Arial" w:hAnsi="Arial"/>
          <w:sz w:val="18"/>
          <w:szCs w:val="18"/>
          <w:color w:val="auto"/>
        </w:rPr>
      </w:pPr>
    </w:p>
    <w:p>
      <w:pPr>
        <w:ind w:left="520" w:right="320" w:hanging="512"/>
        <w:spacing w:after="0" w:line="262" w:lineRule="auto"/>
        <w:tabs>
          <w:tab w:leader="none" w:pos="533"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small business issuer’s other certifying officers and I have disclosed, based on our most recent evaluation of internal controls over financial reporting, to the small business issuer’s auditors and the audit committee of the small business issuer’s board of directors (or persons performing the equivalent function):</w:t>
      </w:r>
    </w:p>
    <w:p>
      <w:pPr>
        <w:spacing w:after="0" w:line="182" w:lineRule="exact"/>
        <w:rPr>
          <w:rFonts w:ascii="Arial" w:cs="Arial" w:eastAsia="Arial" w:hAnsi="Arial"/>
          <w:sz w:val="18"/>
          <w:szCs w:val="18"/>
          <w:color w:val="auto"/>
        </w:rPr>
      </w:pPr>
    </w:p>
    <w:p>
      <w:pPr>
        <w:ind w:left="1040" w:right="400" w:hanging="6"/>
        <w:spacing w:after="0" w:line="340" w:lineRule="auto"/>
        <w:tabs>
          <w:tab w:leader="none" w:pos="1552"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controls over financial reporting which are reasonably likely to adversely affect the small business issuer’s ability to record, process, summarize and report financial information; and</w:t>
      </w:r>
    </w:p>
    <w:p>
      <w:pPr>
        <w:spacing w:after="0" w:line="123" w:lineRule="exact"/>
        <w:rPr>
          <w:rFonts w:ascii="Arial" w:cs="Arial" w:eastAsia="Arial" w:hAnsi="Arial"/>
          <w:sz w:val="16"/>
          <w:szCs w:val="16"/>
          <w:color w:val="auto"/>
        </w:rPr>
      </w:pPr>
    </w:p>
    <w:p>
      <w:pPr>
        <w:ind w:left="1040" w:right="540"/>
        <w:spacing w:after="0" w:line="275" w:lineRule="auto"/>
        <w:tabs>
          <w:tab w:leader="none" w:pos="1523"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small business issuer’s internal controls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117475</wp:posOffset>
            </wp:positionV>
            <wp:extent cx="3610610" cy="4438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10610" cy="443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580" w:type="dxa"/>
            <w:vAlign w:val="bottom"/>
          </w:tcPr>
          <w:p>
            <w:pPr>
              <w:ind w:left="20"/>
              <w:spacing w:after="0"/>
              <w:rPr>
                <w:sz w:val="20"/>
                <w:szCs w:val="20"/>
                <w:color w:val="auto"/>
              </w:rPr>
            </w:pPr>
            <w:r>
              <w:rPr>
                <w:rFonts w:ascii="Arial" w:cs="Arial" w:eastAsia="Arial" w:hAnsi="Arial"/>
                <w:sz w:val="18"/>
                <w:szCs w:val="18"/>
                <w:color w:val="auto"/>
              </w:rPr>
              <w:t>Date: July 11, 2008</w:t>
            </w:r>
          </w:p>
        </w:tc>
        <w:tc>
          <w:tcPr>
            <w:tcW w:w="7880" w:type="dxa"/>
            <w:vAlign w:val="bottom"/>
          </w:tcPr>
          <w:p>
            <w:pPr>
              <w:ind w:left="2160"/>
              <w:spacing w:after="0"/>
              <w:rPr>
                <w:sz w:val="20"/>
                <w:szCs w:val="20"/>
                <w:color w:val="auto"/>
              </w:rPr>
            </w:pPr>
            <w:r>
              <w:rPr>
                <w:rFonts w:ascii="Arial" w:cs="Arial" w:eastAsia="Arial" w:hAnsi="Arial"/>
                <w:sz w:val="18"/>
                <w:szCs w:val="18"/>
                <w:color w:val="auto"/>
              </w:rPr>
              <w:t>Matthew C. Wolsfeld, CPA</w:t>
            </w:r>
          </w:p>
        </w:tc>
      </w:tr>
      <w:tr>
        <w:trPr>
          <w:trHeight w:val="230"/>
        </w:trPr>
        <w:tc>
          <w:tcPr>
            <w:tcW w:w="3580" w:type="dxa"/>
            <w:vAlign w:val="bottom"/>
          </w:tcPr>
          <w:p>
            <w:pPr>
              <w:spacing w:after="0"/>
              <w:rPr>
                <w:sz w:val="19"/>
                <w:szCs w:val="19"/>
                <w:color w:val="auto"/>
              </w:rPr>
            </w:pPr>
          </w:p>
        </w:tc>
        <w:tc>
          <w:tcPr>
            <w:tcW w:w="7880" w:type="dxa"/>
            <w:vAlign w:val="bottom"/>
          </w:tcPr>
          <w:p>
            <w:pPr>
              <w:ind w:left="2160"/>
              <w:spacing w:after="0"/>
              <w:rPr>
                <w:sz w:val="20"/>
                <w:szCs w:val="20"/>
                <w:color w:val="auto"/>
              </w:rPr>
            </w:pPr>
            <w:r>
              <w:rPr>
                <w:rFonts w:ascii="Arial" w:cs="Arial" w:eastAsia="Arial" w:hAnsi="Arial"/>
                <w:sz w:val="18"/>
                <w:szCs w:val="18"/>
                <w:color w:val="auto"/>
              </w:rPr>
              <w:t>Chief Financial Officer and Corporate Secretary</w:t>
            </w:r>
          </w:p>
        </w:tc>
      </w:tr>
      <w:tr>
        <w:trPr>
          <w:trHeight w:val="346"/>
        </w:trPr>
        <w:tc>
          <w:tcPr>
            <w:tcW w:w="3580" w:type="dxa"/>
            <w:vAlign w:val="bottom"/>
            <w:tcBorders>
              <w:bottom w:val="single" w:sz="8" w:color="010101"/>
            </w:tcBorders>
          </w:tcPr>
          <w:p>
            <w:pPr>
              <w:spacing w:after="0"/>
              <w:rPr>
                <w:sz w:val="24"/>
                <w:szCs w:val="24"/>
                <w:color w:val="auto"/>
              </w:rPr>
            </w:pPr>
          </w:p>
        </w:tc>
        <w:tc>
          <w:tcPr>
            <w:tcW w:w="78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7258685</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22" w:name="page23"/>
    <w:bookmarkEnd w:id="22"/>
    <w:p>
      <w:pPr>
        <w:ind w:left="10500"/>
        <w:spacing w:after="0"/>
        <w:rPr>
          <w:sz w:val="20"/>
          <w:szCs w:val="20"/>
          <w:color w:val="auto"/>
        </w:rPr>
      </w:pPr>
      <w:r>
        <w:rPr>
          <w:rFonts w:ascii="Arial" w:cs="Arial" w:eastAsia="Arial" w:hAnsi="Arial"/>
          <w:sz w:val="16"/>
          <w:szCs w:val="16"/>
          <w:b w:val="1"/>
          <w:bCs w:val="1"/>
          <w:color w:val="auto"/>
        </w:rPr>
        <w:t>Exhibit 32.1</w:t>
      </w:r>
    </w:p>
    <w:p>
      <w:pPr>
        <w:spacing w:after="0" w:line="246"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20" w:firstLine="516"/>
        <w:spacing w:after="0" w:line="258"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May 31, 2008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185" w:lineRule="exact"/>
        <w:rPr>
          <w:sz w:val="20"/>
          <w:szCs w:val="20"/>
          <w:color w:val="auto"/>
        </w:rPr>
      </w:pPr>
    </w:p>
    <w:p>
      <w:pPr>
        <w:ind w:left="1440" w:hanging="716"/>
        <w:spacing w:after="0"/>
        <w:tabs>
          <w:tab w:leader="none" w:pos="14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440" w:hanging="716"/>
        <w:spacing w:after="0"/>
        <w:tabs>
          <w:tab w:leader="none" w:pos="1440" w:val="left"/>
        </w:tabs>
        <w:numPr>
          <w:ilvl w:val="1"/>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240" w:hanging="220"/>
        <w:spacing w:after="0"/>
        <w:tabs>
          <w:tab w:leader="none" w:pos="2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Patrick.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3627755" cy="426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42672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821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ind w:left="10500"/>
        <w:spacing w:after="0"/>
        <w:rPr>
          <w:sz w:val="20"/>
          <w:szCs w:val="20"/>
          <w:color w:val="auto"/>
        </w:rPr>
      </w:pPr>
      <w:r>
        <w:rPr>
          <w:rFonts w:ascii="Arial" w:cs="Arial" w:eastAsia="Arial" w:hAnsi="Arial"/>
          <w:sz w:val="16"/>
          <w:szCs w:val="16"/>
          <w:b w:val="1"/>
          <w:bCs w:val="1"/>
          <w:color w:val="auto"/>
        </w:rPr>
        <w:t>Exhibit 32.2</w:t>
      </w:r>
    </w:p>
    <w:p>
      <w:pPr>
        <w:spacing w:after="0" w:line="246" w:lineRule="exact"/>
        <w:rPr>
          <w:sz w:val="20"/>
          <w:szCs w:val="20"/>
          <w:color w:val="auto"/>
        </w:rPr>
      </w:pPr>
    </w:p>
    <w:p>
      <w:pPr>
        <w:jc w:val="center"/>
        <w:spacing w:after="0" w:line="280"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6" w:lineRule="exact"/>
        <w:rPr>
          <w:sz w:val="20"/>
          <w:szCs w:val="20"/>
          <w:color w:val="auto"/>
        </w:rPr>
      </w:pPr>
    </w:p>
    <w:p>
      <w:pPr>
        <w:ind w:right="80" w:firstLine="516"/>
        <w:spacing w:after="0" w:line="258" w:lineRule="auto"/>
        <w:rPr>
          <w:sz w:val="20"/>
          <w:szCs w:val="20"/>
          <w:color w:val="auto"/>
        </w:rPr>
      </w:pPr>
      <w:r>
        <w:rPr>
          <w:rFonts w:ascii="Arial" w:cs="Arial" w:eastAsia="Arial" w:hAnsi="Arial"/>
          <w:sz w:val="18"/>
          <w:szCs w:val="18"/>
          <w:color w:val="auto"/>
        </w:rPr>
        <w:t>In connection with the Quarterly Report of Northern Technologies International Corporation (the “Company”) on Form 10-QSB for the period ending May 31, 2008 as filed with the Securities and Exchange Commission on the date hereof (the “Report”), I, Matthew C. Wolsfeld, Chief Financial Officer and Corporate Secretary of the Company, certify, pursuant to 18 U.S.C. Section 1350, as adopted pursuant to Section 906 of the Sarbanes-Oxley Act of 2002, that, to the best of my knowledge and belief:</w:t>
      </w:r>
    </w:p>
    <w:p>
      <w:pPr>
        <w:spacing w:after="0" w:line="185" w:lineRule="exact"/>
        <w:rPr>
          <w:sz w:val="20"/>
          <w:szCs w:val="20"/>
          <w:color w:val="auto"/>
        </w:rPr>
      </w:pPr>
    </w:p>
    <w:p>
      <w:pPr>
        <w:ind w:left="1760" w:hanging="1036"/>
        <w:spacing w:after="0"/>
        <w:tabs>
          <w:tab w:leader="none" w:pos="1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3" w:lineRule="exact"/>
        <w:rPr>
          <w:rFonts w:ascii="Arial" w:cs="Arial" w:eastAsia="Arial" w:hAnsi="Arial"/>
          <w:sz w:val="18"/>
          <w:szCs w:val="18"/>
          <w:color w:val="auto"/>
        </w:rPr>
      </w:pPr>
    </w:p>
    <w:p>
      <w:pPr>
        <w:ind w:left="1760" w:hanging="1036"/>
        <w:spacing w:after="0"/>
        <w:tabs>
          <w:tab w:leader="none" w:pos="1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4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141605</wp:posOffset>
            </wp:positionV>
            <wp:extent cx="1280160" cy="699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0160" cy="69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C. Wolsfeld,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93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93465" cy="825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 and Corporate Secretary</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officer and principal accounting</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officer)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July 11,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6821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8210"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x"/>
      <w:numFmt w:val="bullet"/>
      <w:start w:val="1"/>
    </w:lvl>
  </w:abstractNum>
  <w:abstractNum w:abstractNumId="1">
    <w:nsid w:val="140E0F76"/>
    <w:multiLevelType w:val="hybridMultilevel"/>
    <w:lvl w:ilvl="0">
      <w:lvlJc w:val="left"/>
      <w:lvlText w:val="o"/>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4"/>
    </w:lvl>
  </w:abstractNum>
  <w:abstractNum w:abstractNumId="6">
    <w:nsid w:val="1BEFD79F"/>
    <w:multiLevelType w:val="hybridMultilevel"/>
    <w:lvl w:ilvl="0">
      <w:lvlJc w:val="left"/>
      <w:lvlText w:val="%1."/>
      <w:numFmt w:val="decimal"/>
      <w:start w:val="5"/>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9"/>
    </w:lvl>
    <w:lvl w:ilvl="1">
      <w:lvlJc w:val="left"/>
      <w:lvlText w:val="·"/>
      <w:numFmt w:val="bullet"/>
      <w:start w:val="1"/>
    </w:lvl>
  </w:abstractNum>
  <w:abstractNum w:abstractNumId="11">
    <w:nsid w:val="519B500D"/>
    <w:multiLevelType w:val="hybridMultilevel"/>
    <w:lvl w:ilvl="0">
      <w:lvlJc w:val="left"/>
      <w:lvlText w:val="(%1)"/>
      <w:numFmt w:val="lowerRoman"/>
      <w:start w:val="2"/>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upperLetter"/>
      <w:start w:val="1"/>
    </w:lvl>
    <w:lvl w:ilvl="1">
      <w:lvlJc w:val="left"/>
      <w:lvlText w:val="%2."/>
      <w:numFmt w:val="decimal"/>
      <w:start w:val="1"/>
    </w:lvl>
  </w:abstractNum>
  <w:abstractNum w:abstractNumId="21">
    <w:nsid w:val="2443A858"/>
    <w:multiLevelType w:val="hybridMultilevel"/>
    <w:lvl w:ilvl="0">
      <w:lvlJc w:val="left"/>
      <w:lvlText w:val="%1."/>
      <w:numFmt w:val="upperLetter"/>
      <w:start w:val="7"/>
    </w:lvl>
    <w:lvl w:ilvl="1">
      <w:lvlJc w:val="left"/>
      <w:lvlText w:val="%2"/>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2019-12-13T20:10:00Z</dcterms:created>
  <dcterms:modified xsi:type="dcterms:W3CDTF">2019-12-13T20:10:00Z</dcterms:modified>
</cp:coreProperties>
</file>