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80" w:right="1980" w:hanging="3972"/>
        <w:spacing w:after="0" w:line="492" w:lineRule="auto"/>
        <w:tabs>
          <w:tab w:leader="none" w:pos="29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May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[_] </w:t>
      </w: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0" w:right="239" w:bottom="144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20"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$0.02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NTIC</w:t>
            </w:r>
          </w:p>
        </w:tc>
        <w:tc>
          <w:tcPr>
            <w:tcW w:w="5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1" w:lineRule="exact"/>
        <w:rPr>
          <w:sz w:val="24"/>
          <w:szCs w:val="24"/>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[_]</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0" w:right="23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[_]</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[_]</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[_]</w:t>
      </w:r>
    </w:p>
    <w:p>
      <w:pPr>
        <w:spacing w:after="0" w:line="200" w:lineRule="exact"/>
        <w:rPr>
          <w:sz w:val="24"/>
          <w:szCs w:val="24"/>
          <w:color w:val="auto"/>
        </w:rPr>
      </w:pPr>
    </w:p>
    <w:p>
      <w:pPr>
        <w:sectPr>
          <w:pgSz w:w="11900" w:h="16838" w:orient="portrait"/>
          <w:cols w:equalWidth="0" w:num="2">
            <w:col w:w="7060" w:space="720"/>
            <w:col w:w="3640"/>
          </w:cols>
          <w:pgMar w:left="240" w:top="220" w:right="239" w:bottom="1440" w:gutter="0" w:footer="0" w:header="0"/>
          <w:type w:val="continuous"/>
        </w:sectPr>
      </w:pPr>
    </w:p>
    <w:p>
      <w:pPr>
        <w:spacing w:after="0" w:line="22"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8, 2019, there were 9,086,816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88"/>
              </w:rPr>
              <w:t>Description</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0860" w:type="dxa"/>
            <w:vAlign w:val="bottom"/>
            <w:gridSpan w:val="22"/>
          </w:tcPr>
          <w:p>
            <w:pPr>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2019 (unaudited) and August 31, 2018</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and Nine Months Ended May 31, 2019 and 2018</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(unaudited) for the Three and Nine Months Ended May 31, 2019 and 2018</w:t>
              </w:r>
            </w:hyperlink>
          </w:p>
        </w:tc>
        <w:tc>
          <w:tcPr>
            <w:tcW w:w="540" w:type="dxa"/>
            <w:vAlign w:val="bottom"/>
          </w:tcPr>
          <w:p>
            <w:pPr>
              <w:spacing w:after="0"/>
              <w:rPr>
                <w:sz w:val="17"/>
                <w:szCs w:val="17"/>
                <w:color w:val="auto"/>
              </w:rPr>
            </w:pPr>
          </w:p>
        </w:tc>
        <w:tc>
          <w:tcPr>
            <w:tcW w:w="56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00" w:type="dxa"/>
            <w:vAlign w:val="bottom"/>
            <w:gridSpan w:val="1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Equity (unaudited) for the Three and Nine Months Ended May 31, 2019 and 2018</w:t>
              </w:r>
            </w:hyperlink>
          </w:p>
        </w:tc>
        <w:tc>
          <w:tcPr>
            <w:tcW w:w="12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(unaudited) for the Nine Months Ended May 31, 2019 and 2018</w:t>
              </w:r>
            </w:hyperlink>
          </w:p>
        </w:tc>
        <w:tc>
          <w:tcPr>
            <w:tcW w:w="400" w:type="dxa"/>
            <w:vAlign w:val="bottom"/>
          </w:tcPr>
          <w:p>
            <w:pPr>
              <w:spacing w:after="0"/>
              <w:rPr>
                <w:sz w:val="17"/>
                <w:szCs w:val="17"/>
                <w:color w:val="auto"/>
              </w:rPr>
            </w:pPr>
          </w:p>
        </w:tc>
        <w:tc>
          <w:tcPr>
            <w:tcW w:w="1780" w:type="dxa"/>
            <w:vAlign w:val="bottom"/>
            <w:gridSpan w:val="3"/>
          </w:tcPr>
          <w:p>
            <w:pPr>
              <w:spacing w:after="0"/>
              <w:rPr>
                <w:sz w:val="17"/>
                <w:szCs w:val="17"/>
                <w:color w:val="auto"/>
              </w:rPr>
            </w:pPr>
          </w:p>
        </w:tc>
        <w:tc>
          <w:tcPr>
            <w:tcW w:w="560" w:type="dxa"/>
            <w:vAlign w:val="bottom"/>
            <w:gridSpan w:val="4"/>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2180" w:type="dxa"/>
            <w:vAlign w:val="bottom"/>
            <w:gridSpan w:val="4"/>
          </w:tcPr>
          <w:p>
            <w:pPr>
              <w:spacing w:after="0"/>
              <w:rPr>
                <w:sz w:val="17"/>
                <w:szCs w:val="17"/>
                <w:color w:val="auto"/>
              </w:rPr>
            </w:pPr>
          </w:p>
        </w:tc>
        <w:tc>
          <w:tcPr>
            <w:tcW w:w="560" w:type="dxa"/>
            <w:vAlign w:val="bottom"/>
            <w:gridSpan w:val="4"/>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6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3.</w:t>
              </w:r>
            </w:hyperlink>
          </w:p>
        </w:tc>
        <w:tc>
          <w:tcPr>
            <w:tcW w:w="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3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5340" w:type="dxa"/>
            <w:vAlign w:val="bottom"/>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3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53"/>
        </w:trPr>
        <w:tc>
          <w:tcPr>
            <w:tcW w:w="10860" w:type="dxa"/>
            <w:vAlign w:val="bottom"/>
            <w:gridSpan w:val="22"/>
          </w:tcPr>
          <w:p>
            <w:pPr>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3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Legal Proceedings</w:t>
              </w:r>
            </w:hyperlink>
          </w:p>
        </w:tc>
        <w:tc>
          <w:tcPr>
            <w:tcW w:w="8360" w:type="dxa"/>
            <w:vAlign w:val="bottom"/>
            <w:gridSpan w:val="13"/>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196"/>
        </w:trPr>
        <w:tc>
          <w:tcPr>
            <w:tcW w:w="900" w:type="dxa"/>
            <w:vAlign w:val="bottom"/>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280" w:type="dxa"/>
            <w:vAlign w:val="bottom"/>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3.</w:t>
              </w:r>
            </w:hyperlink>
          </w:p>
        </w:tc>
        <w:tc>
          <w:tcPr>
            <w:tcW w:w="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5360" w:type="dxa"/>
            <w:vAlign w:val="bottom"/>
            <w:gridSpan w:val="8"/>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7380" w:type="dxa"/>
            <w:vAlign w:val="bottom"/>
            <w:gridSpan w:val="10"/>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5.</w:t>
              </w:r>
            </w:hyperlink>
          </w:p>
        </w:tc>
        <w:tc>
          <w:tcPr>
            <w:tcW w:w="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940" w:type="dxa"/>
            <w:vAlign w:val="bottom"/>
            <w:gridSpan w:val="11"/>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Exhibits</w:t>
              </w:r>
            </w:hyperlink>
          </w:p>
        </w:tc>
        <w:tc>
          <w:tcPr>
            <w:tcW w:w="9100" w:type="dxa"/>
            <w:vAlign w:val="bottom"/>
            <w:gridSpan w:val="16"/>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40">
              <w:r>
                <w:rPr>
                  <w:rFonts w:ascii="Arial" w:cs="Arial" w:eastAsia="Arial" w:hAnsi="Arial"/>
                  <w:sz w:val="18"/>
                  <w:szCs w:val="18"/>
                  <w:b w:val="1"/>
                  <w:bCs w:val="1"/>
                  <w:color w:val="0000EE"/>
                  <w:w w:val="96"/>
                </w:rPr>
                <w:t>SIGNATURES</w:t>
              </w:r>
            </w:hyperlink>
          </w:p>
        </w:tc>
        <w:tc>
          <w:tcPr>
            <w:tcW w:w="9680" w:type="dxa"/>
            <w:vAlign w:val="bottom"/>
            <w:gridSpan w:val="17"/>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bl>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MAY 31, 2019 (UNAUDITED)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7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7"/>
              </w:rPr>
              <w:t>August 31,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31, 2019</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5,224,480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2,540,613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Receivables:</w:t>
            </w:r>
          </w:p>
        </w:tc>
        <w:tc>
          <w:tcPr>
            <w:tcW w:w="7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1"/>
              </w:rPr>
              <w:t>Trade excluding joint ventures, less allowance for doubtful accounts of $65,000 at May 31, 2019 and $50,000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tcPr>
          <w:p>
            <w:pPr>
              <w:ind w:left="520"/>
              <w:spacing w:after="0"/>
              <w:rPr>
                <w:sz w:val="20"/>
                <w:szCs w:val="20"/>
                <w:color w:val="auto"/>
              </w:rPr>
            </w:pPr>
            <w:r>
              <w:rPr>
                <w:rFonts w:ascii="Arial" w:cs="Arial" w:eastAsia="Arial" w:hAnsi="Arial"/>
                <w:sz w:val="18"/>
                <w:szCs w:val="18"/>
                <w:color w:val="auto"/>
              </w:rPr>
              <w:t>at August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10,068,632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935,685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1,242,928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628,360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7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10,619,012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9,130,861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1,105,319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1,661,577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32,365,029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30,567,773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7,293,137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24,077,361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1,371,664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1,048,249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Pr>
          <w:p>
            <w:pPr>
              <w:ind w:left="340"/>
              <w:spacing w:after="0"/>
              <w:rPr>
                <w:sz w:val="20"/>
                <w:szCs w:val="20"/>
                <w:color w:val="auto"/>
              </w:rPr>
            </w:pPr>
            <w:r>
              <w:rPr>
                <w:rFonts w:ascii="Arial" w:cs="Arial" w:eastAsia="Arial" w:hAnsi="Arial"/>
                <w:sz w:val="18"/>
                <w:szCs w:val="18"/>
                <w:color w:val="auto"/>
              </w:rPr>
              <w:t>Other</w:t>
            </w:r>
          </w:p>
        </w:tc>
        <w:tc>
          <w:tcPr>
            <w:tcW w:w="7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26,497,274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25,812,637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66,155,440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4,458,928</w:t>
            </w:r>
          </w:p>
        </w:tc>
        <w:tc>
          <w:tcPr>
            <w:tcW w:w="10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3,905,034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1,357,164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w:t>
            </w:r>
          </w:p>
        </w:tc>
        <w:tc>
          <w:tcPr>
            <w:tcW w:w="7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856,578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6,673,306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7,730,182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7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$0.02 par value per share; authorized 15,000,000 shares; issued and outstanding 9,086,816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9,082,606, respectively</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15,655,353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14,528,951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44,708,934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41,963,341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(4,206,472)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56,339,551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53,076,745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3,142,583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59,482,134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55,819,054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52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66,155,440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p>
      <w:pPr>
        <w:spacing w:after="0" w:line="230"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43" w:lineRule="exact"/>
        <w:rPr>
          <w:sz w:val="20"/>
          <w:szCs w:val="20"/>
          <w:color w:val="auto"/>
        </w:rPr>
      </w:pPr>
    </w:p>
    <w:p>
      <w:pPr>
        <w:ind w:left="5800"/>
        <w:spacing w:after="0"/>
        <w:tabs>
          <w:tab w:leader="none" w:pos="7280" w:val="left"/>
        </w:tabs>
        <w:rPr>
          <w:sz w:val="20"/>
          <w:szCs w:val="20"/>
          <w:color w:val="auto"/>
        </w:rPr>
      </w:pPr>
      <w:r>
        <w:rPr>
          <w:rFonts w:ascii="Arial" w:cs="Arial" w:eastAsia="Arial" w:hAnsi="Arial"/>
          <w:sz w:val="18"/>
          <w:szCs w:val="18"/>
          <w:b w:val="1"/>
          <w:bCs w:val="1"/>
          <w:color w:val="auto"/>
        </w:rPr>
        <w:t>May 31, 2019</w:t>
      </w:r>
      <w:r>
        <w:rPr>
          <w:sz w:val="20"/>
          <w:szCs w:val="20"/>
          <w:color w:val="auto"/>
        </w:rPr>
        <w:tab/>
      </w:r>
      <w:r>
        <w:rPr>
          <w:rFonts w:ascii="Arial" w:cs="Arial" w:eastAsia="Arial" w:hAnsi="Arial"/>
          <w:sz w:val="16"/>
          <w:szCs w:val="16"/>
          <w:b w:val="1"/>
          <w:bCs w:val="1"/>
          <w:color w:val="auto"/>
        </w:rPr>
        <w:t>May 31, 2018</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17145</wp:posOffset>
            </wp:positionV>
            <wp:extent cx="178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4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May 31, 2019</w:t>
      </w:r>
      <w:r>
        <w:rPr>
          <w:sz w:val="20"/>
          <w:szCs w:val="20"/>
          <w:color w:val="auto"/>
        </w:rPr>
        <w:tab/>
      </w:r>
      <w:r>
        <w:rPr>
          <w:rFonts w:ascii="Arial" w:cs="Arial" w:eastAsia="Arial" w:hAnsi="Arial"/>
          <w:sz w:val="16"/>
          <w:szCs w:val="16"/>
          <w:b w:val="1"/>
          <w:bCs w:val="1"/>
          <w:color w:val="auto"/>
        </w:rPr>
        <w:t>May 31, 2018</w:t>
      </w:r>
    </w:p>
    <w:p>
      <w:pPr>
        <w:spacing w:after="0" w:line="27" w:lineRule="exact"/>
        <w:rPr>
          <w:sz w:val="20"/>
          <w:szCs w:val="20"/>
          <w:color w:val="auto"/>
        </w:rPr>
      </w:pPr>
    </w:p>
    <w:p>
      <w:pPr>
        <w:sectPr>
          <w:pgSz w:w="11900" w:h="16838" w:orient="portrait"/>
          <w:cols w:equalWidth="0" w:num="2">
            <w:col w:w="8340" w:space="440"/>
            <w:col w:w="264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13,780,804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12,044,513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39,998,118</w:t>
            </w:r>
          </w:p>
        </w:tc>
        <w:tc>
          <w:tcPr>
            <w:tcW w:w="10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34,479,773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1,112,313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879,324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2,304,455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2,201,077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14,893,117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12,923,837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42,302,573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36,680,850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10,138,353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8,592,366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28,883,589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24,493,672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4,754,764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4,331,471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13,418,984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12,187,178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from joint ventures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1,877,410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2,246,066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5,596,788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5,793,391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1,433,823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1,508,500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4,299,032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4,624,532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joint venture operations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3,311,233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3,754,566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9,895,820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10,417,923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Selling expenses</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2,761,488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2,784,694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8,077,663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8,028,279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2,527,192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1,987,785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6,986,526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1,005,045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860,347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2,804,739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2,581,824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6,293,725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5,632,826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17,868,928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16,622,849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1,772,272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2,453,211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5,445,876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5,982,252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1,791,221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2,485,702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5,486,542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150,257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181,683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652,331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1,640,964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2,304,019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4,834,211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4,924,231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158,815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161,267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453,435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365,006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1,482,149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2,142,752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4,380,776</w:t>
            </w:r>
          </w:p>
        </w:tc>
        <w:tc>
          <w:tcPr>
            <w:tcW w:w="100" w:type="dxa"/>
            <w:vAlign w:val="bottom"/>
          </w:tcPr>
          <w:p>
            <w:pPr>
              <w:spacing w:after="0"/>
              <w:rPr>
                <w:sz w:val="24"/>
                <w:szCs w:val="24"/>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4,559,225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ASSUMED OUTSTANDING: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9,084,354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9,078,706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9,085,584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9,077,676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ind w:left="700"/>
              <w:spacing w:after="0" w:line="190"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9,392,444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9,414,064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9,440,858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9,327,694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0.06</w:t>
            </w:r>
          </w:p>
        </w:tc>
        <w:tc>
          <w:tcPr>
            <w:tcW w:w="1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0.05</w:t>
            </w:r>
          </w:p>
        </w:tc>
        <w:tc>
          <w:tcPr>
            <w:tcW w:w="1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AND NINE MONTHS ENDED MAY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30"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1835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43" w:lineRule="exact"/>
        <w:rPr>
          <w:sz w:val="20"/>
          <w:szCs w:val="20"/>
          <w:color w:val="auto"/>
        </w:rPr>
      </w:pPr>
    </w:p>
    <w:p>
      <w:pPr>
        <w:ind w:left="5800"/>
        <w:spacing w:after="0"/>
        <w:tabs>
          <w:tab w:leader="none" w:pos="7280" w:val="left"/>
        </w:tabs>
        <w:rPr>
          <w:sz w:val="20"/>
          <w:szCs w:val="20"/>
          <w:color w:val="auto"/>
        </w:rPr>
      </w:pPr>
      <w:r>
        <w:rPr>
          <w:rFonts w:ascii="Arial" w:cs="Arial" w:eastAsia="Arial" w:hAnsi="Arial"/>
          <w:sz w:val="18"/>
          <w:szCs w:val="18"/>
          <w:b w:val="1"/>
          <w:bCs w:val="1"/>
          <w:color w:val="auto"/>
        </w:rPr>
        <w:t>May 31, 2019</w:t>
      </w:r>
      <w:r>
        <w:rPr>
          <w:sz w:val="20"/>
          <w:szCs w:val="20"/>
          <w:color w:val="auto"/>
        </w:rPr>
        <w:tab/>
      </w:r>
      <w:r>
        <w:rPr>
          <w:rFonts w:ascii="Arial" w:cs="Arial" w:eastAsia="Arial" w:hAnsi="Arial"/>
          <w:sz w:val="16"/>
          <w:szCs w:val="16"/>
          <w:b w:val="1"/>
          <w:bCs w:val="1"/>
          <w:color w:val="auto"/>
        </w:rPr>
        <w:t>May 31, 2018</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17145</wp:posOffset>
            </wp:positionV>
            <wp:extent cx="1783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4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May 31, 2019</w:t>
      </w:r>
      <w:r>
        <w:rPr>
          <w:sz w:val="20"/>
          <w:szCs w:val="20"/>
          <w:color w:val="auto"/>
        </w:rPr>
        <w:tab/>
      </w:r>
      <w:r>
        <w:rPr>
          <w:rFonts w:ascii="Arial" w:cs="Arial" w:eastAsia="Arial" w:hAnsi="Arial"/>
          <w:sz w:val="16"/>
          <w:szCs w:val="16"/>
          <w:b w:val="1"/>
          <w:bCs w:val="1"/>
          <w:color w:val="auto"/>
        </w:rPr>
        <w:t>May 31, 2018</w:t>
      </w:r>
    </w:p>
    <w:p>
      <w:pPr>
        <w:spacing w:after="0" w:line="47" w:lineRule="exact"/>
        <w:rPr>
          <w:sz w:val="20"/>
          <w:szCs w:val="20"/>
          <w:color w:val="auto"/>
        </w:rPr>
      </w:pPr>
    </w:p>
    <w:p>
      <w:pPr>
        <w:sectPr>
          <w:pgSz w:w="11900" w:h="16838" w:orient="portrait"/>
          <w:cols w:equalWidth="0" w:num="2">
            <w:col w:w="8340" w:space="440"/>
            <w:col w:w="26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5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1,640,964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2,304,019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4,834,211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4,924,231</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OTHER COMPREHENSIVE LOSS – FOREIGN CURRENCY</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TRANSLATION ADJUSTMENT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(493,488)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(1,011,685)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(569,151)</w:t>
            </w:r>
          </w:p>
        </w:tc>
      </w:tr>
      <w:tr>
        <w:trPr>
          <w:trHeight w:val="230"/>
        </w:trPr>
        <w:tc>
          <w:tcPr>
            <w:tcW w:w="5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1,147,476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1,292,334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4,237,743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4,355,081</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NON-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129,541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137,502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466,240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383,464</w:t>
            </w:r>
          </w:p>
        </w:tc>
      </w:tr>
      <w:tr>
        <w:trPr>
          <w:trHeight w:val="182"/>
        </w:trPr>
        <w:tc>
          <w:tcPr>
            <w:tcW w:w="5620" w:type="dxa"/>
            <w:vAlign w:val="bottom"/>
          </w:tcPr>
          <w:p>
            <w:pPr>
              <w:spacing w:after="0" w:line="182" w:lineRule="exact"/>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ATTRIBUTABLE TO NTIC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1,017,935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1,154,832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3,771,503</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3,971,617</w:t>
            </w:r>
          </w:p>
        </w:tc>
      </w:tr>
      <w:tr>
        <w:trPr>
          <w:trHeight w:val="20"/>
        </w:trPr>
        <w:tc>
          <w:tcPr>
            <w:tcW w:w="5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MAY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56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STOCKHOLDERS’ EQUITY – THREE MONTHS ENDED MAY 31</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Additional</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Paid-in</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Controlling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1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6"/>
              </w:rPr>
              <w:t>Capital</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9,084,354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$ 15,262,556</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$ 43,771,843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(3,742,258)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3,013,042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$ 58,486,871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0"/>
              </w:rPr>
              <w:t>Stock issued for 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2,462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140" w:type="dxa"/>
            <w:vAlign w:val="bottom"/>
          </w:tcPr>
          <w:p>
            <w:pPr>
              <w:jc w:val="right"/>
              <w:spacing w:after="0"/>
              <w:rPr>
                <w:sz w:val="20"/>
                <w:szCs w:val="20"/>
                <w:color w:val="auto"/>
              </w:rPr>
            </w:pPr>
            <w:r>
              <w:rPr>
                <w:rFonts w:ascii="Arial" w:cs="Arial" w:eastAsia="Arial" w:hAnsi="Arial"/>
                <w:sz w:val="18"/>
                <w:szCs w:val="18"/>
                <w:color w:val="auto"/>
              </w:rPr>
              <w:t>34,817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357,980</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(545,058)</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1,482,149</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158,815</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1,640,964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(464,214)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9,086,816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$ 15,655,353</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$ 44,708,934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(4,206,472)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3,142,583</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$ 59,482,134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9,074,816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$ 14,307,103</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$ 38,586,704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(2,070,752)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2,903,410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$ 53,907,961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5,820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 issued for 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103,209</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(454,130)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2,142,752</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161,267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2,304,019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(987,920)</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(1,011,685)</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BALANCE AT MAY 31, 2018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9,082,606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181,652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$ 14,425,684</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$ 40,275,326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(3,058,672)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3,040,912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$ 54,864,902</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5640" w:type="dxa"/>
            <w:vAlign w:val="bottom"/>
            <w:tcBorders>
              <w:bottom w:val="single" w:sz="8" w:color="auto"/>
            </w:tcBorders>
            <w:gridSpan w:val="7"/>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4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564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8"/>
                <w:szCs w:val="18"/>
                <w:b w:val="1"/>
                <w:bCs w:val="1"/>
                <w:color w:val="auto"/>
              </w:rPr>
              <w:t>STOCKHOLDERS’ EQUITY – NINE MONTHS ENDED MAY 31</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Additional</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Paid-in</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Controlling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1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6"/>
              </w:rPr>
              <w:t>Capital</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9,082,606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$ 14,528,951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$ 41,963,341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(3,597,199)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2,742,309</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$ 55,819,054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4,210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140" w:type="dxa"/>
            <w:vAlign w:val="bottom"/>
          </w:tcPr>
          <w:p>
            <w:pPr>
              <w:jc w:val="right"/>
              <w:spacing w:after="0"/>
              <w:rPr>
                <w:sz w:val="20"/>
                <w:szCs w:val="20"/>
                <w:color w:val="auto"/>
              </w:rPr>
            </w:pPr>
            <w:r>
              <w:rPr>
                <w:rFonts w:ascii="Arial" w:cs="Arial" w:eastAsia="Arial" w:hAnsi="Arial"/>
                <w:sz w:val="18"/>
                <w:szCs w:val="18"/>
                <w:color w:val="auto"/>
              </w:rPr>
              <w:t>52,462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1,073,940</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134,034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Dividend received by non-controlling 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4,380,776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453,435</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4,834,211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(609,273)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12,805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9,086,816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$ 15,655,353</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$ 44,708,934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(4,206,472)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3,142,583</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$ 59,482,134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$ 14,072,809</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$ 37,077,483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2,857,448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$ 51,718,076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8,820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1140" w:type="dxa"/>
            <w:vAlign w:val="bottom"/>
          </w:tcPr>
          <w:p>
            <w:pPr>
              <w:jc w:val="right"/>
              <w:spacing w:after="0"/>
              <w:rPr>
                <w:sz w:val="20"/>
                <w:szCs w:val="20"/>
                <w:color w:val="auto"/>
              </w:rPr>
            </w:pPr>
            <w:r>
              <w:rPr>
                <w:rFonts w:ascii="Arial" w:cs="Arial" w:eastAsia="Arial" w:hAnsi="Arial"/>
                <w:sz w:val="18"/>
                <w:szCs w:val="18"/>
                <w:color w:val="auto"/>
              </w:rPr>
              <w:t>15,257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 issued for 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309,743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(1,361,382)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Dividend received by non-controlling 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4,559,225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365,006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4,924,231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(587,608)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18,458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9,082,606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$ 14,425,684</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$ 40,275,326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(3,058,672)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3,040,912</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$ 54,864,902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NINE MONTHS ENDED MAY 31, 2019 AND 2018</w:t>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4,834,211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1,073,940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627,853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assets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(5,596,788)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3,822,785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joint ventures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Trade, joint ventures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114,327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(343,377)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709,049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2,717,391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(2,340,503)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Investments in patents</w:t>
            </w: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by non-controlling interest</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Dividends paid on NTIC common stock</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option exercises</w:t>
            </w: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(1,648,602)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(1,517,998)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right="2500"/>
        <w:spacing w:after="0" w:line="290" w:lineRule="auto"/>
        <w:rPr>
          <w:sz w:val="20"/>
          <w:szCs w:val="20"/>
          <w:color w:val="auto"/>
        </w:rPr>
      </w:pPr>
      <w:r>
        <w:rPr>
          <w:rFonts w:ascii="Arial" w:cs="Arial" w:eastAsia="Arial" w:hAnsi="Arial"/>
          <w:sz w:val="17"/>
          <w:szCs w:val="17"/>
          <w:color w:val="auto"/>
        </w:rPr>
        <w:t>NET INCREASE (DECREASE)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1,061,457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(1,749,876)</w:t>
            </w:r>
          </w:p>
        </w:tc>
      </w:tr>
      <w:tr>
        <w:trPr>
          <w:trHeight w:val="230"/>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4,163,023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6,360,201</w:t>
            </w:r>
          </w:p>
        </w:tc>
      </w:tr>
      <w:tr>
        <w:trPr>
          <w:trHeight w:val="45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5,224,480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4,610,325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2019 and August 31, 2018, the results of their operations for the three and nine months ended May 31, 2019 and 2018, the changes in stockholders’ equity for the three and nine months ended May 31, 2019 and their cash flows for the nine months ended May 31, 2019 and 2018, in conformity with accounting principles generally accepted in the United States of America (U.S. GAAP).</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2018.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results for the three and nine months ended May 31, 2019 are not necessarily indicative of the results that may be expected for the full fiscal year ending August 31, 2019.</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Company’s significant accounting policies are detailed in “Note 1. Nature of Business and Significant Accounting Policies” of the Company’s Annual Report on Form 10-K for the year ended August 31, 2018. In May 2014, the Financial Accounting Standards Board (FASB) issued guidance creating Accounting Standards Codification (ASC) Section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September 1, 2018, the Company adopted ASC 606 for all customer contracts using the modified retrospective method. To determine revenue recognition for arrangements within the scope of ASC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right="80"/>
        <w:spacing w:after="0" w:line="293" w:lineRule="auto"/>
        <w:rPr>
          <w:sz w:val="20"/>
          <w:szCs w:val="20"/>
          <w:color w:val="auto"/>
        </w:rPr>
      </w:pPr>
      <w:r>
        <w:rPr>
          <w:rFonts w:ascii="Arial" w:cs="Arial" w:eastAsia="Arial" w:hAnsi="Arial"/>
          <w:sz w:val="16"/>
          <w:szCs w:val="16"/>
          <w:color w:val="auto"/>
        </w:rPr>
        <w:t>The adoption of ASC 606 neither impacted the previously reported financial statements in any prior period nor did it result in a cumulative effect adjustment to retained earnings. Therefore, the adoption of the standard did not impact the Company’s revenue recognition process. 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Company’s significant accounting policies as a result of adopting ASC 606 are discussed below.</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measured based on consideration specified in the contract with a customer, adjusted for any applicable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and other factors affecting the transaction price, including noncash consideration, consideration paid or payable to customers, and significant financing components. While most of the Company’s revenue is contracted with customers through one-time purchase orders and short-term contracts, the Company does have long-term arrangements with certain customers. Revenue from all customers is recognized when a performance obligation is satisfied by transferring control of a distinct good or service to a customer.</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7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timing of revenue recognition, billing, and cash collections results in accounts receivable on the balance sheet.</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Performance Obligations </w:t>
      </w:r>
      <w:r>
        <w:rPr>
          <w:rFonts w:ascii="Arial" w:cs="Arial" w:eastAsia="Arial" w:hAnsi="Arial"/>
          <w:sz w:val="16"/>
          <w:szCs w:val="16"/>
          <w:color w:val="auto"/>
        </w:rPr>
        <w:t>- A performance obligation is a promise in a contract to transfer a distinct good or service to the customer. A contract’s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0" w:name="page11"/>
    <w:bookmarkEnd w:id="10"/>
    <w:p>
      <w:pPr>
        <w:ind w:right="60"/>
        <w:spacing w:after="0" w:line="273" w:lineRule="auto"/>
        <w:rPr>
          <w:sz w:val="20"/>
          <w:szCs w:val="20"/>
          <w:color w:val="auto"/>
        </w:rPr>
      </w:pPr>
      <w:r>
        <w:rPr>
          <w:rFonts w:ascii="Arial" w:cs="Arial" w:eastAsia="Arial" w:hAnsi="Arial"/>
          <w:sz w:val="17"/>
          <w:szCs w:val="17"/>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Trade Receivables </w:t>
      </w:r>
      <w:r>
        <w:rPr>
          <w:rFonts w:ascii="Arial" w:cs="Arial" w:eastAsia="Arial" w:hAnsi="Arial"/>
          <w:sz w:val="17"/>
          <w:szCs w:val="17"/>
          <w:color w:val="auto"/>
        </w:rPr>
        <w:t>- Trade receivables include amounts invoiced and currently due from customers. The amounts due are stated at their net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realizable value. The Company records an allowance for doubtful accounts to provide for the estimated amount of receivables that will not be collected. The allowance is based on a review of all outstanding amounts on an on-going basis. Management determines the allowance for doubtful accounts by regularly evaluating individual customer receivables and considers a customer’s financial condition, credit history, and current economic conditions. Trade receivables are written off when deemed uncollectible and have been historically insignificant. Recoveries of trade receivables previously written off are recorded when received. Accounts are considered past due if payment is not received according to agreed-upon terms.</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Sales Commissions </w:t>
      </w:r>
      <w:r>
        <w:rPr>
          <w:rFonts w:ascii="Arial" w:cs="Arial" w:eastAsia="Arial" w:hAnsi="Arial"/>
          <w:sz w:val="16"/>
          <w:szCs w:val="16"/>
          <w:color w:val="auto"/>
        </w:rPr>
        <w:t>- Sales commissions paid to sales representatives are eligible for capitalization, as they are incremental costs that would not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Product Warranty </w:t>
      </w:r>
      <w:r>
        <w:rPr>
          <w:rFonts w:ascii="Arial" w:cs="Arial" w:eastAsia="Arial" w:hAnsi="Arial"/>
          <w:sz w:val="17"/>
          <w:szCs w:val="17"/>
          <w:color w:val="auto"/>
        </w:rPr>
        <w:t>- The Company offers warranties on various products and services. These warranties are assurance type warranties that are not sold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6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 xml:space="preserve">International Revenue </w:t>
      </w:r>
      <w:r>
        <w:rPr>
          <w:rFonts w:ascii="Arial" w:cs="Arial" w:eastAsia="Arial" w:hAnsi="Arial"/>
          <w:sz w:val="17"/>
          <w:szCs w:val="17"/>
          <w:color w:val="auto"/>
        </w:rPr>
        <w:t>- The Company markets its products to numerous countries in North America, Europe, Latin America, Asia, and other parts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See Note 11, Segment and Geographical Information, for information regarding revenue disaggregation by geography.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February 2016, the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fiscal year 2020. The Company is currently assessing the effect that ASU No. 2016-02 will have on its consolidated financial statements but does not expect it will have a material impact on its consolidated balance sheet.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May 31, 2019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2018</w:t>
            </w: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2,135,972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1,824,489</w:t>
            </w:r>
          </w:p>
        </w:tc>
      </w:tr>
      <w:tr>
        <w:trPr>
          <w:trHeight w:val="230"/>
        </w:trPr>
        <w:tc>
          <w:tcPr>
            <w:tcW w:w="1160" w:type="dxa"/>
            <w:vAlign w:val="bottom"/>
          </w:tcPr>
          <w:p>
            <w:pPr>
              <w:spacing w:after="0"/>
              <w:rPr>
                <w:sz w:val="19"/>
                <w:szCs w:val="19"/>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8,483,040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7,306,372</w:t>
            </w: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10,619,012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9,130,861</w:t>
            </w: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4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May 31, 2019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7,553,462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6,927,484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4,787,247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4,680,072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12,651,074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11,917,921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(5,357,937)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(4,749,095)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7,293,137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7,168,826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PATENTS AND TRADEMARKS, NET</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4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May 31, 2019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2,911,662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2,824,440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5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(1,863,413)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(1,668,183)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1,048,249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1,156,257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of approximately $260,000 is estimated for each of the next five fiscal years.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2" w:name="page13"/>
    <w:bookmarkEnd w:id="12"/>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of sales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As of May 31, 2019</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60,397,874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29,698,867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30,699,007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64,887,307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32,137,535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32,749,772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15,628,449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4,606,287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11,022,162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467,330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48,791,528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27,531,248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21,260,280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NTIC’s share of joint ventures’ equity</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24,077,361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13,765,626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10,311,735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NTIC’s share of joint ventures’ undistributed earnings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22,048,149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13,734,721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8,313,428</w:t>
            </w: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As of August 31, 2018</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EXCOR</w:t>
            </w:r>
          </w:p>
        </w:tc>
        <w:tc>
          <w:tcPr>
            <w:tcW w:w="20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58,086,747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27,354,788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30,731,959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62,803,261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30,033,750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32,769,511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15,991,886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4,535,954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11,455,932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403,653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46,407,722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25,497,796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20,909,926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NTIC’s share of joint ventures’ equity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22,950,995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12,748,899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10,195,263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NTIC’s share of joint ventures’ undistributed earnings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20,921,783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12,717,994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8,203,789</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rPr>
              <w:t>Three Months Ended May 31, 2019</w:t>
            </w:r>
          </w:p>
        </w:tc>
      </w:tr>
      <w:tr>
        <w:trPr>
          <w:trHeight w:val="223"/>
        </w:trPr>
        <w:tc>
          <w:tcPr>
            <w:tcW w:w="48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27,774,112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10,933,386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16,840,726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12,557,580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6,129,046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6,428,534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3,797,785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2,707,342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1,090,443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NTIC’s share of equity in income from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1,877,410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1,353,856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523,554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NTIC’s dividends received from joint ventures</w:t>
            </w:r>
          </w:p>
        </w:tc>
        <w:tc>
          <w:tcPr>
            <w:tcW w:w="12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1,795,542</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1,673,700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121,842</w:t>
            </w: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Nine Months Ended May 31, 2019</w:t>
            </w:r>
          </w:p>
        </w:tc>
      </w:tr>
      <w:tr>
        <w:trPr>
          <w:trHeight w:val="223"/>
        </w:trPr>
        <w:tc>
          <w:tcPr>
            <w:tcW w:w="48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86,003,918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34,895,042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51,108,876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38,547,018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19,118,704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19,428,314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11,412,552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8,187,467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3,225,085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NTIC’s share of equity in income from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5,596,788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4,094,763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1,502,025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NTIC’s dividends received from joint ventures</w:t>
            </w:r>
          </w:p>
        </w:tc>
        <w:tc>
          <w:tcPr>
            <w:tcW w:w="12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3,822,785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2,517,450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1,305,335</w:t>
            </w:r>
          </w:p>
        </w:tc>
      </w:tr>
    </w:tbl>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rPr>
              <w:t>Three Months Ended May 31, 2018</w:t>
            </w:r>
          </w:p>
        </w:tc>
      </w:tr>
      <w:tr>
        <w:trPr>
          <w:trHeight w:val="223"/>
        </w:trPr>
        <w:tc>
          <w:tcPr>
            <w:tcW w:w="48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31,480,885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12,219,414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19,261,471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14,209,819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6,823,609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7,386,210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4,540,968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3,113,660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1,427,308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NTIC’s share of equity in income from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2,246,066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1,558,243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687,823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NTIC’s dividends received from joint ventures</w:t>
            </w:r>
          </w:p>
        </w:tc>
        <w:tc>
          <w:tcPr>
            <w:tcW w:w="12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1,168,420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581,250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587,170</w:t>
            </w: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Nine Months Ended May 31, 2018</w:t>
            </w:r>
          </w:p>
        </w:tc>
      </w:tr>
      <w:tr>
        <w:trPr>
          <w:trHeight w:val="223"/>
        </w:trPr>
        <w:tc>
          <w:tcPr>
            <w:tcW w:w="48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90,200,146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35,450,664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54,749,482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40,529,217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19,315,099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21,214,118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11,753,467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8,272,237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3,481,230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NTIC’s share of equity in income from joint ventures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5,793,391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4,138,814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1,654,577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NTIC’s dividends received from joint ventures</w:t>
            </w:r>
          </w:p>
        </w:tc>
        <w:tc>
          <w:tcPr>
            <w:tcW w:w="12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2,941,807</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1,780,392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1,161,415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and nine months ended May 31, 2019 and 2018.</w:t>
      </w:r>
    </w:p>
    <w:p>
      <w:pPr>
        <w:spacing w:after="0" w:line="22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revolving line of credit with PNC Bank, National Association (PNC Bank) of $3,000,000. No amounts were outstanding under the line of credit as of either May 31, 2019 or August 31, 2018.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May 31, 2019, the Company was in compliance with all debt covenants.</w:t>
      </w:r>
    </w:p>
    <w:p>
      <w:pPr>
        <w:spacing w:after="0" w:line="18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May 31, 2019 and August 31, 2018 with PNC Bank. The availability of advances under the line of credit will be reduced by the face amount of any letter of credit issued and outstanding (whether or not drawn) under the revolving credit facility.</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30, 2018, the Company and PNC Bank extended the maturity date of the line of credit from January 7, 2019 to January 7, 2020. All other terms of the line of credit and the loan agreement and other documents evidencing the line of credit remain the same.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both May 31, 2019 and August 31, 2018, the Company had $88,831 of letters of credit that are performance based and set to expire between 2020 and 2022.</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4" w:name="page15"/>
    <w:bookmarkEnd w:id="14"/>
    <w:p>
      <w:pPr>
        <w:ind w:right="20"/>
        <w:spacing w:after="0" w:line="288" w:lineRule="auto"/>
        <w:rPr>
          <w:sz w:val="20"/>
          <w:szCs w:val="20"/>
          <w:color w:val="auto"/>
        </w:rPr>
      </w:pPr>
      <w:r>
        <w:rPr>
          <w:rFonts w:ascii="Arial" w:cs="Arial" w:eastAsia="Arial" w:hAnsi="Arial"/>
          <w:sz w:val="16"/>
          <w:szCs w:val="16"/>
          <w:color w:val="auto"/>
        </w:rPr>
        <w:t>The Company held its 2019 Annual Meeting of Stockholders (2019 Annual Meeting) on January 18, 2019. At the 2019 Annual Meeting, a proposal to ratify an amendment to the Company’s Restated Certificate of Incorporation to increase the Company’s authorized shares of common stock from 10,000,000 to 15,000,000 (Share Increase Amendment) was approved by the Company’s stockholders by the required vote. The proposal to approve the Share Increase Amendment was initially voted on and approved at the 2018 Annual Meeting of Stockholders. However, because the description of the authority of brokers to vote on proposals without instruction in the proxy statement for the 2018 Annual Meeting of Stockholders could have created some uncertainty as to the effect of the vote obtained at last year’s meeting, and out of an abundance of caution, the Board requested that stockholders at the 2019 Annual Meeting ratify the filing and effectiveness of the Certificate of Amendment to the Company’s Restated Certificate of Incorporation, which was filed with the Secretary of State of the State of Delaware on January 16, 2018, pursuant to Delaware law, in order to eliminate any uncertainty related to the effectiveness of the share increase amendment. Since the ratification proposal was approved by stockholders at the 2019 Annual Meeting, the ratification was retroactive to January 16, 2018, the time of filing of the Share Increase Amendment with the Secretary of State of the State of Delaware.</w:t>
      </w:r>
    </w:p>
    <w:p>
      <w:pPr>
        <w:spacing w:after="0" w:line="16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At the 2019 Annual Meeting held on January 18, 2019, the Company’s stockholders approved the Northern Technologies International Corporation 2019 Stock Incentive Plan (the 2019 Plan), which replaced the Northern Technologies International Corporation Amended and Restated 2007 Stock Incentive Plan (2007 Plan). No new awards will be granted under the 2007 Plan, although the terms of the 2007 Plan continue to govern awards outstanding under the 2007 Plan until exercised, expired, paid, or otherwise terminated or canceled. Subject to adjustment, the maximum number of shares of common stock authorized for issuance under the 2019 Plan is 800,000 shares. No stock options or other equity awards have been granted under the 2019 Plan as of May 31, 2019.</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 months ended May 31, 2019, the Company granted stock options under the 2007 Plan to purchase an aggregate of 141,768 shares of its common stock to various employees and directors. The weighted average per share exercise price of the stock options is $18.23, which was equal to the fair market value of the Company’s common stock on the date of grant. During the nine months ended May 31, 2019, no stock options to purchase common stock were exercised.</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nine months ended May 31, 2018, the Company granted stock options under the 2007 Plan to purchase an aggregate of 94,504 shares of its common stock to various employees and directors. The weighted average per share exercise price of the stock options is $9.18, which was equal to the fair market value of the Company’s common stock on the date of grant. During the nine months ended May 31, 2018, stock options to purchase an aggregate of 8,820 shares of common stock were exercised at a weighted average exercise price of $5.80 per share.</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issued 1,748 and 1,782 shares of common stock on September 1, 2018 and 2017, respectively, under the Northern Technologies International Corporation Employee Stock Purchase Plan (the ESPP). The Company issued 2,462 and 1,970 shares of common stock on March 1, 2019 and 2018, respectively, under the ESPP.</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May 31, 2019, the Company’s Board of Directors declared cash dividends on the following dates in the following amounts to holders of record of the Company’s common stock as of the following record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20" w:type="dxa"/>
            <w:vAlign w:val="bottom"/>
          </w:tcPr>
          <w:p>
            <w:pPr>
              <w:spacing w:after="0"/>
              <w:rPr>
                <w:sz w:val="20"/>
                <w:szCs w:val="20"/>
                <w:color w:val="auto"/>
              </w:rPr>
            </w:pPr>
          </w:p>
        </w:tc>
        <w:tc>
          <w:tcPr>
            <w:tcW w:w="2000" w:type="dxa"/>
            <w:vAlign w:val="bottom"/>
          </w:tcPr>
          <w:p>
            <w:pPr>
              <w:jc w:val="right"/>
              <w:ind w:right="237"/>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24, 2018</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8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7, 2018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21, 2018</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January 23, 2019</w:t>
            </w:r>
          </w:p>
        </w:tc>
        <w:tc>
          <w:tcPr>
            <w:tcW w:w="2120" w:type="dxa"/>
            <w:vAlign w:val="bottom"/>
            <w:gridSpan w:val="2"/>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6,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25, 2019</w:t>
            </w:r>
          </w:p>
        </w:tc>
        <w:tc>
          <w:tcPr>
            <w:tcW w:w="2120" w:type="dxa"/>
            <w:vAlign w:val="bottom"/>
            <w:gridSpan w:val="2"/>
            <w:shd w:val="clear" w:color="auto" w:fill="CCEEFF"/>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2019</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During the nine months ended May 31, 2018, the Company’s Board of Directors declared cash dividends on the following dates in the following amounts to holders of record of the Company’s common stock as of the following record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20" w:type="dxa"/>
            <w:vAlign w:val="bottom"/>
          </w:tcPr>
          <w:p>
            <w:pPr>
              <w:spacing w:after="0"/>
              <w:rPr>
                <w:sz w:val="20"/>
                <w:szCs w:val="20"/>
                <w:color w:val="auto"/>
              </w:rPr>
            </w:pPr>
          </w:p>
        </w:tc>
        <w:tc>
          <w:tcPr>
            <w:tcW w:w="2000" w:type="dxa"/>
            <w:vAlign w:val="bottom"/>
          </w:tcPr>
          <w:p>
            <w:pPr>
              <w:jc w:val="right"/>
              <w:ind w:right="237"/>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8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January 24, 2018</w:t>
            </w:r>
          </w:p>
        </w:tc>
        <w:tc>
          <w:tcPr>
            <w:tcW w:w="2120" w:type="dxa"/>
            <w:vAlign w:val="bottom"/>
            <w:gridSpan w:val="2"/>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25, 2018</w:t>
            </w:r>
          </w:p>
        </w:tc>
        <w:tc>
          <w:tcPr>
            <w:tcW w:w="2120" w:type="dxa"/>
            <w:vAlign w:val="bottom"/>
            <w:gridSpan w:val="2"/>
            <w:shd w:val="clear" w:color="auto" w:fill="CCEEFF"/>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May 31, 2019, and 2018, the Company repurchased no shares of its common stock.</w:t>
      </w:r>
    </w:p>
    <w:p>
      <w:pPr>
        <w:spacing w:after="0" w:line="22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and nine months ended May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Numerators: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May 31, 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1,482,149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2,142,752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4,380,776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4,559,225</w:t>
            </w:r>
          </w:p>
        </w:tc>
      </w:tr>
      <w:tr>
        <w:trPr>
          <w:trHeight w:val="216"/>
        </w:trPr>
        <w:tc>
          <w:tcPr>
            <w:tcW w:w="5620" w:type="dxa"/>
            <w:vAlign w:val="bottom"/>
          </w:tcPr>
          <w:p>
            <w:pPr>
              <w:ind w:left="60"/>
              <w:spacing w:after="0"/>
              <w:rPr>
                <w:sz w:val="20"/>
                <w:szCs w:val="20"/>
                <w:color w:val="auto"/>
              </w:rPr>
            </w:pPr>
            <w:r>
              <w:rPr>
                <w:rFonts w:ascii="Arial" w:cs="Arial" w:eastAsia="Arial" w:hAnsi="Arial"/>
                <w:sz w:val="18"/>
                <w:szCs w:val="18"/>
                <w:color w:val="auto"/>
              </w:rPr>
              <w:t>Denominators: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9,084,354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9,078,706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9,085,584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9,077,676</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308,090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335,358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9,392,444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9,414,064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9,440,858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9,327,694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method when computing the diluted net income per share. Excluded from the computation of diluted net income per share for the three and nine months ended May 31, 2019 were options outstanding to purchase 141,768 shares of common stock. There were no shares excluded from the computation of diluted income per share for the three and nine months ended May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As previously described in Note 8, at the 2019 Annual Meeting held on January 18, 2019, the Board of Directors and stockholders of the Company approved a new Northern Technologies International Corporation 2019 Stock Incentive Plan. No stock options or other equity awards have been granted under that plan. The Compensation Committee of the Board of Directors and the Board of Directors administer these plans.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20"/>
        <w:spacing w:after="0" w:line="271" w:lineRule="auto"/>
        <w:rPr>
          <w:sz w:val="20"/>
          <w:szCs w:val="20"/>
          <w:color w:val="auto"/>
        </w:rPr>
      </w:pPr>
      <w:r>
        <w:rPr>
          <w:rFonts w:ascii="Arial" w:cs="Arial" w:eastAsia="Arial" w:hAnsi="Arial"/>
          <w:sz w:val="17"/>
          <w:szCs w:val="17"/>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May 31, 2019, only stock options and stock bonuses had been granted under the 2007 Plan and no stock options or other equity awards had been granted under the 2019 Plan.</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granted options to purchase an aggregate of 141,768 and 94,504 shares of its common stock during the nine months ended May 31, 2019 and 2018, respectively. The fair value of option grants is determined at date of grant using the Black-Scholes option pricing model with the assumptions listed below. The Company recognized compensation expense of $1,073,940 and $309,473 during the nine months ended May 31, 2019 and 2018, respectively, related to the options that vested during such time period. As of May 31, 2019, the total compensation cost for non-vested options not yet recognized in the Company’s consolidated statements of operations was $423,245. Stock-based compensation expense of $357,985 is expected through the remainder of fiscal year 2019, and $65,260 is expected to be recognized during fiscal 2020, based on outstanding options as of May 31, 2019. Future option grants will impact the compensation expense recognized. Stock-based compensation expense is included in general and administrative expense on the consolidated statements of operations.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5560" w:type="dxa"/>
            <w:vAlign w:val="bottom"/>
          </w:tcPr>
          <w:p>
            <w:pPr>
              <w:spacing w:after="0"/>
              <w:rPr>
                <w:sz w:val="16"/>
                <w:szCs w:val="16"/>
                <w:color w:val="auto"/>
              </w:rPr>
            </w:pPr>
          </w:p>
        </w:tc>
        <w:tc>
          <w:tcPr>
            <w:tcW w:w="124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May 31,</w:t>
            </w:r>
          </w:p>
        </w:tc>
      </w:tr>
      <w:tr>
        <w:trPr>
          <w:trHeight w:val="234"/>
        </w:trPr>
        <w:tc>
          <w:tcPr>
            <w:tcW w:w="55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weighted average per share fair value of options granted during the nine months ended May 31, 2019 and 2018 was $9.01 and $3.88, respectively. The weighted average remaining contractual life of the options outstanding as of May 31, 2019 and 2018 was 6.15 years and 6.52 years, respectively.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May 31, 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10,077,203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10,382,884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29,250,772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30,102,080</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4,815,914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2,540,953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13,051,801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6,578,770</w:t>
            </w:r>
          </w:p>
        </w:tc>
      </w:tr>
      <w:tr>
        <w:trPr>
          <w:trHeight w:val="23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14,893,117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12,923,837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42,302,573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36,680,850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w:t>
            </w:r>
          </w:p>
        </w:tc>
        <w:tc>
          <w:tcPr>
            <w:tcW w:w="140" w:type="dxa"/>
            <w:vAlign w:val="bottom"/>
          </w:tcPr>
          <w:p>
            <w:pPr>
              <w:spacing w:after="0"/>
              <w:rPr>
                <w:sz w:val="18"/>
                <w:szCs w:val="18"/>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May 31,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86"/>
              </w:rPr>
              <w:t>Segment</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Segment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55"/>
        </w:trPr>
        <w:tc>
          <w:tcPr>
            <w:tcW w:w="216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6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0"/>
              </w:rPr>
              <w:t>May 31, 2019</w:t>
            </w:r>
          </w:p>
        </w:tc>
        <w:tc>
          <w:tcPr>
            <w:tcW w:w="120" w:type="dxa"/>
            <w:vAlign w:val="bottom"/>
          </w:tcPr>
          <w:p>
            <w:pPr>
              <w:spacing w:after="0"/>
              <w:rPr>
                <w:sz w:val="22"/>
                <w:szCs w:val="2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Sales*</w:t>
            </w:r>
          </w:p>
        </w:tc>
        <w:tc>
          <w:tcPr>
            <w:tcW w:w="140" w:type="dxa"/>
            <w:vAlign w:val="bottom"/>
          </w:tcPr>
          <w:p>
            <w:pPr>
              <w:spacing w:after="0"/>
              <w:rPr>
                <w:sz w:val="22"/>
                <w:szCs w:val="22"/>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2"/>
              </w:rPr>
              <w:t>May 31, 2019</w:t>
            </w:r>
          </w:p>
        </w:tc>
        <w:tc>
          <w:tcPr>
            <w:tcW w:w="100" w:type="dxa"/>
            <w:vAlign w:val="bottom"/>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Sales*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0"/>
              </w:rPr>
              <w:t>May 31, 2018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ZERUST®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5,725,220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6,139,699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$16,596,536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$17,948,941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Natur-Tec®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3,670,282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1,812,084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10,181,050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4,738,523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742,851</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640,583</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2,106,003</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1,806,208</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w w:val="97"/>
              </w:rPr>
              <w:t>Total net cost of goods sold</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10,138,353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8,592,366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28,883,589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24,493,672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80" w:right="580" w:hanging="372"/>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nine months ended May 31, 2019 and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May 31, 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6,172,882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7,434,991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19,564,756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19,771,031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Outside the U.S.A. to:</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Joint ventures in which the Company is a shareholder directly and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indirectly</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1,112,313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879,324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2,304,455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2,201,077</w:t>
            </w:r>
          </w:p>
        </w:tc>
      </w:tr>
      <w:tr>
        <w:trPr>
          <w:trHeight w:val="23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7,607,922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4,609,522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20,433,362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14,708,742</w:t>
            </w:r>
          </w:p>
        </w:tc>
      </w:tr>
      <w:tr>
        <w:trPr>
          <w:trHeight w:val="250"/>
        </w:trPr>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14,893,117</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12,923,837</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42,302,573</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36,680,850</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spacing w:after="0" w:line="308" w:lineRule="auto"/>
        <w:rPr>
          <w:sz w:val="20"/>
          <w:szCs w:val="20"/>
          <w:color w:val="auto"/>
        </w:rPr>
      </w:pPr>
      <w:r>
        <w:rPr>
          <w:rFonts w:ascii="Arial" w:cs="Arial" w:eastAsia="Arial" w:hAnsi="Arial"/>
          <w:sz w:val="17"/>
          <w:szCs w:val="17"/>
          <w:color w:val="auto"/>
        </w:rPr>
        <w:t>Net sales by geographic location are based on the location of the customer. Fees for services provided to joint ventures by geographic location as a percentage of total fees for services provided to joint ventures during the three and nine months ended May 31, 2019 and 2018 were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1"/>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 of Total</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Fees for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Fees for</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3"/>
              </w:rPr>
              <w:t>Services</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Provided 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May 31,</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Joint</w:t>
            </w:r>
          </w:p>
        </w:tc>
      </w:tr>
      <w:tr>
        <w:trPr>
          <w:trHeight w:val="268"/>
        </w:trPr>
        <w:tc>
          <w:tcPr>
            <w:tcW w:w="3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r>
      <w:tr>
        <w:trPr>
          <w:trHeight w:val="203"/>
        </w:trPr>
        <w:tc>
          <w:tcPr>
            <w:tcW w:w="3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Germany</w:t>
            </w:r>
          </w:p>
        </w:tc>
        <w:tc>
          <w:tcPr>
            <w:tcW w:w="208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212,825</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w:t>
            </w:r>
          </w:p>
        </w:tc>
        <w:tc>
          <w:tcPr>
            <w:tcW w:w="28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224,366</w:t>
            </w:r>
          </w:p>
        </w:tc>
        <w:tc>
          <w:tcPr>
            <w:tcW w:w="138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Poland</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181,057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185,107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164,136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Sweden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137,642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155,588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France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112,063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146,949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110,894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South Korea</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85,732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96,574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Finland</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75,135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81,402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80,931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87,043</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93,445</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31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1,433,823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1,508,500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 of Total</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Fees for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Fees for</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3"/>
              </w:rPr>
              <w:t>Services</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Provided 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r>
      <w:tr>
        <w:trPr>
          <w:trHeight w:val="216"/>
        </w:trPr>
        <w:tc>
          <w:tcPr>
            <w:tcW w:w="3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May 31,</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May 31,</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Joint</w:t>
            </w:r>
          </w:p>
        </w:tc>
      </w:tr>
      <w:tr>
        <w:trPr>
          <w:trHeight w:val="268"/>
        </w:trPr>
        <w:tc>
          <w:tcPr>
            <w:tcW w:w="3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r>
      <w:tr>
        <w:trPr>
          <w:trHeight w:val="203"/>
        </w:trPr>
        <w:tc>
          <w:tcPr>
            <w:tcW w:w="3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Germany</w:t>
            </w:r>
          </w:p>
        </w:tc>
        <w:tc>
          <w:tcPr>
            <w:tcW w:w="208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643,154</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28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680,939</w:t>
            </w:r>
          </w:p>
        </w:tc>
        <w:tc>
          <w:tcPr>
            <w:tcW w:w="138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14.7%</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Poland</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551,430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598,221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501,432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529,412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Sweden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417,635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448,707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328,395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416,913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Thailand</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313,075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325,205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Czech Republic</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266,706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283,193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261,961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275,137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South Korea</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259,612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279,524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221,599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247,574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239,200</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264,727</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r>
      <w:tr>
        <w:trPr>
          <w:trHeight w:val="250"/>
        </w:trPr>
        <w:tc>
          <w:tcPr>
            <w:tcW w:w="31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4,299,032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4,624,532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6"/>
              </w:rPr>
              <w:t>At August 31,</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3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At May 31, 2019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341,145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205,490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117,811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71,677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6,767,354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6,862,381</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7,293,137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7,168,826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9" w:name="page20"/>
    <w:bookmarkEnd w:id="19"/>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May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May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May 31,</w:t>
            </w:r>
          </w:p>
        </w:tc>
      </w:tr>
      <w:tr>
        <w:trPr>
          <w:trHeight w:val="234"/>
        </w:trPr>
        <w:tc>
          <w:tcPr>
            <w:tcW w:w="2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3,691,220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9,864,479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9,176,174</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792,299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853,675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2,343,894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2,310,131</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2,283,346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6,159,136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1,642,633</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1,953,370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1,267,475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4,370,308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2,875,428</w:t>
            </w: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6,172,882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7,169,116</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19,564,756</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20,676,484</w:t>
            </w:r>
          </w:p>
        </w:tc>
      </w:tr>
      <w:tr>
        <w:trPr>
          <w:trHeight w:val="250"/>
        </w:trPr>
        <w:tc>
          <w:tcPr>
            <w:tcW w:w="20" w:type="dxa"/>
            <w:vAlign w:val="bottom"/>
          </w:tcPr>
          <w:p>
            <w:pPr>
              <w:spacing w:after="0"/>
              <w:rPr>
                <w:sz w:val="21"/>
                <w:szCs w:val="21"/>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14,893,117</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12,923,837</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42,302,573</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36,680,850</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August 31, 2018, the Compensation Committee of the Board of Directors of the Company approved the material terms of an annual bonus plan for the Company’s executive officers as well as certain officers and employees for the fiscal year ending August 31, 2019. For fiscal 2019,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2019 compared to a pre-established target EBITOI for fiscal 2019 and 25% of the payout will be determined based upon such executive officer’s achievement of certain pre-established individual performance objectives. The payment of bonuses under the plan is discretionary and may be paid to executive officer participants in both cash and shares of NTIC common stock, with the exact amount and percentages determined by the Company’s Board of Directors, upon recommendation of the Compensation Committee, after the completion of the Company’s consolidated financial statements for fiscal 2019. There was $1,450,000 accrued for management bonuses for the nine months ended May 31, 2019, compared to $1,380,000 accrued for management bonuses for the nine months ended May 31, 2018.</w:t>
      </w:r>
    </w:p>
    <w:p>
      <w:pPr>
        <w:spacing w:after="0" w:line="16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Two joint ventures (consisting of the Company’s joint ventures in South Korea and Germany) accounted for 76.4% of the Company’s trade joint venture receivables at May 31, 2019, and three joint ventures (consisting of the Company’s joint ventures in South Korea, Thailand, and India) accounted for 74.1% of the Company’s trade joint venture receivables at August 31, 2018.</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2019, the amount of liability, if any, with respect to these matters, individually or in the aggregate, will not materially affect the Company’s consolidated results of operations, financial position, or cash flows.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18"/>
                <w:szCs w:val="18"/>
                <w:color w:val="auto"/>
              </w:rPr>
            </w:pPr>
          </w:p>
        </w:tc>
      </w:tr>
      <w:tr>
        <w:trPr>
          <w:trHeight w:val="241"/>
        </w:trPr>
        <w:tc>
          <w:tcPr>
            <w:tcW w:w="3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88"/>
              </w:rPr>
              <w:t>Using Inputs Considered as</w:t>
            </w:r>
          </w:p>
        </w:tc>
        <w:tc>
          <w:tcPr>
            <w:tcW w:w="1100" w:type="dxa"/>
            <w:vAlign w:val="bottom"/>
            <w:tcBorders>
              <w:bottom w:val="single" w:sz="8" w:color="auto"/>
            </w:tcBorders>
          </w:tcPr>
          <w:p>
            <w:pPr>
              <w:spacing w:after="0"/>
              <w:rPr>
                <w:sz w:val="20"/>
                <w:szCs w:val="20"/>
                <w:color w:val="auto"/>
              </w:rPr>
            </w:pPr>
          </w:p>
        </w:tc>
      </w:tr>
      <w:tr>
        <w:trPr>
          <w:trHeight w:val="198"/>
        </w:trPr>
        <w:tc>
          <w:tcPr>
            <w:tcW w:w="3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Fair value as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8"/>
        </w:trPr>
        <w:tc>
          <w:tcPr>
            <w:tcW w:w="3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May 31, 2019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03"/>
        </w:trPr>
        <w:tc>
          <w:tcPr>
            <w:tcW w:w="3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Available for sale securities</w:t>
            </w:r>
          </w:p>
        </w:tc>
        <w:tc>
          <w:tcPr>
            <w:tcW w:w="122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2,540,613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2,540,613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r>
      <w:tr>
        <w:trPr>
          <w:trHeight w:val="414"/>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4"/>
                <w:szCs w:val="24"/>
                <w:color w:val="auto"/>
              </w:rPr>
            </w:pPr>
          </w:p>
        </w:tc>
      </w:tr>
      <w:tr>
        <w:trPr>
          <w:trHeight w:val="241"/>
        </w:trPr>
        <w:tc>
          <w:tcPr>
            <w:tcW w:w="3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88"/>
              </w:rPr>
              <w:t>Using Inputs Considered as</w:t>
            </w:r>
          </w:p>
        </w:tc>
        <w:tc>
          <w:tcPr>
            <w:tcW w:w="1100" w:type="dxa"/>
            <w:vAlign w:val="bottom"/>
            <w:tcBorders>
              <w:bottom w:val="single" w:sz="8" w:color="auto"/>
            </w:tcBorders>
          </w:tcPr>
          <w:p>
            <w:pPr>
              <w:spacing w:after="0"/>
              <w:rPr>
                <w:sz w:val="20"/>
                <w:szCs w:val="20"/>
                <w:color w:val="auto"/>
              </w:rPr>
            </w:pPr>
          </w:p>
        </w:tc>
      </w:tr>
      <w:tr>
        <w:trPr>
          <w:trHeight w:val="198"/>
        </w:trPr>
        <w:tc>
          <w:tcPr>
            <w:tcW w:w="3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Fair value as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8"/>
        </w:trPr>
        <w:tc>
          <w:tcPr>
            <w:tcW w:w="3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August 31, 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03"/>
        </w:trPr>
        <w:tc>
          <w:tcPr>
            <w:tcW w:w="3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Available for sale securities</w:t>
            </w:r>
          </w:p>
        </w:tc>
        <w:tc>
          <w:tcPr>
            <w:tcW w:w="122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3,300,110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3,300,110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nine months ended May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14.  SUPPLEMENTAL CASH FLOW INFORMATION</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 consisted of:</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2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2300" w:type="dxa"/>
            <w:vAlign w:val="bottom"/>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May 31, 2019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May 31, 2018</w:t>
            </w:r>
          </w:p>
        </w:tc>
      </w:tr>
      <w:tr>
        <w:trPr>
          <w:trHeight w:val="210"/>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23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431"/>
        </w:trPr>
        <w:tc>
          <w:tcPr>
            <w:tcW w:w="2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2300" w:type="dxa"/>
            <w:vAlign w:val="bottom"/>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May 31, 2019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May 31, 2018</w:t>
            </w:r>
          </w:p>
        </w:tc>
      </w:tr>
      <w:tr>
        <w:trPr>
          <w:trHeight w:val="210"/>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r>
      <w:tr>
        <w:trPr>
          <w:trHeight w:val="230"/>
        </w:trPr>
        <w:tc>
          <w:tcPr>
            <w:tcW w:w="23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53,975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or Tax Reform Act. The Tax Reform Act makes broad and complex changes to the U.S. tax code that impacted the Company’s fiscal year ended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21" w:name="page22"/>
    <w:bookmarkEnd w:id="21"/>
    <w:p>
      <w:pPr>
        <w:ind w:right="340"/>
        <w:spacing w:after="0" w:line="277" w:lineRule="auto"/>
        <w:rPr>
          <w:sz w:val="20"/>
          <w:szCs w:val="20"/>
          <w:color w:val="auto"/>
        </w:rPr>
      </w:pPr>
      <w:r>
        <w:rPr>
          <w:rFonts w:ascii="Arial" w:cs="Arial" w:eastAsia="Arial" w:hAnsi="Arial"/>
          <w:sz w:val="18"/>
          <w:szCs w:val="18"/>
          <w:color w:val="auto"/>
        </w:rPr>
        <w:t>The Company recorded income tax expense during the three and nine months ended May 31, 2019 of $150,257 and $652,331, respectively, compared to $181,683 and $1,128,583 for the three and nine months ended May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2018.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develops and markets proprietary, environmentally-beneficial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2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2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3" w:name="page24"/>
    <w:bookmarkEnd w:id="23"/>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jc w:val="both"/>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NTIC has ownership interests in six subsidiaries in North America, South America, Europe, and Asia. The following table sets forth a list of NTIC’s operating subsidiaries as of May 31, 2019, the country in which the subsidiary is organized, and NTIC’s ownership percentage in each subsidiary: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41"/>
        </w:trPr>
        <w:tc>
          <w:tcPr>
            <w:tcW w:w="39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Subsidiary Name</w:t>
            </w:r>
          </w:p>
        </w:tc>
        <w:tc>
          <w:tcPr>
            <w:tcW w:w="12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2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Percent (%) Ownership</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36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NTI Asean LLC</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36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60%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36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85%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ZERUST-EXCOR MEXICO, S. de R.L. de C.V</w:t>
            </w:r>
          </w:p>
        </w:tc>
        <w:tc>
          <w:tcPr>
            <w:tcW w:w="1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8"/>
              </w:rPr>
              <w:t>Mexico</w:t>
            </w:r>
          </w:p>
        </w:tc>
        <w:tc>
          <w:tcPr>
            <w:tcW w:w="36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36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75%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NTIC Europe GmbH</w:t>
            </w:r>
          </w:p>
        </w:tc>
        <w:tc>
          <w:tcPr>
            <w:tcW w:w="12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364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1, 2018, the minority owner in Natur-Tec India made an additional capital contribution of INR 9,340,110 (US$ 134,034), which diluted NTIC’s ownership interest from 90% to 75%. This contribution was made with NTIC’s consent and with the intended purpose of increasing the minority owner’s ownership interest accordingly.</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4" w:name="page25"/>
    <w:bookmarkEnd w:id="24"/>
    <w:p>
      <w:pPr>
        <w:ind w:right="260"/>
        <w:spacing w:after="0" w:line="277" w:lineRule="auto"/>
        <w:rPr>
          <w:sz w:val="20"/>
          <w:szCs w:val="20"/>
          <w:color w:val="auto"/>
        </w:rPr>
      </w:pPr>
      <w:r>
        <w:rPr>
          <w:rFonts w:ascii="Arial" w:cs="Arial" w:eastAsia="Arial" w:hAnsi="Arial"/>
          <w:sz w:val="18"/>
          <w:szCs w:val="18"/>
          <w:color w:val="auto"/>
        </w:rPr>
        <w:t>The following table sets forth a list of NTIC’s operating joint ventures as of May 31, 2019, the country in which the joint venture is organized, and NTIC’s ownership percentage in each joint venture: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68"/>
        </w:trPr>
        <w:tc>
          <w:tcPr>
            <w:tcW w:w="3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Joint Venture Name</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Percent (%) Ownership</w:t>
            </w:r>
          </w:p>
        </w:tc>
      </w:tr>
      <w:tr>
        <w:trPr>
          <w:trHeight w:val="203"/>
        </w:trPr>
        <w:tc>
          <w:tcPr>
            <w:tcW w:w="3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TAIYONIC LTD.</w:t>
            </w:r>
          </w:p>
        </w:tc>
        <w:tc>
          <w:tcPr>
            <w:tcW w:w="12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1"/>
              </w:rPr>
              <w:t>Japan</w:t>
            </w:r>
          </w:p>
        </w:tc>
        <w:tc>
          <w:tcPr>
            <w:tcW w:w="120" w:type="dxa"/>
            <w:vAlign w:val="bottom"/>
            <w:tcBorders>
              <w:top w:val="single" w:sz="8" w:color="CCEEFF"/>
            </w:tcBorders>
            <w:shd w:val="clear" w:color="auto" w:fill="CCEEFF"/>
          </w:tcPr>
          <w:p>
            <w:pPr>
              <w:spacing w:after="0"/>
              <w:rPr>
                <w:sz w:val="17"/>
                <w:szCs w:val="17"/>
                <w:color w:val="auto"/>
              </w:rPr>
            </w:pPr>
          </w:p>
        </w:tc>
        <w:tc>
          <w:tcPr>
            <w:tcW w:w="364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France</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EXCOR KORROSIONSSCHUTZ –</w:t>
            </w: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TECHNOLOGIEN</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 PRODUKTE GMBH</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Germany</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Sweden</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Russia</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Finland</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 LTD</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India</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(U.K.) LTD.</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United Kingdom</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Czech Republic</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EXCOR SP. Z.O.O.</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Poland</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A.Ş.</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Turkey</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CONSUMER PRODUCTS, LLC</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 DNEPR</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Ukraine</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KOREA ZERUST CO., LTD.</w:t>
            </w:r>
          </w:p>
        </w:tc>
        <w:tc>
          <w:tcPr>
            <w:tcW w:w="3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South Korea</w:t>
            </w:r>
            <w:r>
              <w:rPr>
                <w:rFonts w:ascii="Arial" w:cs="Arial" w:eastAsia="Arial" w:hAnsi="Arial"/>
                <w:sz w:val="29"/>
                <w:szCs w:val="29"/>
                <w:color w:val="auto"/>
                <w:w w:val="87"/>
                <w:vertAlign w:val="superscript"/>
              </w:rPr>
              <w:t>(1)</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388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5"/>
              </w:rPr>
              <w:t>Taiwan</w:t>
            </w:r>
            <w:r>
              <w:rPr>
                <w:rFonts w:ascii="Arial" w:cs="Arial" w:eastAsia="Arial" w:hAnsi="Arial"/>
                <w:sz w:val="29"/>
                <w:szCs w:val="29"/>
                <w:color w:val="auto"/>
                <w:w w:val="85"/>
                <w:vertAlign w:val="superscript"/>
              </w:rPr>
              <w:t>(1)</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PT. CHEMINDO – NTIA</w:t>
            </w:r>
          </w:p>
        </w:tc>
        <w:tc>
          <w:tcPr>
            <w:tcW w:w="3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6"/>
              </w:rPr>
              <w:t>Indonesia</w:t>
            </w:r>
            <w:r>
              <w:rPr>
                <w:rFonts w:ascii="Arial" w:cs="Arial" w:eastAsia="Arial" w:hAnsi="Arial"/>
                <w:sz w:val="29"/>
                <w:szCs w:val="29"/>
                <w:color w:val="auto"/>
                <w:w w:val="86"/>
                <w:vertAlign w:val="superscript"/>
              </w:rPr>
              <w:t>(1)</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3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6"/>
              </w:rPr>
              <w:t>Thailand</w:t>
            </w:r>
            <w:r>
              <w:rPr>
                <w:rFonts w:ascii="Arial" w:cs="Arial" w:eastAsia="Arial" w:hAnsi="Arial"/>
                <w:sz w:val="29"/>
                <w:szCs w:val="29"/>
                <w:color w:val="auto"/>
                <w:w w:val="86"/>
                <w:vertAlign w:val="superscript"/>
              </w:rPr>
              <w:t>(1)</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CHONG WAH-NTIA SDN. BHD.</w:t>
            </w:r>
          </w:p>
        </w:tc>
        <w:tc>
          <w:tcPr>
            <w:tcW w:w="3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Malaysia</w:t>
            </w:r>
            <w:r>
              <w:rPr>
                <w:rFonts w:ascii="Arial" w:cs="Arial" w:eastAsia="Arial" w:hAnsi="Arial"/>
                <w:sz w:val="29"/>
                <w:szCs w:val="29"/>
                <w:color w:val="auto"/>
                <w:w w:val="88"/>
                <w:vertAlign w:val="superscript"/>
              </w:rPr>
              <w:t>(1)</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3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90"/>
              </w:rPr>
              <w:t>Philippines</w:t>
            </w:r>
            <w:r>
              <w:rPr>
                <w:rFonts w:ascii="Arial" w:cs="Arial" w:eastAsia="Arial" w:hAnsi="Arial"/>
                <w:sz w:val="29"/>
                <w:szCs w:val="29"/>
                <w:color w:val="auto"/>
                <w:w w:val="90"/>
                <w:vertAlign w:val="superscript"/>
              </w:rPr>
              <w:t>(1)</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390"/>
        </w:trPr>
        <w:tc>
          <w:tcPr>
            <w:tcW w:w="3900" w:type="dxa"/>
            <w:vAlign w:val="bottom"/>
            <w:gridSpan w:val="2"/>
          </w:tcPr>
          <w:p>
            <w:pPr>
              <w:spacing w:after="0"/>
              <w:rPr>
                <w:sz w:val="20"/>
                <w:szCs w:val="20"/>
                <w:color w:val="auto"/>
              </w:rPr>
            </w:pPr>
            <w:r>
              <w:rPr>
                <w:rFonts w:ascii="Arial" w:cs="Arial" w:eastAsia="Arial" w:hAnsi="Arial"/>
                <w:sz w:val="18"/>
                <w:szCs w:val="18"/>
                <w:color w:val="auto"/>
              </w:rPr>
              <w:t>ZERUST SINGAPORE PTE. LTD</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Singapore</w:t>
            </w:r>
            <w:r>
              <w:rPr>
                <w:rFonts w:ascii="Arial" w:cs="Arial" w:eastAsia="Arial" w:hAnsi="Arial"/>
                <w:sz w:val="30"/>
                <w:szCs w:val="30"/>
                <w:color w:val="auto"/>
                <w:w w:val="82"/>
                <w:vertAlign w:val="superscript"/>
              </w:rPr>
              <w:t>(1)(2)</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Indirect ownership interest through NTI Asean.</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NTI Asean owns 100% of this joint venture.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for fees received for services that NTIC provides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consolidated net sales increased 15.2% and 15.3% during the three and nine months ended May 31, 2019, respectively, compared to the three and nine months ended May 31, 2018. These increases were primarily a result of an increase in sales of Natur-Tec® products.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three and nine months ended May 31, 2019, 67.7% and 69.1% of NTIC’s consolidated net sales, respectively, were derived from sales of ZERUST® products and services, which decreased 2.9% and 2.8% to $10,077,203 and $29,250,772 during the three and nine months ended May 31, 2019, respectively, compared to $10,382,884 and $30,102,080 during the three and nine months ended May 31, 2018, respectively. These decreases were due to lower sales from existing customers for products as a result of decreased demand.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nine months ended May 31, 2019 included $2,225,490 of sales made to customers in the oil and gas industry compared to $1,418,573 for the nine months ended May 31, 2018. Overall demand for ZERUST® products and services depends heavily on the overall health of the markets in which NTIC sells its products, including the automotive, oil and gas, agriculture, and mining markets in particular.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ind w:right="60"/>
        <w:spacing w:after="0" w:line="257" w:lineRule="auto"/>
        <w:rPr>
          <w:sz w:val="20"/>
          <w:szCs w:val="20"/>
          <w:color w:val="auto"/>
        </w:rPr>
      </w:pPr>
      <w:r>
        <w:rPr>
          <w:rFonts w:ascii="Arial" w:cs="Arial" w:eastAsia="Arial" w:hAnsi="Arial"/>
          <w:sz w:val="18"/>
          <w:szCs w:val="18"/>
          <w:color w:val="auto"/>
        </w:rPr>
        <w:t>During the three and nine months ended May 31, 2019, 32.3% and 30.9%, of NTIC’s consolidated net sales, respectively, were derived from sales of Natur-Tec® products compared to 19.7% and 17.9% during the three and nine months ended May 31, 2018, respectively. Net sales of Natur-Tec® products increased 89.5% and 98.4% during the three and nine months ended May 31, 2019, respectively, compared to the three and nine months ended May 31, 2018, primarily due to an increase in finished product sales in North America and finished product sales at NTIC’s majority-owned subsidiary in India, Natur-Tec India Private Limited (Natur-Tec India).</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goods sold as a percentage of net sales increased to 68.1% during the three months ended May 31, 2019 compared to 66.5% during the three months ended May 31, 2018 and increased to 68.3% during the nine months ended May 31, 2019 compared to 66.8% during the prior fiscal year period, primarily as a result of an increased percentage of product sales from Natur-Tec® products that have lower gross margins than NTIC’s traditional ZERUST® industrial products.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NTIC’s equity in income from joint ventures decreased 16.4% and 3.4% to $1,877,410 and $5,596,788 during the three and nine months ended May 31, 2019, respectively, compared to $2,246,066 and $5,793,391 during the three and nine months ended May 31, 2018, respectively. These decreases were primarily due to corresponding decreases in net sales at the joint ventures, which decreased 11.8% and 4.7% to $27,774,112 and $86,003,918 during the three and nine months ended May 31, 2019, respectively, compared to $31,480,885 and $90,200,146 for the three and nine months ended May 31, 2018, respectively. These decreases in net sales of NTIC’s joint ventures were primarily due to decreased sales from existing customers for existing products as a result of decreased demand. The decreases in net sales of NTIC’s joint ventures resulted in corresponding decreases in fees for services provided to joint ventures, as such fees are a function of net sales of NTIC’s joint ventures.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NTIC’s total operating expenses increased 11.7% and 7.5% to $6,293,725 and $17,868,928 during the three and nine months ended May 31, 2019, respectively, compared to $5,632,826 and $16,622,849 for the three and nine months ended May 31, 2018, respectively. These increases were primarily due to an increase in NTIC’s personnel expenses. Operating expenses, as a percent of net sales, for the three months ended May 31, 2019 were 42.3%, compared to 43.6% for the same period last fiscal year and for the nine months ended May 31, 2019 were 42.2%, compared to 45.3% for the same period last fiscal year. These reductions in operating expenses, as a percent of net sales, were primarily due to significantly higher net sales, partially offset by higher operating expenses.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NTIC spent $1,005,045 and $2,804,739 during the three and nine months ended May 31, 2019, respectively, compared to $860,347 and $2,581,824 during the three and nine months ended May 31, 2018, respectively, in connection with its research and development activities. NTIC anticipates that it will spend a total of between $3,400,000 and $3,600,000 in fiscal 2019 on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NTIC decreased to $1,482,149, or $0.16 per diluted common share, for the three months ended May 31, 2019 compared to</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$2,142,752, or $0.23 per diluted common share, for the three months ended May 31, 2018, a decrease of $660,603 or $0.07 per diluted share. Net income attributable to NTIC decreased 3.9% to $4,380,776, or $0.46 per diluted common share, for the nine months ended May 31, 2019 compared to $4,559,225, or $0.49 per diluted common share, for the nine months ended May 31, 2018, a decrease of $178,449 or $0.03 per diluted share. These decreases were primarily the result of the increase in operating expenses and decrease in joint venture operations during the current fiscal year periods compared to the prior fiscal year periods, partially offset by the increase in gross margin and decrease in tax expense, specifically the $700,000 one-time provisional adjustment related to the Tax Cuts and Jobs Act (Tax Reform Act) that occurred in the second quarter of fiscal year 2018, as described in more detail below.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right="120"/>
        <w:spacing w:after="0" w:line="264"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sales of its ZERUST® products and services into the oil and gas industry, and sales of its Natur-Tec® bioplastics products, which fluctuate more on a quarterly basis than the traditional ZERUST® business.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NTIC’s working capital, defined as current assets less current liabilities, was $25,691,723 at May 31, 2019, including $5,224,480 in cash and cash equivalents and $2,540,613 in available for sale securities, compared to $22,837,591 at August 31, 2018, including $4,163,023 in cash and cash equivalents and $3,300,110 in available for sale securities.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25, 2019, the Company’s Board of Directors declared a cash dividend of $0.06 per share of NTIC’s common stock, payable on May 23, 2019 to stockholders of record on May 9, 2019.</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and nine months ended May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3520" w:type="dxa"/>
            <w:vAlign w:val="bottom"/>
          </w:tcPr>
          <w:p>
            <w:pPr>
              <w:spacing w:after="0"/>
              <w:rPr>
                <w:sz w:val="23"/>
                <w:szCs w:val="23"/>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3"/>
        </w:trPr>
        <w:tc>
          <w:tcPr>
            <w:tcW w:w="3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 excluding joint ventures</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5"/>
              </w:rPr>
              <w:t>$ 13,780,804</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92.5%</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93"/>
              </w:rPr>
              <w:t>$ 12,044,513</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93.2%</w:t>
            </w:r>
          </w:p>
        </w:tc>
        <w:tc>
          <w:tcPr>
            <w:tcW w:w="280" w:type="dxa"/>
            <w:vAlign w:val="bottom"/>
            <w:tcBorders>
              <w:top w:val="single" w:sz="8" w:color="CCEEFF"/>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1,736,291</w:t>
            </w:r>
          </w:p>
        </w:tc>
        <w:tc>
          <w:tcPr>
            <w:tcW w:w="134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1,112,313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879,324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232,989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10,138,353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8,592,366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1,545,987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1,877,410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2,246,066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(368,656)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1,433,823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1,508,500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Selling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2,761,488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2,784,694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2,527,192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1,987,785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539,407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1,005,045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860,347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144,698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16.8%</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3520" w:type="dxa"/>
            <w:vAlign w:val="bottom"/>
          </w:tcPr>
          <w:p>
            <w:pPr>
              <w:spacing w:after="0"/>
              <w:rPr>
                <w:sz w:val="23"/>
                <w:szCs w:val="23"/>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03"/>
        </w:trPr>
        <w:tc>
          <w:tcPr>
            <w:tcW w:w="3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 excluding joint ventures</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0"/>
              </w:rPr>
              <w:t>$  39,998,118</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94.6%</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93"/>
              </w:rPr>
              <w:t>$ 34,479,773</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94.0%</w:t>
            </w:r>
          </w:p>
        </w:tc>
        <w:tc>
          <w:tcPr>
            <w:tcW w:w="280" w:type="dxa"/>
            <w:vAlign w:val="bottom"/>
            <w:tcBorders>
              <w:top w:val="single" w:sz="8" w:color="CCEEFF"/>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5,518,345</w:t>
            </w:r>
          </w:p>
        </w:tc>
        <w:tc>
          <w:tcPr>
            <w:tcW w:w="134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2,304,455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2,201,077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103,378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28,883,589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24,493,672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4,389,917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5,596,788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5,793,391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(196,603)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4,299,032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4,624,532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Selling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8,077,663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8,028,279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49,384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6,986,526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6,012,746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973,780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2,804,739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2,581,824</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222,915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w:t>
            </w:r>
          </w:p>
        </w:tc>
      </w:tr>
    </w:tbl>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15.2% and 15.3% to $14,893,117 and $42,302,573 during the three and nine months ended May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three and nine months ended May 31, 2018. NTIC’s consolidated net sales to unaffiliated customers excluding NTIC’s joint ventures increased 14.4% and 16.0% to $13,780,804 and $39,998,118 during the three and nine months ended May 31, 2019, respectively, compared to the same respective periods in fiscal 2018. These increases were primarily a result of an increase in sales of Natur-Tec® products. Net sales to joint ventures increased 26.5% and 4.7% to $1,112,313 and $2,304,455 during the three and nine months ended May 31, 2019, respectively, compared to the same respective periods in fiscal 2018. These increases were primarily a result of increased demand for our Natur-Tec®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sets forth NTIC’s net sales by product segment for the three and nine months ended May 31,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May 31, 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10,077,203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10,382,884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29,250,772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30,102,080</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4,815,914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2,540,953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13,051,801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6,578,770</w:t>
            </w:r>
          </w:p>
        </w:tc>
      </w:tr>
      <w:tr>
        <w:trPr>
          <w:trHeight w:val="23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14,893,117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12,923,837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42,302,573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36,680,850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During the three and nine months ended May 31, 2019, 67.7% and 69.1% of NTIC’s consolidated net sales, respectively,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2.9% and 2.8% to $10,077,203 and $29,250,772 during the three and nine months ended May 31, 2019, respectively, compared to $10,382,884 and $30,102,080 during the three and nine months ended May 31, 2018, respectively.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w:t>
      </w:r>
    </w:p>
    <w:p>
      <w:pPr>
        <w:spacing w:after="0" w:line="3" w:lineRule="exact"/>
        <w:rPr>
          <w:sz w:val="20"/>
          <w:szCs w:val="20"/>
          <w:color w:val="auto"/>
        </w:rPr>
      </w:pPr>
    </w:p>
    <w:p>
      <w:pPr>
        <w:ind w:right="80"/>
        <w:spacing w:after="0" w:line="204" w:lineRule="auto"/>
        <w:rPr>
          <w:sz w:val="20"/>
          <w:szCs w:val="20"/>
          <w:color w:val="auto"/>
        </w:rPr>
      </w:pPr>
      <w:r>
        <w:rPr>
          <w:rFonts w:ascii="Arial" w:cs="Arial" w:eastAsia="Arial" w:hAnsi="Arial"/>
          <w:sz w:val="18"/>
          <w:szCs w:val="18"/>
          <w:color w:val="auto"/>
        </w:rPr>
        <w:t>including the oil and gas sector. Overall,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and nine months ended May 31, 2019 and 2018:</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ZERUST® industrial net sales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ZERUST® joint venture net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ZERUST® oil &amp; gas net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ZERUST®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ZERUST® industrial net sales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ZERUST® joint venture net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ZERUST® oil &amp; gas net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ZERUST® net sales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189"/>
        </w:trPr>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8,244,759</w:t>
            </w:r>
          </w:p>
        </w:tc>
        <w:tc>
          <w:tcPr>
            <w:tcW w:w="100" w:type="dxa"/>
            <w:vAlign w:val="bottom"/>
          </w:tcPr>
          <w:p>
            <w:pPr>
              <w:spacing w:after="0"/>
              <w:rPr>
                <w:sz w:val="16"/>
                <w:szCs w:val="16"/>
                <w:color w:val="auto"/>
              </w:rPr>
            </w:pP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8,947,847</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(703,088)</w:t>
            </w:r>
          </w:p>
        </w:tc>
        <w:tc>
          <w:tcPr>
            <w:tcW w:w="1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r>
      <w:tr>
        <w:trPr>
          <w:trHeight w:val="230"/>
        </w:trPr>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950,414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879,324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71,090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882,030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555,713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326,317</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50"/>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10,077,203</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10,382,884</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(305,681)</w:t>
            </w: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-625475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-342265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gridSpan w:val="2"/>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02"/>
        </w:trPr>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24,882,727</w:t>
            </w:r>
          </w:p>
        </w:tc>
        <w:tc>
          <w:tcPr>
            <w:tcW w:w="10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26,482,430</w:t>
            </w:r>
          </w:p>
        </w:tc>
        <w:tc>
          <w:tcPr>
            <w:tcW w:w="10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(1,599,703)</w:t>
            </w:r>
          </w:p>
        </w:tc>
        <w:tc>
          <w:tcPr>
            <w:tcW w:w="1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2,142,555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2,201,077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(58,522)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2,225,490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1,418,573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806,917</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56.9%</w:t>
            </w:r>
          </w:p>
        </w:tc>
      </w:tr>
      <w:tr>
        <w:trPr>
          <w:trHeight w:val="250"/>
        </w:trPr>
        <w:tc>
          <w:tcPr>
            <w:tcW w:w="2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29,250,772</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30,102,080</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(851,308)</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-616585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-342265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840"/>
          </w:cols>
          <w:pgMar w:left="240" w:top="692" w:right="239" w:bottom="1440" w:gutter="0" w:footer="0" w:header="0"/>
          <w:type w:val="continuous"/>
        </w:sectPr>
      </w:pPr>
    </w:p>
    <w:p>
      <w:pPr>
        <w:spacing w:after="0" w:line="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NTIC’s total ZERUST® net sales decreased during the three months and nine months ended May 31, 2019, compared to the prior fiscal year periods, primarily due to an overall decreased demand for ZERUST® industrial products and services in North America and China, partially offset by increased demand for ZERUST® oil and gas products and services. NTIC anticipates that its sales of ZERUST® products and services into the oil and gas industry will continue to remain subject to significant volatility from quarter to quarter as sales are recognized, specifically due to the volatility of oil prices. 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During the three and nine months ended May 31, 2019, 32.3% and 30.9% of NTIC’s consolidated net sales, respectively, were derived from sales of Natur-Tec® products, which increased 89.5% and 98.4% to $4,815,914 and $13,051,801 during the three and nine months ended May 31, 2019, respectively, compared to the three and nine months ended May 31, 2018. These increases were primarily due to an increase in finished product sales in North America and finished product sales at NTIC’s majority-owned subsidiary in India, Natur-Tec India.</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18.0% and 17.9% for the three and nine months ended May 31, 2019, respectively,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May 31, 2018. Cost of goods sold as a percentage of net sales increased to 68.1% during the three months ended May 31, 2019 compared to 66.5% during the three months ended May 31, 2018 and increased to 68.3% during the nine months ended May 31, 2019 compared to 66.8% during the nine months ended May 31, 2018. These increases were due primarily to an increased percentage of product sales from Natur-Tec® products that have lower gross margins than NTIC’s traditional ZERUST® industrial products.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Equity in Income from Joint Ventures. </w:t>
      </w:r>
      <w:r>
        <w:rPr>
          <w:rFonts w:ascii="Arial" w:cs="Arial" w:eastAsia="Arial" w:hAnsi="Arial"/>
          <w:sz w:val="16"/>
          <w:szCs w:val="16"/>
          <w:color w:val="auto"/>
        </w:rPr>
        <w:t>NTIC’s equity in income from joint ventures decreased 16.4% and 3.4% to $1,877,410 and $5,596,788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nine months ended May 31, 2019, respectively, compared to $2,246,066 and $5,793,391 during the three and nine months ended May 31, 2018, respectively. These changes were primarily a result of changing profitability of the joint ventures during the respective periods that fluctuate based on net sales. Of the total equity in income from joint ventures, NTIC had equity in income from joint ventures of $4,094,763 attributable to EXCOR during the nine months ended May 31, 2019 compared to $4,138,814 during the nine months ended May 31, 2018. NTIC had equity in income of all other joint ventures of $1,502,025 during the nine months ended May 31, 2019 compared to $1,654,577 during the nine months ended May 31, 2018.</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Fees for Services Provided to Joint Ventures. </w:t>
      </w:r>
      <w:r>
        <w:rPr>
          <w:rFonts w:ascii="Arial" w:cs="Arial" w:eastAsia="Arial" w:hAnsi="Arial"/>
          <w:sz w:val="17"/>
          <w:szCs w:val="17"/>
          <w:color w:val="auto"/>
        </w:rPr>
        <w:t>NTIC recognized fee income for services provided to joint ventures of $1,433,823 and $4,299,032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May 31, 2019, respectively, compared to $1,508,500 and $4,624,532 during the three and nine months ended May 31, 2018, respectively, representing decreases of 5.0% and 7.0%, respectively. Fee income for services provided to joint ventures is traditionally a function of the sales made by NTIC’s joint ventures. Total net sales of NTIC’s joint ventures decreased to $27,774,112 and $86,003,918 during the three and nine months ended May 31, 2019, respectively, compared to $31,480,885 and $90,200,146 during the three and nine months ended May 31, 2018, respectively, representing decreases of $3,706,773 and $4,196,228, respectively. Net sales of NTIC’s joint ventures are not included in NTIC’s consolidated financial statements. Of the total fee income for services provided to joint ventures, fees of $643,154 were attributable to EXCOR during the nine months ended May 31, 2019 compared to $680,939 attributable to EXCOR during the nine months ended May 31, 2018.</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0.8% and increased 0.6% for the three and nine months ended May 31, 2019,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respective periods in fiscal 2018 due primarily to increases in operating expenses associated with ZERUST® sales efforts, consisting primarily of selling and personnel expenses. Selling expenses as a percentage of net sales decreased to 18.5% and 19.1% for the three and nine months ended May 31, 2019, respectively, from 21.5% and 21.9% for the three and nine months ended May 31, 2018, respectively, primarily due to the increase in net sales, as previously described.</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27.1% and 16.2% for the three and nine months ended May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respectively, compared to the same respective periods in fiscal 2018 primarily due to increased personnel costs. As a percentage of net sales, general and administrative expenses increased to 17.0% and 16.5% for the three and nine months ended May 31, 2019, respectively, from 15.4% and 16.4% for the same respective periods in fiscal 2018. The increases in general and administrative expenses as a percentage of net sales for the three and six month comparisons were primarily due to the increase in net sales, as previously described.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right="240"/>
        <w:spacing w:after="0" w:line="34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increased 16.8% and 8.6% for the three and nine months ended May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respectively, compared to the same respective periods in fiscal 2018 primarily due to increases in research and development efforts.</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NTIC’s interest income decreased to $24,114 and $52,023 during the three and nine months ended May 31, 2019, respectively,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$35,630 and $84,569 during the three and nine months ended May 31, 2018, respectively, due to changing levels of invested cash.</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$5,165 and decreased to $11,357 during the three and nine months ended May 31, 2019,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$3,139 and $14,007 during the three and nine months ended May 31, 2018, respectively.</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equal to $1,791,221 and $5,486,542 for the three and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May 31, 2019, respectively, compared to $2,485,702 and $6,052,814 for the three and nine months ended May 31, 2018, respectively.</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$150,257 and $652,331 for the three and nine months ended May 31, 2019, respectively, compared 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expense of $181,683 and $1,128,583 during the three and nine months ended May 31, 2018, respectively. Income tax expense was calculated based on management’s estimate of NTIC’s annual effective income tax rate. The effective tax rate for the three and nine months ended May 31, 2019 was 8.4% and 11.9%, respectively, compared to 7.3% and 18.6% for the three and nine months ended May 31, 2018, respectively. These decreases were primarily due to one-time provisional adjustments related to the Tax Reform Act during the prior fiscal year periods. The Tax Reform Act, among other things, reduced the U.S. federal corporate tax rate from 35% to 21% effective January 1, 2018, generally eliminated U.S. federal income taxes on dividends received from foreign subsidiaries and joint ventures after December 31, 2017, and imposed a one-time deemed repatriation tax on certain unremitted earnings of foreign subsidiaries and joint ventures. As a result of the change in the tax law, a one-time non-cash tax provisional charge of $700,000 related to the re-measurement of deferred tax assets and liabilities was recorded in the nine months ended May 31, 2018. The impact of this non-cash tax charge increased NTIC’s effective rate by approximately 30.3% for the nine months ended May 31, 2018.</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bases of estimates that NTIC’s future domestic cash generation will be sufficient to meet future domestic cash needs. As a result, U.S. income and foreign withholding taxes have not been recognized on the cumulative undistributed earnings of $22,048,149 and $20,921,783 at May 31, 2019, and August 31, 2018,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Net Income Attributable to NTIC</w:t>
      </w:r>
      <w:r>
        <w:rPr>
          <w:rFonts w:ascii="Arial" w:cs="Arial" w:eastAsia="Arial" w:hAnsi="Arial"/>
          <w:sz w:val="17"/>
          <w:szCs w:val="17"/>
          <w:color w:val="auto"/>
        </w:rPr>
        <w:t>. Net income attributable to NTIC decreased to $1,482,149, or $0.16, per diluted common share,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May 31, 2019 compared to $2,142,752, or $0.23, per diluted common share, for the three months ended May 31, 2018. Net income attributable to NTIC decreased to $4,380,776, or $0.46 per diluted common share, for the nine months ended May 31, 2018 compared to $4,559,225, or $0.49 per diluted common share, for the nine months ended May 31, 2018. These decreases were primarily the result of the increase in operating expenses and decrease in joint venture operations during the current fiscal year periods compared to the prior fiscal year periods, partially offset by the increase in gross margin and decrease in tax expense, specifically the $700,000 one-time provisional adjustment related to the Tax Cuts and Jobs Act (Tax Reform Act) that occurred in the second quarter of fiscal year 2018, as described in more detail below.</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and nine months ended May 31, 2019 compared to the same period in fiscal 2018.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$25,691,723 at May 31, 2019,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$5,224,480 in cash and cash equivalents and $2,540,613 in available for sale securities, compared to $22,837,591 at August 31, 2018, including $4,163,023 in cash and cash equivalents and $3,300,110 in available for sale securities.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May 31, 2019,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November 30, 2018, the Company and PNC Bank extended the maturity date of the line of credit from January 7, 2019, to January 7, 2020.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 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2019, NTIC was in compliance with all debt covenants.</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2019, NTIC expects to continue to invest in NTIC China, research and development, and in marketing efforts and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provided by operating activities during the nine months ended May 31, 2019 was $2,717,391, which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from NTIC’s net income, dividends received from joint ventures, depreciation, amortization, and an increase in stock-based compensation, accounts payable, partially offset by NTIC’s equity in income from joint ventures, an increase in inventory, a decrease in accrued liabilities, and an increase in income tax receivable. Net cash used in operating activities during the nine months ended May 31, 2018, was $141,994, which resulted principally from NTIC’s equity in income from joint ventures, increases in trade receivables excluding joint ventures, inventories, and prepaid expenses and other, partially offset by NTIC’s net income, dividends received from joint ventures, and increases in accounts payable, accrued liabilities, depreciation, and amortization.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ind w:right="2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experienced an increase in trade receivables and an increase in inventory as of May 31, 2019, compared to August 31, 2018. Trade receivables, excluding joint ventures, as of May 31, 2019 increased $148,524 compared to August 31, 2018, primarily related to the timing of collections and the increase in sales. Outstanding trade receivables, excluding joint ventures balances as of May 31, 2019 increased 2 days to an average of 67 days from balances outstanding from these customers as of August 31, 2018. Outstanding trade receivables from joint ventures as of May 31, 2019 increased $174,179 compared to August 31, 2018 primarily due to the timing of payments. Outstanding balances from trade receivables from joint ventures decreased an average of 22 days to an average of 77 days from balances outstanding from these customers compared to August 31, 2018. The average days outstanding of trade receivables from joint ventures as of May 31, 2019 were primarily due to the receivable balances at NTIC’s joint ventures in South Korea and Germany.</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receivables for services provided to joint ventures as of May 31, 2019 decreased $114,327 compared to August 31, 2018, and the average days to pay decreased an average of 3 days to an average of 80 days compared to August 31, 2018.</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investing activities for the nine months ended May 31, 2019, was $43,937, which was primarily the result of net proceeds from the sale of available for sale securities, partially offset by additions to property and equipment, and additions to patents. Net cash used in investing activities for the nine months ended May 31, 2018 was $79,449, which was primarily the result of additions to property and equipment and additions to patents, partially offset by net proceeds from the sale of available for sale securities.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cash used in financing activities for the nine months ended May 31, 2019 was $1,648,602, which resulted from dividends paid on NTIC common stock and a dividend paid to a non-controlling interest, partially offset by an investment by a non-controlling interest and proceeds from NTIC’s employee stock purchase plan. Net cash used in financing activities for the nine months ended May 31, 2018 was $1,517,998, which resulted from dividends paid on NTIC common stock and a dividend paid to a non-controlling interest, partially offset by proceeds from stock option exercises and purchases under NTIC’s employee stock purchase plan.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2" w:name="page33"/>
    <w:bookmarkEnd w:id="32"/>
    <w:p>
      <w:pPr>
        <w:ind w:right="32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nine months ended May 31, 2019. As of May 31, 2019, up to $2,640,548 in shares of NTIC common stock remained available for repurchase under NTIC’s stock repurchase program.</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During the nine months ended May 31, 2019, the Company’s Board of Directors declared cash dividends on the following dates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to holders of record of the Company’s common stock as of the following record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20" w:type="dxa"/>
            <w:vAlign w:val="bottom"/>
          </w:tcPr>
          <w:p>
            <w:pPr>
              <w:spacing w:after="0"/>
              <w:rPr>
                <w:sz w:val="20"/>
                <w:szCs w:val="20"/>
                <w:color w:val="auto"/>
              </w:rPr>
            </w:pPr>
          </w:p>
        </w:tc>
        <w:tc>
          <w:tcPr>
            <w:tcW w:w="2000" w:type="dxa"/>
            <w:vAlign w:val="bottom"/>
          </w:tcPr>
          <w:p>
            <w:pPr>
              <w:jc w:val="right"/>
              <w:ind w:right="237"/>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24, 2018</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8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7, 2018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21, 2018</w:t>
            </w: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January 23, 2019</w:t>
            </w:r>
          </w:p>
        </w:tc>
        <w:tc>
          <w:tcPr>
            <w:tcW w:w="2120" w:type="dxa"/>
            <w:vAlign w:val="bottom"/>
            <w:gridSpan w:val="2"/>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6,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25, 2019</w:t>
            </w:r>
          </w:p>
        </w:tc>
        <w:tc>
          <w:tcPr>
            <w:tcW w:w="2120" w:type="dxa"/>
            <w:vAlign w:val="bottom"/>
            <w:gridSpan w:val="2"/>
            <w:shd w:val="clear" w:color="auto" w:fill="CCEEFF"/>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2019</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2018, the Company’s Board of Directors declared quarterly cash dividends of $0.05 per share. Although NTIC’s Board of Directors intends to continue to declare regular quarterly cash dividends,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Stock Split. </w:t>
      </w:r>
      <w:r>
        <w:rPr>
          <w:rFonts w:ascii="Arial" w:cs="Arial" w:eastAsia="Arial" w:hAnsi="Arial"/>
          <w:sz w:val="18"/>
          <w:szCs w:val="18"/>
          <w:color w:val="auto"/>
        </w:rPr>
        <w:t>On June 3, 2019, the Company’s Board of Directors declared a two-for-one stock split of the Company’s common stock effected in the form of a</w:t>
      </w:r>
      <w:r>
        <w:rPr>
          <w:rFonts w:ascii="Arial" w:cs="Arial" w:eastAsia="Arial" w:hAnsi="Arial"/>
          <w:sz w:val="18"/>
          <w:szCs w:val="18"/>
          <w:i w:val="1"/>
          <w:iCs w:val="1"/>
          <w:color w:val="auto"/>
        </w:rPr>
        <w:t xml:space="preserve"> </w:t>
      </w:r>
      <w:r>
        <w:rPr>
          <w:rFonts w:ascii="Arial" w:cs="Arial" w:eastAsia="Arial" w:hAnsi="Arial"/>
          <w:sz w:val="18"/>
          <w:szCs w:val="18"/>
          <w:color w:val="auto"/>
        </w:rPr>
        <w:t>100% share dividend distributed on June 28, 2019 to record holders as of June 17, 2019. All share and per share values have been adjusted to retroactively reflect the effect of the two-for-one stock split.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$716,212 on capital expenditures during the nine months ended May 31, 2019, which related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purchase of new equipment. NTIC expects to spend an aggregate of approximately $750,000 to $900,000 on capital expenditures during fiscal 2019,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some seasonality in its business. NTIC believes its net sales in the second fiscal quarter were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2019,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2018, other than as a result of NTIC’s adoption of ASC 606.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4" w:name="page35"/>
    <w:bookmarkEnd w:id="34"/>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5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100" w:hanging="324"/>
        <w:spacing w:after="0" w:line="214" w:lineRule="auto"/>
        <w:tabs>
          <w:tab w:leader="none" w:pos="980" w:val="left"/>
        </w:tabs>
        <w:numPr>
          <w:ilvl w:val="0"/>
          <w:numId w:val="12"/>
        </w:numPr>
        <w:rPr>
          <w:rFonts w:ascii="Arial" w:cs="Arial" w:eastAsia="Arial" w:hAnsi="Arial"/>
          <w:sz w:val="31"/>
          <w:szCs w:val="31"/>
          <w:color w:val="auto"/>
          <w:vertAlign w:val="superscript"/>
        </w:rPr>
      </w:pPr>
      <w:r>
        <w:rPr>
          <w:rFonts w:ascii="Arial" w:cs="Arial" w:eastAsia="Arial" w:hAnsi="Arial"/>
          <w:sz w:val="16"/>
          <w:szCs w:val="16"/>
          <w:color w:val="auto"/>
        </w:rPr>
        <w:t>Variability in NTIC’s sales of ZERUST® products and services to the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from joint venture, in turn, subject NTIC’s earnings to quarterly fluctuations;</w:t>
      </w:r>
    </w:p>
    <w:p>
      <w:pPr>
        <w:spacing w:after="0" w:line="203" w:lineRule="exact"/>
        <w:rPr>
          <w:rFonts w:ascii="Arial" w:cs="Arial" w:eastAsia="Arial" w:hAnsi="Arial"/>
          <w:sz w:val="31"/>
          <w:szCs w:val="31"/>
          <w:color w:val="auto"/>
          <w:vertAlign w:val="superscript"/>
        </w:rPr>
      </w:pPr>
    </w:p>
    <w:p>
      <w:pPr>
        <w:ind w:left="980" w:right="1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taxes, and tariffs;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60" w:hanging="324"/>
        <w:spacing w:after="0" w:line="22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300" w:hanging="324"/>
        <w:spacing w:after="0" w:line="186" w:lineRule="auto"/>
        <w:tabs>
          <w:tab w:leader="none" w:pos="98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5" w:name="page36"/>
    <w:bookmarkEnd w:id="35"/>
    <w:p>
      <w:pPr>
        <w:ind w:left="980" w:hanging="324"/>
        <w:spacing w:after="0"/>
        <w:tabs>
          <w:tab w:leader="none" w:pos="980" w:val="left"/>
        </w:tabs>
        <w:numPr>
          <w:ilvl w:val="0"/>
          <w:numId w:val="13"/>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to the oil and gas industry;</w:t>
      </w:r>
    </w:p>
    <w:p>
      <w:pPr>
        <w:spacing w:after="0" w:line="78" w:lineRule="exact"/>
        <w:rPr>
          <w:rFonts w:ascii="Arial" w:cs="Arial" w:eastAsia="Arial" w:hAnsi="Arial"/>
          <w:sz w:val="36"/>
          <w:szCs w:val="36"/>
          <w:color w:val="auto"/>
          <w:vertAlign w:val="superscript"/>
        </w:rPr>
      </w:pPr>
    </w:p>
    <w:p>
      <w:pPr>
        <w:ind w:left="980" w:right="3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6" w:lineRule="exact"/>
        <w:rPr>
          <w:rFonts w:ascii="Arial" w:cs="Arial" w:eastAsia="Arial" w:hAnsi="Arial"/>
          <w:sz w:val="17"/>
          <w:szCs w:val="17"/>
          <w:color w:val="auto"/>
        </w:rPr>
      </w:pPr>
    </w:p>
    <w:p>
      <w:pPr>
        <w:ind w:left="980" w:right="2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2018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72" w:right="279" w:bottom="1440" w:gutter="0" w:footer="0" w:header="0"/>
        </w:sectPr>
      </w:pPr>
    </w:p>
    <w:bookmarkStart w:id="36" w:name="page37"/>
    <w:bookmarkEnd w:id="3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2019, NTIC had no borrowings under the line of credit.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NTIC’s internal financial control over financial reporting that occurred during the quarter ended May 31, 2019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May 31, 2019, the Company is not able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May 31, 2019,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shows NTIC’s third quarter of fiscal 2019 stock repurchase activity. Shares and per share data have been adjusted for all periods presented to reflect a two-for-one stock split effective June 28, 2019.</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720" w:type="dxa"/>
            <w:vAlign w:val="bottom"/>
            <w:tcBorders>
              <w:top w:val="single" w:sz="8" w:color="auto"/>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Total Number of</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Shares (or Units)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Total Number of</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Purchased As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17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Average Price</w:t>
            </w: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Part of Publicly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(or Units)</w:t>
            </w:r>
          </w:p>
        </w:tc>
        <w:tc>
          <w:tcPr>
            <w:tcW w:w="17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Paid Per Share</w:t>
            </w: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Announced Plans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7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c>
          <w:tcPr>
            <w:tcW w:w="170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(or Unit)</w:t>
            </w:r>
          </w:p>
        </w:tc>
        <w:tc>
          <w:tcPr>
            <w:tcW w:w="16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or Programs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23"/>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2019 through March 31, 2019</w:t>
            </w:r>
          </w:p>
        </w:tc>
        <w:tc>
          <w:tcPr>
            <w:tcW w:w="1740" w:type="dxa"/>
            <w:vAlign w:val="bottom"/>
            <w:tcBorders>
              <w:bottom w:val="single" w:sz="8" w:color="auto"/>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$0</w:t>
            </w:r>
          </w:p>
        </w:tc>
        <w:tc>
          <w:tcPr>
            <w:tcW w:w="1680" w:type="dxa"/>
            <w:vAlign w:val="bottom"/>
            <w:tcBorders>
              <w:bottom w:val="single" w:sz="8" w:color="auto"/>
              <w:right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April 1, 2019 through April 30, 2019</w:t>
            </w:r>
          </w:p>
        </w:tc>
        <w:tc>
          <w:tcPr>
            <w:tcW w:w="17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$0</w:t>
            </w:r>
          </w:p>
        </w:tc>
        <w:tc>
          <w:tcPr>
            <w:tcW w:w="16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2019 through May 31, 2019</w:t>
            </w:r>
          </w:p>
        </w:tc>
        <w:tc>
          <w:tcPr>
            <w:tcW w:w="1740" w:type="dxa"/>
            <w:vAlign w:val="bottom"/>
            <w:tcBorders>
              <w:bottom w:val="single" w:sz="8" w:color="auto"/>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$0</w:t>
            </w:r>
          </w:p>
        </w:tc>
        <w:tc>
          <w:tcPr>
            <w:tcW w:w="1680" w:type="dxa"/>
            <w:vAlign w:val="bottom"/>
            <w:tcBorders>
              <w:bottom w:val="single" w:sz="8" w:color="auto"/>
              <w:right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79"/>
              </w:rPr>
              <w:t>0</w:t>
            </w:r>
          </w:p>
        </w:tc>
        <w:tc>
          <w:tcPr>
            <w:tcW w:w="1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$0</w:t>
            </w:r>
          </w:p>
        </w:tc>
        <w:tc>
          <w:tcPr>
            <w:tcW w:w="16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May 31, 2019, up to $2,640,548 in shares of NTIC common stock remained available for repurchase under NTIC’s stock repurchase program.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360" w:type="dxa"/>
            <w:vAlign w:val="bottom"/>
          </w:tcPr>
          <w:p>
            <w:pPr>
              <w:spacing w:after="0"/>
              <w:rPr>
                <w:sz w:val="20"/>
                <w:szCs w:val="20"/>
                <w:color w:val="auto"/>
              </w:rPr>
            </w:pPr>
          </w:p>
        </w:tc>
        <w:tc>
          <w:tcPr>
            <w:tcW w:w="6380" w:type="dxa"/>
            <w:vAlign w:val="bottom"/>
            <w:tcBorders>
              <w:bottom w:val="single" w:sz="8" w:color="auto"/>
            </w:tcBorders>
            <w:gridSpan w:val="5"/>
          </w:tcPr>
          <w:p>
            <w:pPr>
              <w:ind w:left="27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gridSpan w:val="3"/>
          </w:tcPr>
          <w:p>
            <w:pPr>
              <w:jc w:val="center"/>
              <w:spacing w:after="0" w:line="170"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360" w:type="dxa"/>
            <w:vAlign w:val="bottom"/>
          </w:tcPr>
          <w:p>
            <w:pPr>
              <w:spacing w:after="0"/>
              <w:rPr>
                <w:sz w:val="14"/>
                <w:szCs w:val="14"/>
                <w:color w:val="auto"/>
              </w:rPr>
            </w:pPr>
          </w:p>
        </w:tc>
        <w:tc>
          <w:tcPr>
            <w:tcW w:w="6380" w:type="dxa"/>
            <w:vAlign w:val="bottom"/>
            <w:gridSpan w:val="5"/>
          </w:tcPr>
          <w:p>
            <w:pPr>
              <w:spacing w:after="0" w:line="170"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Executive Officer Pursuant to Exchange Act Rules 13a-14(a)/15d-</w:t>
              </w:r>
            </w:hyperlink>
          </w:p>
        </w:tc>
      </w:tr>
      <w:tr>
        <w:trPr>
          <w:trHeight w:val="196"/>
        </w:trPr>
        <w:tc>
          <w:tcPr>
            <w:tcW w:w="3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14(a), as Adopted Pursuant to Section 302 of the Sarbanes-Oxley Act of 2002</w:t>
              </w:r>
            </w:hyperlink>
          </w:p>
        </w:tc>
      </w:tr>
      <w:tr>
        <w:trPr>
          <w:trHeight w:val="20"/>
        </w:trPr>
        <w:tc>
          <w:tcPr>
            <w:tcW w:w="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20" w:type="dxa"/>
            <w:vAlign w:val="bottom"/>
            <w:gridSpan w:val="2"/>
          </w:tcPr>
          <w:p>
            <w:pPr>
              <w:jc w:val="center"/>
              <w:ind w:right="300"/>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360" w:type="dxa"/>
            <w:vAlign w:val="bottom"/>
          </w:tcPr>
          <w:p>
            <w:pPr>
              <w:spacing w:after="0"/>
              <w:rPr>
                <w:sz w:val="24"/>
                <w:szCs w:val="24"/>
                <w:color w:val="auto"/>
              </w:rPr>
            </w:pPr>
          </w:p>
        </w:tc>
        <w:tc>
          <w:tcPr>
            <w:tcW w:w="6380" w:type="dxa"/>
            <w:vAlign w:val="bottom"/>
            <w:gridSpan w:val="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Financial Officer Pursuant to Exchange Act Rules 13a-14(a)/15d-</w:t>
              </w:r>
            </w:hyperlink>
          </w:p>
        </w:tc>
      </w:tr>
      <w:tr>
        <w:trPr>
          <w:trHeight w:val="196"/>
        </w:trPr>
        <w:tc>
          <w:tcPr>
            <w:tcW w:w="3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14(a), as Adopted Pursuant to Section 302 of the Sarbanes-Oxley Act of 2002</w:t>
              </w:r>
            </w:hyperlink>
          </w:p>
        </w:tc>
        <w:tc>
          <w:tcPr>
            <w:tcW w:w="60" w:type="dxa"/>
            <w:vAlign w:val="bottom"/>
            <w:gridSpan w:val="2"/>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gridSpan w:val="3"/>
          </w:tcPr>
          <w:p>
            <w:pPr>
              <w:jc w:val="cente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360" w:type="dxa"/>
            <w:vAlign w:val="bottom"/>
          </w:tcPr>
          <w:p>
            <w:pPr>
              <w:spacing w:after="0"/>
              <w:rPr>
                <w:sz w:val="24"/>
                <w:szCs w:val="24"/>
                <w:color w:val="auto"/>
              </w:rPr>
            </w:pPr>
          </w:p>
        </w:tc>
        <w:tc>
          <w:tcPr>
            <w:tcW w:w="6380" w:type="dxa"/>
            <w:vAlign w:val="bottom"/>
            <w:gridSpan w:val="5"/>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Executive Officer Pursuant to 18 U.S.C. Section 1350, as Adopted</w:t>
              </w:r>
            </w:hyperlink>
          </w:p>
        </w:tc>
      </w:tr>
      <w:tr>
        <w:trPr>
          <w:trHeight w:val="196"/>
        </w:trPr>
        <w:tc>
          <w:tcPr>
            <w:tcW w:w="3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Pursuant to Section 906 of the Sarbanes-Oxley Act of 2002</w:t>
              </w:r>
            </w:hyperlink>
          </w:p>
        </w:tc>
        <w:tc>
          <w:tcPr>
            <w:tcW w:w="2100" w:type="dxa"/>
            <w:vAlign w:val="bottom"/>
            <w:tcBorders>
              <w:top w:val="single" w:sz="8" w:color="0000EE"/>
            </w:tcBorders>
            <w:gridSpan w:val="4"/>
          </w:tcPr>
          <w:p>
            <w:pPr>
              <w:spacing w:after="0"/>
              <w:rPr>
                <w:sz w:val="17"/>
                <w:szCs w:val="17"/>
                <w:color w:val="auto"/>
              </w:rPr>
            </w:pPr>
          </w:p>
        </w:tc>
      </w:tr>
      <w:tr>
        <w:trPr>
          <w:trHeight w:val="588"/>
        </w:trPr>
        <w:tc>
          <w:tcPr>
            <w:tcW w:w="300" w:type="dxa"/>
            <w:vAlign w:val="bottom"/>
          </w:tcPr>
          <w:p>
            <w:pPr>
              <w:spacing w:after="0"/>
              <w:rPr>
                <w:sz w:val="24"/>
                <w:szCs w:val="24"/>
                <w:color w:val="auto"/>
              </w:rPr>
            </w:pPr>
          </w:p>
        </w:tc>
        <w:tc>
          <w:tcPr>
            <w:tcW w:w="620" w:type="dxa"/>
            <w:vAlign w:val="bottom"/>
            <w:gridSpan w:val="2"/>
          </w:tcPr>
          <w:p>
            <w:pPr>
              <w:jc w:val="center"/>
              <w:ind w:right="300"/>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360" w:type="dxa"/>
            <w:vAlign w:val="bottom"/>
          </w:tcPr>
          <w:p>
            <w:pPr>
              <w:spacing w:after="0"/>
              <w:rPr>
                <w:sz w:val="24"/>
                <w:szCs w:val="24"/>
                <w:color w:val="auto"/>
              </w:rPr>
            </w:pPr>
          </w:p>
        </w:tc>
        <w:tc>
          <w:tcPr>
            <w:tcW w:w="6380" w:type="dxa"/>
            <w:vAlign w:val="bottom"/>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Chief Financial Officer Pursuant to 18 U.S.C. Section 1350, as Adopted</w:t>
              </w:r>
            </w:hyperlink>
          </w:p>
        </w:tc>
      </w:tr>
      <w:tr>
        <w:trPr>
          <w:trHeight w:val="196"/>
        </w:trPr>
        <w:tc>
          <w:tcPr>
            <w:tcW w:w="3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Pursuant to Section 906 of the Sarbanes-Oxley Act of 2002</w:t>
              </w:r>
            </w:hyperlink>
          </w:p>
        </w:tc>
        <w:tc>
          <w:tcPr>
            <w:tcW w:w="206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1280" w:right="800" w:hanging="948"/>
        <w:spacing w:after="0" w:line="272"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materials from NTIC’s Quarterly Report on Form 10-Q for the fiscal quarter ended May 31, 2019, formatted in XBRL (Extensible Business Reporting Language): (i) the unaudited Consolidated Balance Sheets, (ii) the unaudited Consolidated Statements of Operations, (iii) the unaudited Consolidated Statements of Comprehensive Income, (iv) the unaudited Consolidated Statements of Equity, (v) the unaudited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Method of Filing</w:t>
      </w:r>
    </w:p>
    <w:p>
      <w:pPr>
        <w:spacing w:after="0" w:line="39" w:lineRule="exact"/>
        <w:rPr>
          <w:sz w:val="20"/>
          <w:szCs w:val="20"/>
          <w:color w:val="auto"/>
        </w:rPr>
      </w:pPr>
    </w:p>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-130810</wp:posOffset>
            </wp:positionV>
            <wp:extent cx="21697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Filed herewith</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Furnished herewith</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Furnished herewith</w:t>
        </w:r>
      </w:hyperlink>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300" w:space="720"/>
            <w:col w:w="1380"/>
          </w:cols>
          <w:pgMar w:left="240" w:top="688" w:right="1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154940</wp:posOffset>
            </wp:positionV>
            <wp:extent cx="1895475" cy="763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954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Date: July 9, 2019</w:t>
            </w:r>
          </w:p>
        </w:tc>
        <w:tc>
          <w:tcPr>
            <w:tcW w:w="7940" w:type="dxa"/>
            <w:vAlign w:val="bottom"/>
          </w:tcPr>
          <w:p>
            <w:pPr>
              <w:ind w:left="2140"/>
              <w:spacing w:after="0"/>
              <w:rPr>
                <w:sz w:val="20"/>
                <w:szCs w:val="20"/>
                <w:color w:val="auto"/>
              </w:rPr>
            </w:pPr>
            <w:r>
              <w:rPr>
                <w:rFonts w:ascii="Arial" w:cs="Arial" w:eastAsia="Arial" w:hAnsi="Arial"/>
                <w:sz w:val="18"/>
                <w:szCs w:val="18"/>
                <w:color w:val="auto"/>
              </w:rPr>
              <w:t>Matthew C. Wolsfeld, CPA</w:t>
            </w:r>
          </w:p>
        </w:tc>
      </w:tr>
      <w:tr>
        <w:trPr>
          <w:trHeight w:val="216"/>
        </w:trPr>
        <w:tc>
          <w:tcPr>
            <w:tcW w:w="3480" w:type="dxa"/>
            <w:vAlign w:val="bottom"/>
          </w:tcPr>
          <w:p>
            <w:pPr>
              <w:spacing w:after="0"/>
              <w:rPr>
                <w:sz w:val="18"/>
                <w:szCs w:val="18"/>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tcPr>
          <w:p>
            <w:pPr>
              <w:spacing w:after="0"/>
              <w:rPr>
                <w:sz w:val="18"/>
                <w:szCs w:val="18"/>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3480" w:type="dxa"/>
            <w:vAlign w:val="bottom"/>
          </w:tcPr>
          <w:p>
            <w:pPr>
              <w:spacing w:after="0"/>
              <w:rPr>
                <w:sz w:val="20"/>
                <w:szCs w:val="20"/>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Duly Authorized to Sign on Behalf of the Registrant)</w:t>
            </w:r>
          </w:p>
        </w:tc>
      </w:tr>
      <w:tr>
        <w:trPr>
          <w:trHeight w:val="864"/>
        </w:trPr>
        <w:tc>
          <w:tcPr>
            <w:tcW w:w="3480" w:type="dxa"/>
            <w:vAlign w:val="bottom"/>
          </w:tcPr>
          <w:p>
            <w:pPr>
              <w:spacing w:after="0"/>
              <w:rPr>
                <w:sz w:val="24"/>
                <w:szCs w:val="24"/>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39</w:t>
            </w:r>
          </w:p>
        </w:tc>
      </w:tr>
      <w:tr>
        <w:trPr>
          <w:trHeight w:val="54"/>
        </w:trPr>
        <w:tc>
          <w:tcPr>
            <w:tcW w:w="3480" w:type="dxa"/>
            <w:vAlign w:val="bottom"/>
          </w:tcPr>
          <w:p>
            <w:pPr>
              <w:spacing w:after="0"/>
              <w:rPr>
                <w:sz w:val="4"/>
                <w:szCs w:val="4"/>
                <w:color w:val="auto"/>
              </w:rPr>
            </w:pPr>
          </w:p>
        </w:tc>
        <w:tc>
          <w:tcPr>
            <w:tcW w:w="7940" w:type="dxa"/>
            <w:vAlign w:val="bottom"/>
          </w:tcPr>
          <w:p>
            <w:pPr>
              <w:spacing w:after="0"/>
              <w:rPr>
                <w:sz w:val="4"/>
                <w:szCs w:val="4"/>
                <w:color w:val="auto"/>
              </w:rPr>
            </w:pPr>
          </w:p>
        </w:tc>
      </w:tr>
      <w:tr>
        <w:trPr>
          <w:trHeight w:val="68"/>
        </w:trPr>
        <w:tc>
          <w:tcPr>
            <w:tcW w:w="3480" w:type="dxa"/>
            <w:vAlign w:val="bottom"/>
            <w:shd w:val="clear" w:color="auto" w:fill="000000"/>
          </w:tcPr>
          <w:p>
            <w:pPr>
              <w:spacing w:after="0"/>
              <w:rPr>
                <w:sz w:val="5"/>
                <w:szCs w:val="5"/>
                <w:color w:val="auto"/>
              </w:rPr>
            </w:pPr>
          </w:p>
        </w:tc>
        <w:tc>
          <w:tcPr>
            <w:tcW w:w="79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254635</wp:posOffset>
            </wp:positionV>
            <wp:extent cx="1852295" cy="351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22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Date: July 9, 2019</w:t>
            </w:r>
          </w:p>
        </w:tc>
        <w:tc>
          <w:tcPr>
            <w:tcW w:w="7900" w:type="dxa"/>
            <w:vAlign w:val="bottom"/>
          </w:tcPr>
          <w:p>
            <w:pPr>
              <w:ind w:left="2200"/>
              <w:spacing w:after="0"/>
              <w:rPr>
                <w:sz w:val="20"/>
                <w:szCs w:val="20"/>
                <w:color w:val="auto"/>
              </w:rPr>
            </w:pPr>
            <w:r>
              <w:rPr>
                <w:rFonts w:ascii="Arial" w:cs="Arial" w:eastAsia="Arial" w:hAnsi="Arial"/>
                <w:sz w:val="18"/>
                <w:szCs w:val="18"/>
                <w:color w:val="auto"/>
              </w:rPr>
              <w:t>G. Patrick Lynch</w:t>
            </w:r>
          </w:p>
        </w:tc>
      </w:tr>
      <w:tr>
        <w:trPr>
          <w:trHeight w:val="216"/>
        </w:trPr>
        <w:tc>
          <w:tcPr>
            <w:tcW w:w="3520" w:type="dxa"/>
            <w:vAlign w:val="bottom"/>
          </w:tcPr>
          <w:p>
            <w:pPr>
              <w:spacing w:after="0"/>
              <w:rPr>
                <w:sz w:val="18"/>
                <w:szCs w:val="18"/>
                <w:color w:val="auto"/>
              </w:rPr>
            </w:pPr>
          </w:p>
        </w:tc>
        <w:tc>
          <w:tcPr>
            <w:tcW w:w="7900" w:type="dxa"/>
            <w:vAlign w:val="bottom"/>
          </w:tcPr>
          <w:p>
            <w:pPr>
              <w:ind w:left="22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20" w:type="dxa"/>
            <w:vAlign w:val="bottom"/>
          </w:tcPr>
          <w:p>
            <w:pPr>
              <w:spacing w:after="0"/>
              <w:rPr>
                <w:sz w:val="20"/>
                <w:szCs w:val="20"/>
                <w:color w:val="auto"/>
              </w:rPr>
            </w:pPr>
          </w:p>
        </w:tc>
        <w:tc>
          <w:tcPr>
            <w:tcW w:w="7900" w:type="dxa"/>
            <w:vAlign w:val="bottom"/>
          </w:tcPr>
          <w:p>
            <w:pPr>
              <w:ind w:left="220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520" w:type="dxa"/>
            <w:vAlign w:val="bottom"/>
          </w:tcPr>
          <w:p>
            <w:pPr>
              <w:spacing w:after="0"/>
              <w:rPr>
                <w:sz w:val="24"/>
                <w:szCs w:val="24"/>
                <w:color w:val="auto"/>
              </w:rPr>
            </w:pPr>
          </w:p>
        </w:tc>
        <w:tc>
          <w:tcPr>
            <w:tcW w:w="790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79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895475" cy="763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954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Date: July 9, 2019</w:t>
            </w:r>
          </w:p>
        </w:tc>
        <w:tc>
          <w:tcPr>
            <w:tcW w:w="7900" w:type="dxa"/>
            <w:vAlign w:val="bottom"/>
          </w:tcPr>
          <w:p>
            <w:pPr>
              <w:ind w:left="2200"/>
              <w:spacing w:after="0"/>
              <w:rPr>
                <w:sz w:val="20"/>
                <w:szCs w:val="20"/>
                <w:color w:val="auto"/>
              </w:rPr>
            </w:pPr>
            <w:r>
              <w:rPr>
                <w:rFonts w:ascii="Arial" w:cs="Arial" w:eastAsia="Arial" w:hAnsi="Arial"/>
                <w:sz w:val="18"/>
                <w:szCs w:val="18"/>
                <w:color w:val="auto"/>
              </w:rPr>
              <w:t>Matthew C. Wolsfeld, CPA</w:t>
            </w:r>
          </w:p>
        </w:tc>
      </w:tr>
      <w:tr>
        <w:trPr>
          <w:trHeight w:val="216"/>
        </w:trPr>
        <w:tc>
          <w:tcPr>
            <w:tcW w:w="3520" w:type="dxa"/>
            <w:vAlign w:val="bottom"/>
          </w:tcPr>
          <w:p>
            <w:pPr>
              <w:spacing w:after="0"/>
              <w:rPr>
                <w:sz w:val="18"/>
                <w:szCs w:val="18"/>
                <w:color w:val="auto"/>
              </w:rPr>
            </w:pPr>
          </w:p>
        </w:tc>
        <w:tc>
          <w:tcPr>
            <w:tcW w:w="7900" w:type="dxa"/>
            <w:vAlign w:val="bottom"/>
          </w:tcPr>
          <w:p>
            <w:pPr>
              <w:ind w:left="2200"/>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3520" w:type="dxa"/>
            <w:vAlign w:val="bottom"/>
          </w:tcPr>
          <w:p>
            <w:pPr>
              <w:spacing w:after="0"/>
              <w:rPr>
                <w:sz w:val="20"/>
                <w:szCs w:val="20"/>
                <w:color w:val="auto"/>
              </w:rPr>
            </w:pPr>
          </w:p>
        </w:tc>
        <w:tc>
          <w:tcPr>
            <w:tcW w:w="7900" w:type="dxa"/>
            <w:vAlign w:val="bottom"/>
          </w:tcPr>
          <w:p>
            <w:pPr>
              <w:ind w:left="220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3520" w:type="dxa"/>
            <w:vAlign w:val="bottom"/>
          </w:tcPr>
          <w:p>
            <w:pPr>
              <w:spacing w:after="0"/>
              <w:rPr>
                <w:sz w:val="23"/>
                <w:szCs w:val="23"/>
                <w:color w:val="auto"/>
              </w:rPr>
            </w:pPr>
          </w:p>
        </w:tc>
        <w:tc>
          <w:tcPr>
            <w:tcW w:w="7900" w:type="dxa"/>
            <w:vAlign w:val="bottom"/>
          </w:tcPr>
          <w:p>
            <w:pPr>
              <w:spacing w:after="0"/>
              <w:rPr>
                <w:sz w:val="23"/>
                <w:szCs w:val="23"/>
                <w:color w:val="auto"/>
              </w:rPr>
            </w:pPr>
          </w:p>
        </w:tc>
      </w:tr>
      <w:tr>
        <w:trPr>
          <w:trHeight w:val="68"/>
        </w:trPr>
        <w:tc>
          <w:tcPr>
            <w:tcW w:w="3520" w:type="dxa"/>
            <w:vAlign w:val="bottom"/>
            <w:shd w:val="clear" w:color="auto" w:fill="000000"/>
          </w:tcPr>
          <w:p>
            <w:pPr>
              <w:spacing w:after="0"/>
              <w:rPr>
                <w:sz w:val="5"/>
                <w:szCs w:val="5"/>
                <w:color w:val="auto"/>
              </w:rPr>
            </w:pPr>
          </w:p>
        </w:tc>
        <w:tc>
          <w:tcPr>
            <w:tcW w:w="79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1852295" cy="351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2295" cy="3517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2019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95475" cy="763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954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right="5700"/>
        <w:spacing w:after="0" w:line="261" w:lineRule="auto"/>
        <w:rPr>
          <w:sz w:val="20"/>
          <w:szCs w:val="20"/>
          <w:color w:val="auto"/>
        </w:rPr>
      </w:pPr>
      <w:r>
        <w:rPr>
          <w:rFonts w:ascii="Arial" w:cs="Arial" w:eastAsia="Arial" w:hAnsi="Arial"/>
          <w:sz w:val="18"/>
          <w:szCs w:val="18"/>
          <w:color w:val="auto"/>
        </w:rPr>
        <w:t>Chief Financial Officer and Corporate Secretary (principal financial officer and principal 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5"/>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upperLetter"/>
      <w:start w:val="1"/>
    </w:lvl>
    <w:lvl w:ilvl="1">
      <w:lvlJc w:val="left"/>
      <w:lvlText w:val="(%2)"/>
      <w:numFmt w:val="decimal"/>
      <w:start w:val="1"/>
    </w:lvl>
  </w:abstractNum>
  <w:abstractNum w:abstractNumId="18">
    <w:nsid w:val="257130A3"/>
    <w:multiLevelType w:val="hybridMultilevel"/>
    <w:lvl w:ilvl="0">
      <w:lvlJc w:val="left"/>
      <w:lvlText w:val="%1."/>
      <w:numFmt w:val="upperLetter"/>
      <w:start w:val="7"/>
    </w:lvl>
    <w:lvl w:ilvl="1">
      <w:lvlJc w:val="left"/>
      <w:lvlText w:val="%2"/>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2019-12-28T10:18:49Z</dcterms:created>
  <dcterms:modified xsi:type="dcterms:W3CDTF">2019-12-28T10:18:49Z</dcterms:modified>
</cp:coreProperties>
</file>