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caps/>
          <w:sz w:val="20"/>
        </w:rPr>
      </w:pPr>
      <w:bookmarkStart w:id="0" w:name="f8k_090826.htm"/>
      <w:bookmarkStart w:id="1" w:name="ksf8k_090826"/>
      <w:bookmarkEnd w:id="0"/>
      <w:bookmarkEnd w:id="1"/>
      <w:r>
        <w:rPr>
          <w:b/>
          <w:caps/>
          <w:sz w:val="20"/>
        </w:rPr>
        <w:t>UNITED STATES</w:t>
      </w:r>
    </w:p>
    <w:p>
      <w:pPr>
        <w:pStyle w:val="TextBody"/>
        <w:bidi w:val="0"/>
        <w:spacing w:before="0" w:after="0"/>
        <w:ind w:left="0" w:right="0" w:hanging="0"/>
        <w:jc w:val="center"/>
        <w:rPr>
          <w:b/>
          <w:caps/>
          <w:sz w:val="20"/>
        </w:rPr>
      </w:pPr>
      <w:r>
        <w:rPr>
          <w:b/>
          <w:caps/>
          <w:sz w:val="20"/>
        </w:rPr>
        <w:t>SECURITIES AND EXCHANGE COMMISSION</w:t>
      </w:r>
    </w:p>
    <w:p>
      <w:pPr>
        <w:pStyle w:val="TextBody"/>
        <w:bidi w:val="0"/>
        <w:spacing w:before="0" w:after="0"/>
        <w:ind w:left="0" w:right="0" w:hanging="0"/>
        <w:jc w:val="center"/>
        <w:rPr>
          <w:b/>
          <w:caps/>
          <w:sz w:val="20"/>
        </w:rPr>
      </w:pPr>
      <w:r>
        <w:rPr>
          <w:b/>
          <w:caps/>
          <w:sz w:val="20"/>
        </w:rPr>
        <w:t>Washington, D.C. 20549</w:t>
      </w:r>
    </w:p>
    <w:p>
      <w:pPr>
        <w:pStyle w:val="TextBody"/>
        <w:bidi w:val="0"/>
        <w:spacing w:before="0" w:after="0"/>
        <w:ind w:left="0" w:right="0" w:hanging="0"/>
        <w:jc w:val="center"/>
        <w:rPr>
          <w:caps/>
          <w:sz w:val="20"/>
        </w:rPr>
      </w:pPr>
      <w:r>
        <w:rPr>
          <w:caps/>
          <w:sz w:val="20"/>
        </w:rPr>
        <w:t>__________________</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
          <w:caps/>
          <w:sz w:val="36"/>
        </w:rPr>
      </w:pPr>
      <w:r>
        <w:rPr>
          <w:b/>
          <w:caps/>
          <w:sz w:val="36"/>
        </w:rPr>
        <w:t xml:space="preserve">FORM </w:t>
      </w:r>
      <w:bookmarkStart w:id="2" w:name="xdx_906_edei--DocumentType_c20260904__20"/>
      <w:bookmarkEnd w:id="2"/>
      <w:r>
        <w:rPr>
          <w:b/>
          <w:caps/>
          <w:sz w:val="36"/>
        </w:rPr>
        <w:t>8-K</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
          <w:caps/>
          <w:sz w:val="20"/>
        </w:rPr>
      </w:pPr>
      <w:r>
        <w:rPr>
          <w:b/>
          <w:caps/>
          <w:sz w:val="20"/>
        </w:rPr>
        <w:t>CURRENT REPORT</w:t>
      </w:r>
    </w:p>
    <w:p>
      <w:pPr>
        <w:pStyle w:val="TextBody"/>
        <w:bidi w:val="0"/>
        <w:spacing w:before="0" w:after="0"/>
        <w:ind w:left="0" w:right="0" w:hanging="0"/>
        <w:jc w:val="center"/>
        <w:rPr>
          <w:b/>
          <w:sz w:val="20"/>
        </w:rPr>
      </w:pPr>
      <w:r>
        <w:rPr>
          <w:b/>
          <w:sz w:val="20"/>
        </w:rPr>
        <w:t>Pursuant to Section 13 OR 15(d) of The Securities Exchange Act of 1934</w:t>
      </w:r>
    </w:p>
    <w:p>
      <w:pPr>
        <w:pStyle w:val="TextBody"/>
        <w:bidi w:val="0"/>
        <w:spacing w:before="0" w:after="0"/>
        <w:ind w:left="0" w:right="0" w:hanging="0"/>
        <w:jc w:val="center"/>
        <w:rPr>
          <w:caps/>
          <w:sz w:val="20"/>
        </w:rPr>
      </w:pPr>
      <w:r>
        <w:rPr>
          <w:caps/>
          <w:sz w:val="20"/>
        </w:rPr>
        <w:t>__________________</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sz w:val="20"/>
        </w:rPr>
      </w:pPr>
      <w:r>
        <w:rPr>
          <w:sz w:val="20"/>
        </w:rPr>
        <w:t xml:space="preserve">Date of Report (Date of earliest event reported): </w:t>
      </w:r>
      <w:bookmarkStart w:id="3" w:name="xdx_905_edei--DocumentPeriodEndDate_c202"/>
      <w:bookmarkEnd w:id="3"/>
      <w:r>
        <w:rPr>
          <w:b/>
          <w:sz w:val="20"/>
        </w:rPr>
        <w:t>September 4, 2026</w:t>
      </w:r>
    </w:p>
    <w:p>
      <w:pPr>
        <w:pStyle w:val="TextBody"/>
        <w:bidi w:val="0"/>
        <w:spacing w:before="0" w:after="0"/>
        <w:ind w:left="0" w:right="0" w:hanging="0"/>
        <w:jc w:val="center"/>
        <w:rPr>
          <w:caps/>
          <w:sz w:val="20"/>
        </w:rPr>
      </w:pPr>
      <w:r>
        <w:rPr>
          <w:caps/>
          <w:sz w:val="20"/>
        </w:rPr>
        <w:t>___________________</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
          <w:caps/>
          <w:sz w:val="36"/>
        </w:rPr>
      </w:pPr>
      <w:bookmarkStart w:id="4" w:name="xdx_907_edei--EntityRegistrantName_c2026"/>
      <w:bookmarkEnd w:id="4"/>
      <w:r>
        <w:rPr>
          <w:b/>
          <w:caps/>
          <w:sz w:val="36"/>
        </w:rPr>
        <w:t>NORTHERN TECHNOLOGIES INTERNATIONAL CORPORATION</w:t>
      </w:r>
    </w:p>
    <w:p>
      <w:pPr>
        <w:pStyle w:val="TextBody"/>
        <w:bidi w:val="0"/>
        <w:spacing w:before="0" w:after="0"/>
        <w:ind w:left="0" w:right="0" w:hanging="0"/>
        <w:jc w:val="center"/>
        <w:rPr>
          <w:sz w:val="20"/>
        </w:rPr>
      </w:pPr>
      <w:r>
        <w:rPr>
          <w:sz w:val="20"/>
        </w:rPr>
        <w:t>(Exact name of registrant as specified in its charter)</w:t>
      </w:r>
    </w:p>
    <w:p>
      <w:pPr>
        <w:pStyle w:val="TextBody"/>
        <w:bidi w:val="0"/>
        <w:spacing w:before="0" w:after="0"/>
        <w:ind w:left="0" w:right="0" w:hanging="0"/>
        <w:jc w:val="center"/>
        <w:rPr/>
      </w:pPr>
      <w:r>
        <w:rPr/>
        <w:t> </w:t>
      </w:r>
    </w:p>
    <w:tbl>
      <w:tblPr>
        <w:tblW w:w="4845" w:type="dxa"/>
        <w:jc w:val="left"/>
        <w:tblInd w:w="0" w:type="dxa"/>
        <w:tblLayout w:type="fixed"/>
        <w:tblCellMar>
          <w:top w:w="0" w:type="dxa"/>
          <w:left w:w="0" w:type="dxa"/>
          <w:bottom w:w="0" w:type="dxa"/>
          <w:right w:w="0" w:type="dxa"/>
        </w:tblCellMar>
      </w:tblPr>
      <w:tblGrid>
        <w:gridCol w:w="2165"/>
        <w:gridCol w:w="1100"/>
        <w:gridCol w:w="1580"/>
      </w:tblGrid>
      <w:tr>
        <w:trPr/>
        <w:tc>
          <w:tcPr>
            <w:tcW w:w="2165" w:type="dxa"/>
            <w:tcBorders/>
            <w:vAlign w:val="center"/>
          </w:tcPr>
          <w:p>
            <w:pPr>
              <w:pStyle w:val="TableContents"/>
              <w:bidi w:val="0"/>
              <w:spacing w:before="0" w:after="283"/>
              <w:jc w:val="center"/>
              <w:rPr>
                <w:b/>
                <w:sz w:val="20"/>
              </w:rPr>
            </w:pPr>
            <w:bookmarkStart w:id="5" w:name="xdx_90D_edei--EntityIncorporationStateCo"/>
            <w:bookmarkEnd w:id="5"/>
            <w:r>
              <w:rPr>
                <w:b/>
                <w:sz w:val="20"/>
              </w:rPr>
              <w:t>Delaware</w:t>
            </w:r>
          </w:p>
        </w:tc>
        <w:tc>
          <w:tcPr>
            <w:tcW w:w="1100" w:type="dxa"/>
            <w:tcBorders/>
            <w:vAlign w:val="center"/>
          </w:tcPr>
          <w:p>
            <w:pPr>
              <w:pStyle w:val="TableContents"/>
              <w:bidi w:val="0"/>
              <w:spacing w:before="0" w:after="283"/>
              <w:jc w:val="center"/>
              <w:rPr>
                <w:b/>
                <w:sz w:val="20"/>
              </w:rPr>
            </w:pPr>
            <w:bookmarkStart w:id="6" w:name="xdx_901_edei--EntityFileNumber_c20260904"/>
            <w:bookmarkEnd w:id="6"/>
            <w:r>
              <w:rPr>
                <w:b/>
                <w:sz w:val="20"/>
              </w:rPr>
              <w:t>001-11038</w:t>
            </w:r>
          </w:p>
        </w:tc>
        <w:tc>
          <w:tcPr>
            <w:tcW w:w="1580" w:type="dxa"/>
            <w:tcBorders/>
            <w:vAlign w:val="center"/>
          </w:tcPr>
          <w:p>
            <w:pPr>
              <w:pStyle w:val="TableContents"/>
              <w:bidi w:val="0"/>
              <w:spacing w:before="0" w:after="283"/>
              <w:jc w:val="center"/>
              <w:rPr>
                <w:b/>
                <w:sz w:val="20"/>
              </w:rPr>
            </w:pPr>
            <w:bookmarkStart w:id="7" w:name="xdx_90F_edei--EntityTaxIdentificationNum"/>
            <w:bookmarkEnd w:id="7"/>
            <w:r>
              <w:rPr>
                <w:b/>
                <w:sz w:val="20"/>
              </w:rPr>
              <w:t>41-0857886</w:t>
            </w:r>
          </w:p>
        </w:tc>
      </w:tr>
      <w:tr>
        <w:trPr/>
        <w:tc>
          <w:tcPr>
            <w:tcW w:w="2165" w:type="dxa"/>
            <w:tcBorders/>
            <w:vAlign w:val="center"/>
          </w:tcPr>
          <w:p>
            <w:pPr>
              <w:pStyle w:val="TableContents"/>
              <w:bidi w:val="0"/>
              <w:spacing w:before="0" w:after="0"/>
              <w:ind w:left="0" w:right="0" w:hanging="0"/>
              <w:jc w:val="center"/>
              <w:rPr>
                <w:sz w:val="20"/>
              </w:rPr>
            </w:pPr>
            <w:r>
              <w:rPr>
                <w:sz w:val="20"/>
              </w:rPr>
              <w:t>(State or other jurisdiction</w:t>
            </w:r>
          </w:p>
          <w:p>
            <w:pPr>
              <w:pStyle w:val="TableContents"/>
              <w:bidi w:val="0"/>
              <w:spacing w:before="0" w:after="0"/>
              <w:ind w:left="0" w:right="0" w:hanging="0"/>
              <w:jc w:val="center"/>
              <w:rPr>
                <w:sz w:val="20"/>
              </w:rPr>
            </w:pPr>
            <w:r>
              <w:rPr>
                <w:sz w:val="20"/>
              </w:rPr>
              <w:t>of incorporation)</w:t>
            </w:r>
          </w:p>
        </w:tc>
        <w:tc>
          <w:tcPr>
            <w:tcW w:w="1100" w:type="dxa"/>
            <w:tcBorders/>
            <w:vAlign w:val="center"/>
          </w:tcPr>
          <w:p>
            <w:pPr>
              <w:pStyle w:val="TableContents"/>
              <w:bidi w:val="0"/>
              <w:spacing w:before="0" w:after="0"/>
              <w:ind w:left="0" w:right="0" w:hanging="0"/>
              <w:jc w:val="center"/>
              <w:rPr>
                <w:sz w:val="20"/>
              </w:rPr>
            </w:pPr>
            <w:r>
              <w:rPr>
                <w:sz w:val="20"/>
              </w:rPr>
              <w:t>(Commission</w:t>
            </w:r>
          </w:p>
          <w:p>
            <w:pPr>
              <w:pStyle w:val="TableContents"/>
              <w:bidi w:val="0"/>
              <w:spacing w:before="0" w:after="0"/>
              <w:ind w:left="0" w:right="0" w:hanging="0"/>
              <w:jc w:val="center"/>
              <w:rPr>
                <w:sz w:val="20"/>
              </w:rPr>
            </w:pPr>
            <w:r>
              <w:rPr>
                <w:sz w:val="20"/>
              </w:rPr>
              <w:t>File Number)</w:t>
            </w:r>
          </w:p>
        </w:tc>
        <w:tc>
          <w:tcPr>
            <w:tcW w:w="1580" w:type="dxa"/>
            <w:tcBorders/>
            <w:vAlign w:val="center"/>
          </w:tcPr>
          <w:p>
            <w:pPr>
              <w:pStyle w:val="TableContents"/>
              <w:bidi w:val="0"/>
              <w:spacing w:before="0" w:after="0"/>
              <w:ind w:left="0" w:right="0" w:hanging="0"/>
              <w:jc w:val="center"/>
              <w:rPr>
                <w:sz w:val="20"/>
              </w:rPr>
            </w:pPr>
            <w:r>
              <w:rPr>
                <w:sz w:val="20"/>
              </w:rPr>
              <w:t>(IRS Employer</w:t>
            </w:r>
          </w:p>
          <w:p>
            <w:pPr>
              <w:pStyle w:val="TableContents"/>
              <w:bidi w:val="0"/>
              <w:spacing w:before="0" w:after="0"/>
              <w:ind w:left="0" w:right="0" w:hanging="0"/>
              <w:jc w:val="center"/>
              <w:rPr>
                <w:sz w:val="20"/>
              </w:rPr>
            </w:pPr>
            <w:r>
              <w:rPr>
                <w:sz w:val="20"/>
              </w:rPr>
              <w:t>Identification No.) </w:t>
            </w:r>
          </w:p>
        </w:tc>
      </w:tr>
    </w:tbl>
    <w:p>
      <w:pPr>
        <w:pStyle w:val="TextBody"/>
        <w:bidi w:val="0"/>
        <w:spacing w:before="0" w:after="283"/>
        <w:jc w:val="left"/>
        <w:rPr/>
      </w:pPr>
      <w:r>
        <w:rPr/>
        <w:t> </w:t>
      </w:r>
    </w:p>
    <w:tbl>
      <w:tblPr>
        <w:tblW w:w="4135" w:type="dxa"/>
        <w:jc w:val="left"/>
        <w:tblInd w:w="0" w:type="dxa"/>
        <w:tblLayout w:type="fixed"/>
        <w:tblCellMar>
          <w:top w:w="0" w:type="dxa"/>
          <w:left w:w="0" w:type="dxa"/>
          <w:bottom w:w="0" w:type="dxa"/>
          <w:right w:w="0" w:type="dxa"/>
        </w:tblCellMar>
      </w:tblPr>
      <w:tblGrid>
        <w:gridCol w:w="3215"/>
        <w:gridCol w:w="920"/>
      </w:tblGrid>
      <w:tr>
        <w:trPr/>
        <w:tc>
          <w:tcPr>
            <w:tcW w:w="3215" w:type="dxa"/>
            <w:tcBorders/>
            <w:vAlign w:val="center"/>
          </w:tcPr>
          <w:p>
            <w:pPr>
              <w:pStyle w:val="TableContents"/>
              <w:bidi w:val="0"/>
              <w:spacing w:before="0" w:after="0"/>
              <w:ind w:left="0" w:right="0" w:hanging="0"/>
              <w:jc w:val="center"/>
              <w:rPr>
                <w:b/>
                <w:sz w:val="20"/>
              </w:rPr>
            </w:pPr>
            <w:bookmarkStart w:id="8" w:name="xdx_904_edei--EntityAddressAddressLine1_"/>
            <w:bookmarkEnd w:id="8"/>
            <w:r>
              <w:rPr>
                <w:b/>
                <w:sz w:val="20"/>
              </w:rPr>
              <w:t>4201 Woodland Road</w:t>
            </w:r>
          </w:p>
          <w:p>
            <w:pPr>
              <w:pStyle w:val="TableContents"/>
              <w:bidi w:val="0"/>
              <w:spacing w:before="0" w:after="0"/>
              <w:ind w:left="0" w:right="0" w:hanging="0"/>
              <w:jc w:val="center"/>
              <w:rPr>
                <w:b/>
                <w:sz w:val="20"/>
              </w:rPr>
            </w:pPr>
            <w:bookmarkStart w:id="9" w:name="xdx_905_edei--EntityAddressAddressLine2_"/>
            <w:bookmarkEnd w:id="9"/>
            <w:r>
              <w:rPr>
                <w:b/>
                <w:sz w:val="20"/>
              </w:rPr>
              <w:t>P.O. Box 69</w:t>
            </w:r>
          </w:p>
          <w:p>
            <w:pPr>
              <w:pStyle w:val="TableContents"/>
              <w:bidi w:val="0"/>
              <w:spacing w:before="0" w:after="0"/>
              <w:ind w:left="0" w:right="0" w:hanging="0"/>
              <w:jc w:val="center"/>
              <w:rPr>
                <w:b/>
                <w:sz w:val="20"/>
              </w:rPr>
            </w:pPr>
            <w:bookmarkStart w:id="10" w:name="xdx_90C_edei--EntityAddressCityOrTown_c2"/>
            <w:bookmarkEnd w:id="10"/>
            <w:r>
              <w:rPr>
                <w:b/>
                <w:sz w:val="20"/>
              </w:rPr>
              <w:t xml:space="preserve">Circle Pines, </w:t>
            </w:r>
            <w:bookmarkStart w:id="11" w:name="xdx_905_edei--EntityAddressStateOrProvin"/>
            <w:bookmarkEnd w:id="11"/>
            <w:r>
              <w:rPr>
                <w:b/>
                <w:sz w:val="20"/>
              </w:rPr>
              <w:t>Minnesota</w:t>
            </w:r>
          </w:p>
        </w:tc>
        <w:tc>
          <w:tcPr>
            <w:tcW w:w="920" w:type="dxa"/>
            <w:tcBorders/>
            <w:vAlign w:val="center"/>
          </w:tcPr>
          <w:p>
            <w:pPr>
              <w:pStyle w:val="TableContents"/>
              <w:bidi w:val="0"/>
              <w:spacing w:before="0" w:after="0"/>
              <w:ind w:left="0" w:right="0" w:hanging="0"/>
              <w:jc w:val="center"/>
              <w:rPr/>
            </w:pPr>
            <w:r>
              <w:rPr/>
              <w:t> </w:t>
            </w:r>
          </w:p>
          <w:p>
            <w:pPr>
              <w:pStyle w:val="TableContents"/>
              <w:bidi w:val="0"/>
              <w:spacing w:before="0" w:after="0"/>
              <w:ind w:left="0" w:right="0" w:hanging="0"/>
              <w:jc w:val="center"/>
              <w:rPr/>
            </w:pPr>
            <w:r>
              <w:rPr/>
              <w:t> </w:t>
            </w:r>
          </w:p>
          <w:p>
            <w:pPr>
              <w:pStyle w:val="TableContents"/>
              <w:bidi w:val="0"/>
              <w:spacing w:before="0" w:after="0"/>
              <w:ind w:left="0" w:right="0" w:hanging="0"/>
              <w:jc w:val="center"/>
              <w:rPr>
                <w:b/>
                <w:sz w:val="20"/>
              </w:rPr>
            </w:pPr>
            <w:bookmarkStart w:id="12" w:name="xdx_90E_edei--EntityAddressPostalZipCode"/>
            <w:bookmarkEnd w:id="12"/>
            <w:r>
              <w:rPr>
                <w:b/>
                <w:sz w:val="20"/>
              </w:rPr>
              <w:t>55014</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
          <w:caps/>
          <w:sz w:val="20"/>
        </w:rPr>
      </w:pPr>
      <w:bookmarkStart w:id="13" w:name="xdx_903_edei--CityAreaCode_c20260904__20"/>
      <w:bookmarkEnd w:id="13"/>
      <w:r>
        <w:rPr>
          <w:b/>
          <w:caps/>
          <w:sz w:val="20"/>
        </w:rPr>
        <w:t xml:space="preserve">(763) </w:t>
      </w:r>
      <w:bookmarkStart w:id="14" w:name="xdx_905_edei--LocalPhoneNumber_c20260904"/>
      <w:bookmarkEnd w:id="14"/>
      <w:r>
        <w:rPr>
          <w:b/>
          <w:caps/>
          <w:sz w:val="20"/>
        </w:rPr>
        <w:t>225-6600</w:t>
      </w:r>
    </w:p>
    <w:p>
      <w:pPr>
        <w:pStyle w:val="TextBody"/>
        <w:bidi w:val="0"/>
        <w:spacing w:before="0" w:after="0"/>
        <w:ind w:left="0" w:right="0" w:hanging="0"/>
        <w:jc w:val="center"/>
        <w:rPr>
          <w:sz w:val="20"/>
        </w:rPr>
      </w:pPr>
      <w:r>
        <w:rPr>
          <w:sz w:val="20"/>
        </w:rPr>
        <w:t>(Registrant’s telephone number, including area code)</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Not Applicable</w:t>
      </w:r>
    </w:p>
    <w:p>
      <w:pPr>
        <w:pStyle w:val="TextBody"/>
        <w:bidi w:val="0"/>
        <w:spacing w:before="0" w:after="0"/>
        <w:ind w:left="0" w:right="0" w:hanging="0"/>
        <w:jc w:val="center"/>
        <w:rPr>
          <w:sz w:val="20"/>
        </w:rPr>
      </w:pPr>
      <w:r>
        <w:rPr>
          <w:sz w:val="20"/>
        </w:rPr>
        <w:t>(Former name or former address, if changed since last report.)</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pPr>
      <w:r>
        <w:rPr/>
        <w:t> </w:t>
      </w:r>
    </w:p>
    <w:p>
      <w:pPr>
        <w:pStyle w:val="TextBody"/>
        <w:bidi w:val="0"/>
        <w:spacing w:before="0" w:after="0"/>
        <w:ind w:left="0" w:right="0" w:hanging="0"/>
        <w:jc w:val="left"/>
        <w:rPr/>
      </w:pPr>
      <w:bookmarkStart w:id="15" w:name="xdx_900_edei--WrittenCommunications_c202"/>
      <w:bookmarkEnd w:id="15"/>
      <w:r>
        <w:rPr/>
        <w:t xml:space="preserve">☐ </w:t>
      </w:r>
      <w:r>
        <w:rPr>
          <w:sz w:val="20"/>
        </w:rPr>
        <w:t>Written communications pursuant to Rule 425 under the Securities Act (17 CFR 230.425)</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6" w:name="xdx_905_edei--SolicitingMaterial_c202609"/>
      <w:bookmarkEnd w:id="16"/>
      <w:r>
        <w:rPr/>
        <w:t xml:space="preserve">☐ </w:t>
      </w:r>
      <w:r>
        <w:rPr>
          <w:sz w:val="20"/>
        </w:rPr>
        <w:t>Soliciting material pursuant to Rule 14a-12 under the Exchange Act (17 CFR 240.14a-12)</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7" w:name="xdx_908_edei--PreCommencementTenderOffer"/>
      <w:bookmarkEnd w:id="17"/>
      <w:r>
        <w:rPr/>
        <w:t xml:space="preserve">☐ </w:t>
      </w:r>
      <w:r>
        <w:rPr>
          <w:sz w:val="20"/>
        </w:rPr>
        <w:t>Pre-commencement communications pursuant to Rule 14d-2(b) under the Exchange Act (17 CFR 240.14d-2(b))</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8" w:name="xdx_90A_edei--PreCommencementIssuerTende"/>
      <w:bookmarkEnd w:id="18"/>
      <w:r>
        <w:rPr/>
        <w:t xml:space="preserve">☐ </w:t>
      </w:r>
      <w:r>
        <w:rPr>
          <w:sz w:val="20"/>
        </w:rPr>
        <w:t>Pre-commencement communications pursuant to Rule 13e-4(c) under the Exchange Act (17 CFR 240.13e-4(c))</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Securities registered pursuant to Section 12(b) of the Act:</w:t>
      </w:r>
    </w:p>
    <w:p>
      <w:pPr>
        <w:pStyle w:val="TextBody"/>
        <w:bidi w:val="0"/>
        <w:spacing w:before="0" w:after="0"/>
        <w:ind w:left="0" w:right="0" w:hanging="0"/>
        <w:jc w:val="both"/>
        <w:rPr/>
      </w:pPr>
      <w:r>
        <w:rPr/>
        <w:t> </w:t>
      </w:r>
    </w:p>
    <w:tbl>
      <w:tblPr>
        <w:tblW w:w="8565" w:type="dxa"/>
        <w:jc w:val="left"/>
        <w:tblInd w:w="-10" w:type="dxa"/>
        <w:tblLayout w:type="fixed"/>
        <w:tblCellMar>
          <w:top w:w="28" w:type="dxa"/>
          <w:left w:w="28" w:type="dxa"/>
          <w:bottom w:w="28" w:type="dxa"/>
          <w:right w:w="28" w:type="dxa"/>
        </w:tblCellMar>
      </w:tblPr>
      <w:tblGrid>
        <w:gridCol w:w="3440"/>
        <w:gridCol w:w="1535"/>
        <w:gridCol w:w="3590"/>
      </w:tblGrid>
      <w:tr>
        <w:trPr/>
        <w:tc>
          <w:tcPr>
            <w:tcW w:w="34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Trading Symbol(s)</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Name of each exchange on which registered</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bookmarkStart w:id="19" w:name="xdx_90C_edei--Security12bTitle_c20260904"/>
            <w:bookmarkEnd w:id="19"/>
            <w:r>
              <w:rPr>
                <w:sz w:val="20"/>
              </w:rPr>
              <w:t>Common stock, par value $0.02 per share</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0" w:name="xdx_90B_edei--TradingSymbol_c20260904__2"/>
            <w:bookmarkEnd w:id="20"/>
            <w:r>
              <w:rPr>
                <w:sz w:val="20"/>
              </w:rPr>
              <w:t>NTIC</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1" w:name="xdx_903_edei--SecurityExchangeName_c2026"/>
            <w:bookmarkEnd w:id="21"/>
            <w:r>
              <w:rPr>
                <w:sz w:val="20"/>
              </w:rPr>
              <w:t>The Nasdaq Stock Market</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pPr>
      <w:r>
        <w:rPr/>
        <w:t> </w:t>
      </w:r>
    </w:p>
    <w:p>
      <w:pPr>
        <w:pStyle w:val="TextBody"/>
        <w:bidi w:val="0"/>
        <w:spacing w:before="0" w:after="0"/>
        <w:ind w:left="0" w:right="0" w:firstLine="6480"/>
        <w:jc w:val="both"/>
        <w:rPr>
          <w:sz w:val="20"/>
        </w:rPr>
      </w:pPr>
      <w:r>
        <w:rPr>
          <w:sz w:val="20"/>
        </w:rPr>
        <w:t xml:space="preserve">Emerging growth company </w:t>
      </w:r>
      <w:bookmarkStart w:id="22" w:name="xdx_901_edei--EntityEmergingGrowthCompan"/>
      <w:bookmarkEnd w:id="22"/>
      <w:r>
        <w:rPr>
          <w:sz w:val="20"/>
        </w:rPr>
        <w:t>☐</w:t>
      </w:r>
    </w:p>
    <w:p>
      <w:pPr>
        <w:pStyle w:val="TextBody"/>
        <w:bidi w:val="0"/>
        <w:spacing w:before="0" w:after="0"/>
        <w:ind w:left="0" w:right="0" w:firstLine="6480"/>
        <w:jc w:val="both"/>
        <w:rPr/>
      </w:pPr>
      <w:r>
        <w:rPr/>
        <w:t> </w:t>
      </w:r>
    </w:p>
    <w:p>
      <w:pPr>
        <w:pStyle w:val="TextBody"/>
        <w:bidi w:val="0"/>
        <w:spacing w:before="0" w:after="0"/>
        <w:ind w:left="0" w:right="0" w:hanging="0"/>
        <w:jc w:val="both"/>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1008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762"/>
        <w:gridCol w:w="9405"/>
      </w:tblGrid>
      <w:tr>
        <w:trPr/>
        <w:tc>
          <w:tcPr>
            <w:tcW w:w="3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b/>
              </w:rPr>
            </w:pPr>
            <w:r>
              <w:rPr>
                <w:b/>
              </w:rPr>
              <w:t>Item 5.02</w:t>
            </w:r>
          </w:p>
        </w:tc>
        <w:tc>
          <w:tcPr>
            <w:tcW w:w="9405" w:type="dxa"/>
            <w:tcBorders/>
            <w:vAlign w:val="center"/>
          </w:tcPr>
          <w:p>
            <w:pPr>
              <w:pStyle w:val="TableContents"/>
              <w:bidi w:val="0"/>
              <w:spacing w:before="0" w:after="283"/>
              <w:jc w:val="left"/>
              <w:rPr>
                <w:b/>
              </w:rPr>
            </w:pPr>
            <w:r>
              <w:rPr>
                <w:b/>
              </w:rPr>
              <w:t>Departure of Directors or Certain Officers; Election of Directors; Appointment of Certain Officers; Compensatory Arrangements of Certain Officers.</w:t>
            </w:r>
          </w:p>
        </w:tc>
      </w:tr>
    </w:tbl>
    <w:p>
      <w:pPr>
        <w:pStyle w:val="TextBody"/>
        <w:bidi w:val="0"/>
        <w:spacing w:before="0" w:after="0"/>
        <w:jc w:val="left"/>
        <w:rPr/>
      </w:pPr>
      <w:r>
        <w:rPr/>
        <w:t> </w:t>
      </w:r>
    </w:p>
    <w:p>
      <w:pPr>
        <w:pStyle w:val="TextBody"/>
        <w:bidi w:val="0"/>
        <w:spacing w:before="0" w:after="0"/>
        <w:ind w:left="0" w:right="0" w:firstLine="720"/>
        <w:jc w:val="left"/>
        <w:rPr>
          <w:sz w:val="20"/>
        </w:rPr>
      </w:pPr>
      <w:r>
        <w:rPr>
          <w:sz w:val="20"/>
        </w:rPr>
        <w:t>On September 4, 2026, the Board of Directors (the “Board”) of Northern Technologies International Corporation (“NTIC” or the “Company”), in furtherance of its management succession planning, approved the following actions, in each case, effective immediately:</w:t>
      </w:r>
    </w:p>
    <w:p>
      <w:pPr>
        <w:pStyle w:val="TextBody"/>
        <w:bidi w:val="0"/>
        <w:spacing w:before="0" w:after="0"/>
        <w:ind w:left="0" w:right="0" w:firstLine="72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elected Gautam Ramdas, NTIC’s former Vice President of Zerust® Integrity Solutions, as NTIC’s President and Chief Executive Officer replacing G. Patrick Lynch, who was elected Chairman of the Board and will remain an employee of NTIC for up to three years as part of the transition;</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expanded the Board from eight to nine directors and elected Mr. Ramdas as director to fill the vacancy created as a result of the Board expansion;</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appointed Richard Nigon, NTIC’s former Chairman of the Board, as NTIC’s lead independent director; and</w:t>
            </w:r>
          </w:p>
        </w:tc>
      </w:tr>
    </w:tbl>
    <w:p>
      <w:pPr>
        <w:pStyle w:val="TextBody"/>
        <w:bidi w:val="0"/>
        <w:spacing w:before="0" w:after="0"/>
        <w:ind w:left="108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elected Brian Haglund, NTIC’s former Vice President of Operations – North America, as NTIC’s Chief Operating Officer.</w:t>
            </w:r>
          </w:p>
        </w:tc>
      </w:tr>
    </w:tbl>
    <w:p>
      <w:pPr>
        <w:pStyle w:val="TextBody"/>
        <w:bidi w:val="0"/>
        <w:spacing w:before="0" w:after="0"/>
        <w:ind w:left="1080" w:right="0" w:hanging="360"/>
        <w:jc w:val="left"/>
        <w:rPr/>
      </w:pPr>
      <w:r>
        <w:rPr/>
        <w:t> </w:t>
      </w:r>
    </w:p>
    <w:p>
      <w:pPr>
        <w:pStyle w:val="TextBody"/>
        <w:bidi w:val="0"/>
        <w:spacing w:before="0" w:after="0"/>
        <w:ind w:left="0" w:right="0" w:firstLine="720"/>
        <w:jc w:val="left"/>
        <w:rPr>
          <w:sz w:val="20"/>
        </w:rPr>
      </w:pPr>
      <w:r>
        <w:rPr>
          <w:sz w:val="20"/>
        </w:rPr>
        <w:t>Mr. Ramdas, age 53, has been with NTIC since 2005, most recently as Vice President of Zerust® Integrity Solutions ("ZIS") from February 2025 to September 2026 and previously as Vice President and Director – Global Market Development – Oil &amp; Gas from October 2005 to January 2025. As a member of NTIC's management team, he led the diversification of the Zerust portfolio beyond its automotive and industrial base into oil and gas, petrochemicals, EPC contractors, OEMs and renewable energy. He holds multiple patents, has represented the Company, and the wider industry, with DOT/PHMSA, the American Petroleum Institute (“API”) and the Association for Materials Protection and Performance (“AMPP”), and has been a principal driver of NTIC's strategic planning. Outside of NTIC, Mr. Ramdas co-founded Magzter Inc., a global digital publishing platform with 88M downloads, which was acquired by VerSe Innovation in April 2024. Prior to joining NTIC, Mr. Ramdas worked in the Strategic Change/Supply Chain groups of IBM Business Consulting Services and PricewaterhouseCoopers Management Consulting, where he led engagements with Fortune 500 clients in service strategy, global supplier management, E-Commerce, and supply chain streamlining. Mr. Ramdas received a Master of Business Administration degree from the University of Michigan Ross School of Business in Ann Arbor, Michigan, and holds a Bachelor of Science degree in Mechanical Engineering from the College of Engineering, Guindy (Chennai), India.</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Brian Haglund, age 42, has been an employee of NTIC since 2018, and previously served as Vice President of Operations – North America. Prior to joining NTIC, Mr. Haglund held various leadership roles within Textron Inc., a Fortune 500 industrial conglomerate. During his tenure with Textron, Mr. Haglund led various global operations and manufacturing facilities across the United States, in China, and in Germany focusing on aerospace and industrial manufacturing. Mr. Haglund received a Master of Business Administration degree with a concentration in Finance from The Miller College of Business through Ball State University. He also holds a Bachelor of Arts degree in Supply Chain Management from Eli Broad College of Business through Michigan State University.</w:t>
      </w:r>
    </w:p>
    <w:p>
      <w:pPr>
        <w:pStyle w:val="TextBody"/>
        <w:bidi w:val="0"/>
        <w:spacing w:before="0" w:after="0"/>
        <w:ind w:left="0" w:right="0" w:firstLine="72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In connection with the foregoing, the Board approved the following compensation changes, effective immediately:</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a new annual base salary for Mr. Ramdas equal to $520,000; continued participation in NTIC’s annual bonus plan although at a higher undetermined percentage of the available pool; a promotional stock option to purchase 15,278 shares of NTIC common stock at an exercise price equal to $7.99 per share, which option was in addition to an annual stock option to purchase 24,978 shares of NTIC common stock that he received on September 1, 2026, and was granted under the Northern Technologies International Corporation 2024 Stock Incentive Plan and will vest in three annual installments over three years so long as Mr. Ramdas remains an employee of NTIC as of such date; an unrestricted stock grant of 43,805 shares of common stock granted under the Northern Technologies International Corporation 2024 Stock Incentive Plan; and severance equal to 18 months annual base salary to be payable upon an involuntary termination of Mr. Ramdas’s employment with NTIC;</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a new annual base salary for Mr. Lynch equal to $150,000; continued employee benefits; and severance equal to $667,000 to be payable upon a termination of Mr. Lynch’s employment with NTIC for any reason; and</w:t>
            </w:r>
          </w:p>
        </w:tc>
      </w:tr>
    </w:tbl>
    <w:p>
      <w:pPr>
        <w:pStyle w:val="TextBody"/>
        <w:bidi w:val="0"/>
        <w:spacing w:before="0" w:after="0"/>
        <w:jc w:val="left"/>
        <w:rPr/>
      </w:pPr>
      <w:r>
        <w:rPr/>
        <w:t> </w:t>
      </w:r>
    </w:p>
    <w:tbl>
      <w:tblPr>
        <w:tblW w:w="9858" w:type="dxa"/>
        <w:jc w:val="left"/>
        <w:tblInd w:w="0" w:type="dxa"/>
        <w:tblLayout w:type="fixed"/>
        <w:tblCellMar>
          <w:top w:w="0" w:type="dxa"/>
          <w:left w:w="0" w:type="dxa"/>
          <w:bottom w:w="0" w:type="dxa"/>
          <w:right w:w="0" w:type="dxa"/>
        </w:tblCellMar>
      </w:tblPr>
      <w:tblGrid>
        <w:gridCol w:w="38"/>
        <w:gridCol w:w="125"/>
        <w:gridCol w:w="96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695" w:type="dxa"/>
            <w:tcBorders/>
            <w:vAlign w:val="center"/>
          </w:tcPr>
          <w:p>
            <w:pPr>
              <w:pStyle w:val="TableContents"/>
              <w:bidi w:val="0"/>
              <w:spacing w:before="0" w:after="283"/>
              <w:jc w:val="left"/>
              <w:rPr/>
            </w:pPr>
            <w:r>
              <w:rPr/>
              <w:t>a new annual base salary for Mr. Haglund, the Company’s new Chief Operating Officer, of $302,500.</w:t>
            </w:r>
          </w:p>
        </w:tc>
      </w:tr>
    </w:tbl>
    <w:p>
      <w:pPr>
        <w:pStyle w:val="TextBody"/>
        <w:bidi w:val="0"/>
        <w:spacing w:before="0" w:after="0"/>
        <w:jc w:val="left"/>
        <w:rPr/>
      </w:pPr>
      <w:r>
        <w:rPr/>
        <w:t> </w:t>
      </w:r>
    </w:p>
    <w:p>
      <w:pPr>
        <w:pStyle w:val="TextBody"/>
        <w:bidi w:val="0"/>
        <w:spacing w:before="0" w:after="0"/>
        <w:ind w:left="0" w:right="0" w:hanging="0"/>
        <w:jc w:val="left"/>
        <w:rPr>
          <w:sz w:val="20"/>
        </w:rPr>
      </w:pPr>
      <w:r>
        <w:rPr>
          <w:sz w:val="20"/>
        </w:rPr>
        <w:t>NTIC expects to enter into written employment and indemnification agreements with Mr. Ramdas, Mr. Lynch, and Mr. Haglund documenting the compensation terms described above and containing other terms standard and customary for executive agreements. The employment agreement with Mr. Lynch, once finalized and executed, will replace his existing employment agreement with NTIC, which is described in NTIC’s most recent definitive proxy statement filed with the Securities and Exchange Commission (“SEC”) on December 1, 2025</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No changes will be made to Mr. Nigon’s compensation as a director of NTIC and as lead independent director, which compensation is described in NTIC’s most recent definitive proxy statement filed with the SEC on December 1, 2025. As an employee director, neither Mr. Ramdas nor Mr. Lynch will receive any additional compensation for his service on the Board and will not serve on any Board committees.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change in Mr. Lynch's position was part of NTIC’s succession plan and not the result of any disagreement with NTIC on any matter relating to its operations, policies, or practices.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Except as described in this report, there are no other arrangements or understandings between Mr. Ramdas, Mr. Lynch, or Mr. Haglund and any other person pursuant to which each such individual was selected as an officer of the Company and the Company has not entered into any other material plan, contract or arrangement to which Mr. Ramdas, Mr. Lynch, or Mr. Haglund is a party or in which he participates, or any material amendment, in connection with the election described above. There have been no transactions since the beginning of the Company’s last fiscal year, or are currently proposed, regarding Mr. Ramdas, Mr. Lynch, or Mr. Haglund that are required to be disclosed by Item 404(a) of SEC Regulation S-K and neither Mr. Ramdas, Mr. Lynch, nor Mr. Haglund has any “family relationships,” as that term is defined in Item 401(d) of SEC Regulation S-K, with any other executive officer or any director of the Company.</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3708" w:type="dxa"/>
        <w:jc w:val="left"/>
        <w:tblInd w:w="0" w:type="dxa"/>
        <w:tblLayout w:type="fixed"/>
        <w:tblCellMar>
          <w:top w:w="0" w:type="dxa"/>
          <w:left w:w="0" w:type="dxa"/>
          <w:bottom w:w="0" w:type="dxa"/>
          <w:right w:w="0" w:type="dxa"/>
        </w:tblCellMar>
      </w:tblPr>
      <w:tblGrid>
        <w:gridCol w:w="38"/>
        <w:gridCol w:w="965"/>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7.01</w:t>
            </w:r>
          </w:p>
        </w:tc>
        <w:tc>
          <w:tcPr>
            <w:tcW w:w="2705" w:type="dxa"/>
            <w:tcBorders/>
            <w:vAlign w:val="center"/>
          </w:tcPr>
          <w:p>
            <w:pPr>
              <w:pStyle w:val="TableContents"/>
              <w:bidi w:val="0"/>
              <w:spacing w:before="0" w:after="283"/>
              <w:jc w:val="left"/>
              <w:rPr>
                <w:b/>
              </w:rPr>
            </w:pPr>
            <w:r>
              <w:rPr>
                <w:b/>
              </w:rPr>
              <w:t>Regulation FD Disclosure.</w:t>
            </w:r>
          </w:p>
        </w:tc>
      </w:tr>
    </w:tbl>
    <w:p>
      <w:pPr>
        <w:pStyle w:val="TextBody"/>
        <w:bidi w:val="0"/>
        <w:spacing w:before="0" w:after="0"/>
        <w:jc w:val="left"/>
        <w:rPr/>
      </w:pPr>
      <w:r>
        <w:rPr/>
        <w:t> </w:t>
      </w:r>
    </w:p>
    <w:p>
      <w:pPr>
        <w:pStyle w:val="TextBody"/>
        <w:bidi w:val="0"/>
        <w:spacing w:before="0" w:after="0"/>
        <w:ind w:left="0" w:right="0" w:firstLine="720"/>
        <w:jc w:val="left"/>
        <w:rPr>
          <w:sz w:val="20"/>
        </w:rPr>
      </w:pPr>
      <w:r>
        <w:rPr>
          <w:sz w:val="20"/>
        </w:rPr>
        <w:t>NTIC announced the foregoing officer and director changes in a press release issued on September 8, 2026, which is attached as Exhibit 99.1 to this Current Report on Form 8-K and incorporated herein by reference.</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The information contained in this Item 7.01 and Exhibit 99.1 to this Current Report on Form 8-K shall not be deemed to be “filed” for purposes of Section 18 of the Securities Exchange Act of 1934, as amended (the “Exchange Act”), or otherwise subject to the liability of that section, and shall not be incorporated by reference into any filings made by the Company under the Securities Act of 1933, as amended, or the Exchange Act, except as shall be expressly set forth by specific reference in such filing.</w:t>
      </w:r>
    </w:p>
    <w:p>
      <w:pPr>
        <w:pStyle w:val="TextBody"/>
        <w:bidi w:val="0"/>
        <w:spacing w:before="0" w:after="0"/>
        <w:ind w:left="0" w:right="0" w:firstLine="720"/>
        <w:jc w:val="left"/>
        <w:rPr/>
      </w:pPr>
      <w:r>
        <w:rPr/>
        <w:t> </w:t>
      </w:r>
    </w:p>
    <w:tbl>
      <w:tblPr>
        <w:tblW w:w="4563" w:type="dxa"/>
        <w:jc w:val="left"/>
        <w:tblInd w:w="0" w:type="dxa"/>
        <w:tblLayout w:type="fixed"/>
        <w:tblCellMar>
          <w:top w:w="0" w:type="dxa"/>
          <w:left w:w="0" w:type="dxa"/>
          <w:bottom w:w="0" w:type="dxa"/>
          <w:right w:w="0" w:type="dxa"/>
        </w:tblCellMar>
      </w:tblPr>
      <w:tblGrid>
        <w:gridCol w:w="38"/>
        <w:gridCol w:w="96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jc w:val="left"/>
        <w:rPr/>
      </w:pPr>
      <w:r>
        <w:rPr/>
        <w:t> </w:t>
      </w:r>
    </w:p>
    <w:p>
      <w:pPr>
        <w:pStyle w:val="TextBody"/>
        <w:bidi w:val="0"/>
        <w:spacing w:before="0" w:after="0"/>
        <w:ind w:left="0" w:right="0" w:hanging="0"/>
        <w:jc w:val="left"/>
        <w:rPr>
          <w:i/>
          <w:sz w:val="20"/>
        </w:rPr>
      </w:pPr>
      <w:r>
        <w:rPr>
          <w:i/>
          <w:sz w:val="20"/>
        </w:rPr>
        <w:t xml:space="preserve">(d) Exhibits.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65"/>
        <w:gridCol w:w="60"/>
        <w:gridCol w:w="9380"/>
      </w:tblGrid>
      <w:tr>
        <w:trPr/>
        <w:tc>
          <w:tcPr>
            <w:tcW w:w="765" w:type="dxa"/>
            <w:tcBorders/>
            <w:vAlign w:val="center"/>
          </w:tcPr>
          <w:p>
            <w:pPr>
              <w:pStyle w:val="TableContents"/>
              <w:pBdr>
                <w:bottom w:val="single" w:sz="8" w:space="1" w:color="000000"/>
              </w:pBdr>
              <w:bidi w:val="0"/>
              <w:spacing w:before="0" w:after="0"/>
              <w:ind w:left="0" w:right="0" w:hanging="0"/>
              <w:jc w:val="center"/>
              <w:rPr>
                <w:b/>
                <w:sz w:val="20"/>
              </w:rPr>
            </w:pPr>
            <w:r>
              <w:rPr>
                <w:b/>
                <w:sz w:val="20"/>
              </w:rPr>
              <w:t>Exhibit No.</w:t>
            </w:r>
          </w:p>
        </w:tc>
        <w:tc>
          <w:tcPr>
            <w:tcW w:w="60" w:type="dxa"/>
            <w:tcBorders/>
            <w:vAlign w:val="center"/>
          </w:tcPr>
          <w:p>
            <w:pPr>
              <w:pStyle w:val="TableContents"/>
              <w:bidi w:val="0"/>
              <w:spacing w:before="0" w:after="283"/>
              <w:jc w:val="left"/>
              <w:rPr/>
            </w:pPr>
            <w:r>
              <w:rPr/>
              <w:t> </w:t>
            </w:r>
          </w:p>
        </w:tc>
        <w:tc>
          <w:tcPr>
            <w:tcW w:w="9380" w:type="dxa"/>
            <w:tcBorders/>
            <w:vAlign w:val="center"/>
          </w:tcPr>
          <w:p>
            <w:pPr>
              <w:pStyle w:val="TableContents"/>
              <w:pBdr>
                <w:bottom w:val="single" w:sz="8" w:space="1" w:color="000000"/>
              </w:pBdr>
              <w:bidi w:val="0"/>
              <w:spacing w:before="0" w:after="0"/>
              <w:ind w:left="0" w:right="0" w:hanging="0"/>
              <w:jc w:val="center"/>
              <w:rPr>
                <w:b/>
                <w:sz w:val="20"/>
              </w:rPr>
            </w:pPr>
            <w:r>
              <w:rPr>
                <w:b/>
                <w:sz w:val="20"/>
              </w:rPr>
              <w:t>Description</w:t>
            </w:r>
          </w:p>
        </w:tc>
      </w:tr>
      <w:tr>
        <w:trPr/>
        <w:tc>
          <w:tcPr>
            <w:tcW w:w="765" w:type="dxa"/>
            <w:tcBorders/>
            <w:vAlign w:val="center"/>
          </w:tcPr>
          <w:p>
            <w:pPr>
              <w:pStyle w:val="TableContents"/>
              <w:bidi w:val="0"/>
              <w:spacing w:before="0" w:after="283"/>
              <w:jc w:val="center"/>
              <w:rPr/>
            </w:pPr>
            <w:hyperlink r:id="rId2">
              <w:r>
                <w:rPr>
                  <w:rStyle w:val="InternetLink"/>
                  <w:sz w:val="20"/>
                </w:rPr>
                <w:t>10.1</w:t>
              </w:r>
            </w:hyperlink>
          </w:p>
        </w:tc>
        <w:tc>
          <w:tcPr>
            <w:tcW w:w="60"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c>
          <w:tcPr>
            <w:tcW w:w="9380" w:type="dxa"/>
            <w:tcBorders/>
            <w:vAlign w:val="center"/>
          </w:tcPr>
          <w:p>
            <w:pPr>
              <w:pStyle w:val="TableContents"/>
              <w:bidi w:val="0"/>
              <w:jc w:val="left"/>
              <w:rPr/>
            </w:pPr>
            <w:hyperlink r:id="rId3">
              <w:r>
                <w:rPr>
                  <w:rStyle w:val="InternetLink"/>
                </w:rPr>
                <w:t>Form of Non-Statutory Stock Option Agreement for use with the Northern Technologies International Corporation 2024 Stock Incentive Plan (incorporated by reference to Exhibit 10.3 to NTIC’s Current Report on Form 8-K as filed with the SEC on January 19, 2024 (File No. 001-11038))</w:t>
              </w:r>
            </w:hyperlink>
            <w:r>
              <w:rPr/>
              <w:t xml:space="preserve"> </w:t>
            </w:r>
          </w:p>
          <w:p>
            <w:pPr>
              <w:pStyle w:val="TableContents"/>
              <w:bidi w:val="0"/>
              <w:spacing w:before="0" w:after="0"/>
              <w:ind w:left="0" w:right="0" w:hanging="0"/>
              <w:jc w:val="left"/>
              <w:rPr/>
            </w:pPr>
            <w:r>
              <w:rPr/>
              <w:t> </w:t>
            </w:r>
          </w:p>
        </w:tc>
      </w:tr>
      <w:tr>
        <w:trPr/>
        <w:tc>
          <w:tcPr>
            <w:tcW w:w="765" w:type="dxa"/>
            <w:tcBorders/>
            <w:vAlign w:val="center"/>
          </w:tcPr>
          <w:p>
            <w:pPr>
              <w:pStyle w:val="TableContents"/>
              <w:bidi w:val="0"/>
              <w:spacing w:before="0" w:after="283"/>
              <w:jc w:val="center"/>
              <w:rPr/>
            </w:pPr>
            <w:hyperlink w:anchor="exh_991.htm">
              <w:r>
                <w:rPr>
                  <w:rStyle w:val="InternetLink"/>
                  <w:sz w:val="20"/>
                </w:rPr>
                <w:t>99.1</w:t>
              </w:r>
            </w:hyperlink>
          </w:p>
        </w:tc>
        <w:tc>
          <w:tcPr>
            <w:tcW w:w="60"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c>
          <w:tcPr>
            <w:tcW w:w="9380" w:type="dxa"/>
            <w:tcBorders/>
            <w:vAlign w:val="center"/>
          </w:tcPr>
          <w:p>
            <w:pPr>
              <w:pStyle w:val="TableContents"/>
              <w:bidi w:val="0"/>
              <w:jc w:val="left"/>
              <w:rPr/>
            </w:pPr>
            <w:hyperlink w:anchor="exh_991.htm">
              <w:r>
                <w:rPr>
                  <w:rStyle w:val="InternetLink"/>
                </w:rPr>
                <w:t>Press Release issued September 8, 2026 (furnished herewith)</w:t>
              </w:r>
            </w:hyperlink>
            <w:r>
              <w:rPr/>
              <w:t xml:space="preserve"> </w:t>
            </w:r>
          </w:p>
          <w:p>
            <w:pPr>
              <w:pStyle w:val="TableContents"/>
              <w:bidi w:val="0"/>
              <w:spacing w:before="0" w:after="0"/>
              <w:ind w:left="0" w:right="0" w:hanging="0"/>
              <w:jc w:val="left"/>
              <w:rPr/>
            </w:pPr>
            <w:r>
              <w:rPr/>
              <w:t> </w:t>
            </w:r>
          </w:p>
        </w:tc>
      </w:tr>
      <w:tr>
        <w:trPr/>
        <w:tc>
          <w:tcPr>
            <w:tcW w:w="765" w:type="dxa"/>
            <w:tcBorders/>
            <w:vAlign w:val="center"/>
          </w:tcPr>
          <w:p>
            <w:pPr>
              <w:pStyle w:val="TableContents"/>
              <w:bidi w:val="0"/>
              <w:spacing w:before="0" w:after="283"/>
              <w:jc w:val="center"/>
              <w:rPr>
                <w:sz w:val="20"/>
              </w:rPr>
            </w:pPr>
            <w:r>
              <w:rPr>
                <w:sz w:val="20"/>
              </w:rPr>
              <w:t>104</w:t>
            </w:r>
          </w:p>
        </w:tc>
        <w:tc>
          <w:tcPr>
            <w:tcW w:w="60"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c>
          <w:tcPr>
            <w:tcW w:w="9380" w:type="dxa"/>
            <w:tcBorders/>
            <w:vAlign w:val="center"/>
          </w:tcPr>
          <w:p>
            <w:pPr>
              <w:pStyle w:val="TableContents"/>
              <w:bidi w:val="0"/>
              <w:spacing w:before="0" w:after="0"/>
              <w:ind w:left="0" w:right="0" w:hanging="0"/>
              <w:jc w:val="left"/>
              <w:rPr>
                <w:sz w:val="20"/>
              </w:rPr>
            </w:pPr>
            <w:r>
              <w:rPr>
                <w:sz w:val="20"/>
              </w:rPr>
              <w:t>Cover Page Interactive Data File (embedded within the Inline XBRL document)</w:t>
            </w:r>
          </w:p>
          <w:p>
            <w:pPr>
              <w:pStyle w:val="TableContents"/>
              <w:bidi w:val="0"/>
              <w:spacing w:before="0" w:after="0"/>
              <w:ind w:left="0" w:right="0" w:hanging="0"/>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caps/>
          <w:sz w:val="20"/>
        </w:rPr>
      </w:pPr>
      <w:r>
        <w:rPr>
          <w:b/>
          <w:caps/>
          <w:sz w:val="20"/>
        </w:rPr>
        <w:t>SIGNATURE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pPr>
      <w:r>
        <w:rPr/>
        <w:t> </w:t>
      </w:r>
    </w:p>
    <w:tbl>
      <w:tblPr>
        <w:tblW w:w="7974" w:type="dxa"/>
        <w:jc w:val="left"/>
        <w:tblInd w:w="0" w:type="dxa"/>
        <w:tblLayout w:type="fixed"/>
        <w:tblCellMar>
          <w:top w:w="0" w:type="dxa"/>
          <w:left w:w="0" w:type="dxa"/>
          <w:bottom w:w="0" w:type="dxa"/>
          <w:right w:w="0" w:type="dxa"/>
        </w:tblCellMar>
      </w:tblPr>
      <w:tblGrid>
        <w:gridCol w:w="2015"/>
        <w:gridCol w:w="495"/>
        <w:gridCol w:w="5464"/>
      </w:tblGrid>
      <w:tr>
        <w:trPr/>
        <w:tc>
          <w:tcPr>
            <w:tcW w:w="2015"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283"/>
              <w:jc w:val="left"/>
              <w:rPr>
                <w:b/>
                <w:sz w:val="20"/>
              </w:rPr>
            </w:pPr>
            <w:r>
              <w:rPr>
                <w:b/>
                <w:sz w:val="20"/>
              </w:rPr>
              <w:t>NORTHERN TECHNOLOGIES INTERNATIONAL CORPORATION</w:t>
            </w:r>
          </w:p>
        </w:tc>
      </w:tr>
      <w:tr>
        <w:trPr/>
        <w:tc>
          <w:tcPr>
            <w:tcW w:w="2015"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left"/>
              <w:rPr/>
            </w:pPr>
            <w:r>
              <w:rPr/>
              <w:t> </w:t>
            </w:r>
          </w:p>
        </w:tc>
        <w:tc>
          <w:tcPr>
            <w:tcW w:w="5464"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left"/>
              <w:rPr/>
            </w:pPr>
            <w:r>
              <w:rPr/>
              <w:t> </w:t>
            </w:r>
          </w:p>
        </w:tc>
        <w:tc>
          <w:tcPr>
            <w:tcW w:w="5464"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sz w:val="20"/>
              </w:rPr>
            </w:pPr>
            <w:r>
              <w:rPr>
                <w:sz w:val="20"/>
              </w:rPr>
              <w:t>Date: September 8, 2026</w:t>
            </w:r>
          </w:p>
        </w:tc>
        <w:tc>
          <w:tcPr>
            <w:tcW w:w="495" w:type="dxa"/>
            <w:tcBorders/>
            <w:vAlign w:val="center"/>
          </w:tcPr>
          <w:p>
            <w:pPr>
              <w:pStyle w:val="TableContents"/>
              <w:bidi w:val="0"/>
              <w:spacing w:before="0" w:after="283"/>
              <w:jc w:val="left"/>
              <w:rPr>
                <w:sz w:val="20"/>
              </w:rPr>
            </w:pPr>
            <w:r>
              <w:rPr>
                <w:sz w:val="20"/>
              </w:rPr>
              <w:t>By: </w:t>
            </w:r>
          </w:p>
        </w:tc>
        <w:tc>
          <w:tcPr>
            <w:tcW w:w="5464" w:type="dxa"/>
            <w:tcBorders/>
            <w:vAlign w:val="center"/>
          </w:tcPr>
          <w:p>
            <w:pPr>
              <w:pStyle w:val="TableContents"/>
              <w:bidi w:val="0"/>
              <w:spacing w:before="0" w:after="283"/>
              <w:jc w:val="left"/>
              <w:rPr>
                <w:sz w:val="20"/>
                <w:u w:val="single"/>
              </w:rPr>
            </w:pPr>
            <w:r>
              <w:rPr>
                <w:sz w:val="20"/>
                <w:u w:val="single"/>
              </w:rPr>
              <w:t>/s/ Matthew C. Wolsfeld        </w:t>
            </w:r>
          </w:p>
        </w:tc>
      </w:tr>
      <w:tr>
        <w:trPr/>
        <w:tc>
          <w:tcPr>
            <w:tcW w:w="2015"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left"/>
              <w:rPr/>
            </w:pPr>
            <w:r>
              <w:rPr/>
              <w:t> </w:t>
            </w:r>
          </w:p>
        </w:tc>
        <w:tc>
          <w:tcPr>
            <w:tcW w:w="5464" w:type="dxa"/>
            <w:tcBorders/>
            <w:vAlign w:val="center"/>
          </w:tcPr>
          <w:p>
            <w:pPr>
              <w:pStyle w:val="TableContents"/>
              <w:bidi w:val="0"/>
              <w:spacing w:before="0" w:after="283"/>
              <w:jc w:val="left"/>
              <w:rPr>
                <w:sz w:val="20"/>
              </w:rPr>
            </w:pPr>
            <w:r>
              <w:rPr>
                <w:sz w:val="20"/>
              </w:rPr>
              <w:t>Matthew C. Wolsfeld</w:t>
            </w:r>
          </w:p>
        </w:tc>
      </w:tr>
      <w:tr>
        <w:trPr/>
        <w:tc>
          <w:tcPr>
            <w:tcW w:w="2015"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left"/>
              <w:rPr/>
            </w:pPr>
            <w:r>
              <w:rPr/>
              <w:t> </w:t>
            </w:r>
          </w:p>
        </w:tc>
        <w:tc>
          <w:tcPr>
            <w:tcW w:w="5464" w:type="dxa"/>
            <w:tcBorders/>
            <w:vAlign w:val="center"/>
          </w:tcPr>
          <w:p>
            <w:pPr>
              <w:pStyle w:val="TableContents"/>
              <w:bidi w:val="0"/>
              <w:spacing w:before="0" w:after="283"/>
              <w:jc w:val="left"/>
              <w:rPr>
                <w:i/>
                <w:sz w:val="20"/>
              </w:rPr>
            </w:pPr>
            <w:r>
              <w:rPr>
                <w:i/>
                <w:sz w:val="20"/>
              </w:rPr>
              <w:t>Chief Financial Officer and Corporate Secretary</w:t>
            </w:r>
          </w:p>
        </w:tc>
      </w:tr>
      <w:tr>
        <w:trPr/>
        <w:tc>
          <w:tcPr>
            <w:tcW w:w="2015"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left"/>
              <w:rPr/>
            </w:pPr>
            <w:r>
              <w:rPr/>
              <w:t> </w:t>
            </w:r>
          </w:p>
        </w:tc>
        <w:tc>
          <w:tcPr>
            <w:tcW w:w="54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t> </w:t>
      </w:r>
    </w:p>
    <w:p>
      <w:pPr>
        <w:pStyle w:val="TextBody"/>
        <w:bidi w:val="0"/>
        <w:ind w:left="0" w:right="0" w:firstLine="4320"/>
        <w:jc w:val="right"/>
        <w:rPr/>
      </w:pPr>
      <w:bookmarkStart w:id="23" w:name="exh_991.htm"/>
      <w:bookmarkStart w:id="24" w:name="ksexh_991"/>
      <w:bookmarkEnd w:id="23"/>
      <w:bookmarkEnd w:id="24"/>
      <w:r>
        <w:rPr>
          <w:rStyle w:val="StrongEmphasis"/>
        </w:rPr>
        <w:t>EXHIBIT 99.1</w:t>
      </w:r>
      <w:r>
        <w:br w:type="page"/>
      </w:r>
    </w:p>
    <w:p>
      <w:pPr>
        <w:pStyle w:val="TextBody"/>
        <w:bidi w:val="0"/>
        <w:jc w:val="center"/>
        <w:rPr/>
      </w:pPr>
      <w:r>
        <w:rPr>
          <w:rStyle w:val="StrongEmphasis"/>
          <w:sz w:val="28"/>
        </w:rPr>
        <w:t>Northern Technologies International Corporation Announces New President and CEO and Other Key Leadership Appointments</w:t>
      </w:r>
    </w:p>
    <w:p>
      <w:pPr>
        <w:pStyle w:val="TextBody"/>
        <w:bidi w:val="0"/>
        <w:jc w:val="center"/>
        <w:rPr/>
      </w:pPr>
      <w:r>
        <w:rPr>
          <w:rStyle w:val="Emphasis"/>
        </w:rPr>
        <w:t>Gautam Ramdas Appointed President and Chief Executive Officer</w:t>
      </w:r>
    </w:p>
    <w:p>
      <w:pPr>
        <w:pStyle w:val="TextBody"/>
        <w:bidi w:val="0"/>
        <w:jc w:val="center"/>
        <w:rPr/>
      </w:pPr>
      <w:r>
        <w:rPr>
          <w:rStyle w:val="Emphasis"/>
        </w:rPr>
        <w:t>G. Patrick Lynch Named Chairman of the Board</w:t>
      </w:r>
    </w:p>
    <w:p>
      <w:pPr>
        <w:pStyle w:val="TextBody"/>
        <w:bidi w:val="0"/>
        <w:jc w:val="center"/>
        <w:rPr/>
      </w:pPr>
      <w:r>
        <w:rPr>
          <w:rStyle w:val="Emphasis"/>
        </w:rPr>
        <w:t>Brian Haglund Named Chief Operating Officer</w:t>
      </w:r>
    </w:p>
    <w:p>
      <w:pPr>
        <w:pStyle w:val="TextBody"/>
        <w:bidi w:val="0"/>
        <w:spacing w:before="0" w:after="283"/>
        <w:jc w:val="left"/>
        <w:rPr/>
      </w:pPr>
      <w:r>
        <w:rPr/>
        <w:t>MINNEAPOLIS, Sept. 08, 2026 (GLOBE NEWSWIRE) -- Northern Technologies International Corporation (NASDAQ: NTIC), a leading developer of corrosion inhibiting products and services, as well as bio-based and biodegradable polymer resin compounds, today announced a series of leadership changes as part of its management succession planning.</w:t>
      </w:r>
    </w:p>
    <w:p>
      <w:pPr>
        <w:pStyle w:val="TextBody"/>
        <w:bidi w:val="0"/>
        <w:spacing w:before="0" w:after="283"/>
        <w:jc w:val="left"/>
        <w:rPr/>
      </w:pPr>
      <w:r>
        <w:rPr/>
        <w:t>Effective September 4, 2026, the NTIC Board of Directors elected Gautam Ramdas as President and Chief Executive Officer, succeeding G. Patrick Lynch who was named Chairman of the Board. Mr. Ramdas also was elected as a member of NTIC’s Board of Directors. Richard Nigon, NTIC’s former Chairman of the Board, has been appointed lead independent director. Brian Haglund, NTIC’s former Vice President of Operations – North America, has been promoted to Chief Operating Officer.</w:t>
      </w:r>
    </w:p>
    <w:p>
      <w:pPr>
        <w:pStyle w:val="TextBody"/>
        <w:bidi w:val="0"/>
        <w:spacing w:before="0" w:after="283"/>
        <w:jc w:val="left"/>
        <w:rPr/>
      </w:pPr>
      <w:r>
        <w:rPr/>
        <w:t>“</w:t>
      </w:r>
      <w:r>
        <w:rPr/>
        <w:t>These appointments reflect the depth of leadership talent Patrick has developed at NTIC over two decades and position NTIC to capitalize on the significant opportunities we see ahead,” said Richard Nigon, lead independent director of NTIC. “Patrick’s transition to Chairman of the Board, while remaining as an employee of NTIC to assist with the transition, will allow him to focus on long-term strategy, key growth initiatives, and supporting Gautam in his new leadership role. At the same time, elevating Gautam and Brian into these critical roles gives us proven leaders with deep operational expertise to drive execution across our businesses. We are confident that this new executive team, led by Gautam as President and Chief Executive Officer, has the experience and vision to take NTIC to its next level of performance.”</w:t>
      </w:r>
    </w:p>
    <w:p>
      <w:pPr>
        <w:pStyle w:val="TextBody"/>
        <w:bidi w:val="0"/>
        <w:spacing w:before="0" w:after="283"/>
        <w:jc w:val="left"/>
        <w:rPr/>
      </w:pPr>
      <w:r>
        <w:rPr/>
        <w:t>“</w:t>
      </w:r>
      <w:r>
        <w:rPr/>
        <w:t>NTIC has built market-leading capabilities in corrosion prevention and sustainable materials, serving customers in more than 65 countries,” said G. Patrick Lynch, Chairman of the Board of NTIC. “Gautam and Brian have been instrumental in our success --- Gautam driving our global market development and oil and gas expansion, and Brian transforming our North American operations. By elevating them into these roles, we are strengthening our ability to execute on multiple fronts simultaneously and pursue growth opportunities more aggressively. I am confident this team will accelerate our progress and deliver value for stockholders.”</w:t>
      </w:r>
    </w:p>
    <w:p>
      <w:pPr>
        <w:pStyle w:val="TextBody"/>
        <w:bidi w:val="0"/>
        <w:spacing w:before="0" w:after="283"/>
        <w:jc w:val="left"/>
        <w:rPr/>
      </w:pPr>
      <w:r>
        <w:rPr>
          <w:rStyle w:val="StrongEmphasis"/>
        </w:rPr>
        <w:t xml:space="preserve">G. Patrick Lynch, Chairman of the Board </w:t>
      </w:r>
    </w:p>
    <w:p>
      <w:pPr>
        <w:pStyle w:val="TextBody"/>
        <w:bidi w:val="0"/>
        <w:spacing w:before="0" w:after="283"/>
        <w:jc w:val="left"/>
        <w:rPr/>
      </w:pPr>
      <w:r>
        <w:rPr/>
        <w:t>Mr. Lynch has been with NTIC since 1995. He served as President from July 2005 to September 2026 and Chief Executive Officer from January 2006 to September 2026 and has served as a director since February 2004. He holds an MBA from the University of Michigan Ross School of Business.</w:t>
      </w:r>
    </w:p>
    <w:p>
      <w:pPr>
        <w:pStyle w:val="TextBody"/>
        <w:bidi w:val="0"/>
        <w:spacing w:before="0" w:after="283"/>
        <w:jc w:val="left"/>
        <w:rPr/>
      </w:pPr>
      <w:r>
        <w:rPr>
          <w:rStyle w:val="StrongEmphasis"/>
        </w:rPr>
        <w:t>Gautam Ramdas, President and Chief Executive Officer</w:t>
      </w:r>
    </w:p>
    <w:p>
      <w:pPr>
        <w:pStyle w:val="TextBody"/>
        <w:bidi w:val="0"/>
        <w:spacing w:before="0" w:after="283"/>
        <w:jc w:val="left"/>
        <w:rPr/>
      </w:pPr>
      <w:r>
        <w:rPr/>
        <w:t>Mr. Ramdas has been with NTIC since 2005, most recently serving as Vice President of Zerust® Integrity Solutions, and before that position, Vice President and Director – Global Market Development – Oil &amp; Gas. He previously held consulting roles at IBM Business Consulting Services and PricewaterhouseCoopers Management Consulting. He holds an MBA from the University of Michigan Ross School of Business and a B.S. in Mechanical Engineering from the College of Engineering, Guindy in Chennai, India.</w:t>
      </w:r>
    </w:p>
    <w:p>
      <w:pPr>
        <w:pStyle w:val="TextBody"/>
        <w:bidi w:val="0"/>
        <w:spacing w:before="0" w:after="283"/>
        <w:jc w:val="left"/>
        <w:rPr/>
      </w:pPr>
      <w:r>
        <w:rPr>
          <w:rStyle w:val="StrongEmphasis"/>
        </w:rPr>
        <w:t xml:space="preserve">Brian Haglund, Chief Operating Officer </w:t>
      </w:r>
    </w:p>
    <w:p>
      <w:pPr>
        <w:pStyle w:val="TextBody"/>
        <w:bidi w:val="0"/>
        <w:spacing w:before="0" w:after="283"/>
        <w:jc w:val="left"/>
        <w:rPr/>
      </w:pPr>
      <w:r>
        <w:rPr/>
        <w:t>Mr. Haglund has been with NTIC since 2018, most recently serving as Vice President of Operations – North America. He previously held leadership roles at Textron, a Fortune 500 industrial conglomerate, where he led global operations and manufacturing facilities in the U.S., China, and Germany. He holds an MBA in Finance from the Miller College of Business at Ball State University and a B.A. in Supply Chain Management from the Eli Broad College of Business at Michigan State University.</w:t>
      </w:r>
    </w:p>
    <w:p>
      <w:pPr>
        <w:pStyle w:val="TextBody"/>
        <w:bidi w:val="0"/>
        <w:spacing w:before="0" w:after="283"/>
        <w:jc w:val="left"/>
        <w:rPr/>
      </w:pPr>
      <w:r>
        <w:rPr>
          <w:rStyle w:val="StrongEmphasis"/>
        </w:rPr>
        <w:t>About Northern Technologies International Corporation</w:t>
      </w:r>
      <w:r>
        <w:rPr/>
        <w:t>  </w:t>
      </w:r>
    </w:p>
    <w:p>
      <w:pPr>
        <w:pStyle w:val="TextBody"/>
        <w:bidi w:val="0"/>
        <w:spacing w:before="0" w:after="283"/>
        <w:jc w:val="left"/>
        <w:rPr/>
      </w:pPr>
      <w:r>
        <w:rPr/>
        <w:t>Northern Technologies International Corporation develops and markets proprietary, environmentally beneficial products and services in over 65 countries either directly or via a network of subsidiaries, joint ventures, independent distributors and agents. NTIC’s primary business is corrosion prevention marketed mainly under the ZERUST® brand. NTIC has been selling its proprietary ZERUST® rust and corrosion inhibiting products and services to the automotive, general industrial, mechanical, mining, agricultural, and retail consumer markets for over 50 years and, more recently, has also expanded into the oil and gas industry. NTIC offers worldwide on-site technical consulting for rust and corrosion prevention issues. NTIC’s technical service consultants work directly with the end users of NTIC’s products to analyze their specific needs and develop systems to meet their technical requirements. NTIC also markets and sells a portfolio of bio-based and biodegradable polymer resin compounds and finished products marketed under the Natur-Tec® brand.</w:t>
      </w:r>
    </w:p>
    <w:p>
      <w:pPr>
        <w:pStyle w:val="TextBody"/>
        <w:bidi w:val="0"/>
        <w:spacing w:before="0" w:after="283"/>
        <w:jc w:val="left"/>
        <w:rPr/>
      </w:pPr>
      <w:r>
        <w:rPr>
          <w:rStyle w:val="StrongEmphasis"/>
        </w:rPr>
        <w:t xml:space="preserve">Forward-Looking Statements </w:t>
      </w:r>
    </w:p>
    <w:p>
      <w:pPr>
        <w:pStyle w:val="TextBody"/>
        <w:bidi w:val="0"/>
        <w:spacing w:before="0" w:after="283"/>
        <w:jc w:val="left"/>
        <w:rPr/>
      </w:pPr>
      <w:r>
        <w:rPr>
          <w:rStyle w:val="Emphasis"/>
        </w:rPr>
        <w:t>Statements contained in this release that are not historical information are forward-looking statements within the meaning of the Private Securities Litigation Reform Act of 1995. Such statements include NTIC’s beliefs that the recent leadership changes will take NTIC to its next level of performance and accelerate NTIC’s progress and deliver value for NTIC’s stockholders, and other statements that can be identified by words such as “believes,” “continues,” “expects,” “anticipates,” “intends,” “potential,” “will,” “may,” “would,” “should,” or words of similar meaning, and the use of future dates. Such forward-looking statements are based upon the current beliefs and expectations of NTIC’s management and are inherently subject to risks and uncertainties that could cause actual results to differ materially from those projected or implied. Such potential risks and uncertainties include, but are not limited to, in no particular order: risks associated with leadership changes; the effect of the U.S.-Israel-Iran conflict, which has had immediate and substantial effects on global trade, energy markets and financial markets; risks associated with international operations, including NTIC China, exposure to exchange rate fluctuations, tariffs, trade disputes and changes to trade regulation; the health of the U.S. and worldwide economies, including in particular the U.S. automotive industry, decreased exports of automotive products resulting from tariffs between the U.S. and both Mexico and Canada and the evolution towards electric vehicles; the effect of economic uncertainty, recessionary indicators, inflation, increased interest rates and turmoil in the global credit, financial and banking markets or perception thereof; effect of supply chain disruptions; the effect of initiatives to improve gross margin and profitability, including expanding sales of ZERUST® oil and gas solutions and broadening Natur-Tec® applications globally; the risk that the Beachwood facility sale will not be completed or will result in different than anticipated proceeds to NTIC; NTIC’s dependence on its joint ventures, relationships with joint venture partners and their success, including fees and dividend distributions; effect of economic slowdown and political unrest, including the war between Russia and Ukraine and the conflicts in the Middle East; the level of growth in NTIC’s markets; NTIC’s investments in research and development efforts; acceptance of existing and new products; timing of purchase orders under supply contracts; variability in sales to oil and gas customers and effect on quarterly financial results; increased competition; costs and effects of complying with changes in tax, fiscal, government and other regulatory policies, and rules relating to environmental, health and safety matters; and NTIC’s reliance on its intellectual property rights and the absence of infringement of the intellectual property rights of others. More detailed information on these and additional factors which could affect NTIC’s operating and financial results is described in NTIC’s filings with the Securities and Exchange Commission (SEC), including its annual report on Form 10-K for the fiscal year ended August 31, 2025 and subsequent quarterly reports on Form 10-Q. NTIC urges all interested parties to read these reports to gain a better understanding of the many business and other risks that it faces. Additionally, NTIC undertakes no obligation to publicly release the results of any revisions to these forward-looking statements, which may be made to reflect events or circumstances occurring after the date hereof or to reflect the occurrence of unanticipated events.</w:t>
      </w:r>
    </w:p>
    <w:p>
      <w:pPr>
        <w:pStyle w:val="TextBody"/>
        <w:bidi w:val="0"/>
        <w:spacing w:before="0" w:after="283"/>
        <w:jc w:val="left"/>
        <w:rPr/>
      </w:pPr>
      <w:r>
        <w:rPr>
          <w:rStyle w:val="StrongEmphasis"/>
        </w:rPr>
        <w:t>Investor and Media Contact:</w:t>
      </w:r>
      <w:r>
        <w:rPr/>
        <w:br/>
        <w:t>Matthew Wolsfeld, CFO</w:t>
        <w:br/>
        <w:t>NTIC</w:t>
        <w:br/>
        <w:t>(763) 225-6600</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75582/000117184324000312/exh_103.htm" TargetMode="External"/><Relationship Id="rId3" Type="http://schemas.openxmlformats.org/officeDocument/2006/relationships/hyperlink" Target="https://www.sec.gov/Archives/edgar/data/875582/000117184324000312/exh_103.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2912</Words>
  <Characters>16417</Characters>
  <CharactersWithSpaces>19324</CharactersWithSpaces>
  <Paragraphs>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