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16, 2026</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NORTHERN TECHNOLOGIES INTERNATIONAL CORPORATION</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1"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b w:val="1"/>
          <w:bCs w:val="1"/>
          <w:color w:val="auto"/>
        </w:rPr>
        <w:t>001-11038</w:t>
      </w:r>
    </w:p>
    <w:p>
      <w:pPr>
        <w:spacing w:after="0" w:line="31"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76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41-0857886</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40" w:space="720"/>
            <w:col w:w="2740" w:space="720"/>
            <w:col w:w="2520"/>
          </w:cols>
          <w:pgMar w:left="320" w:top="225" w:right="339" w:bottom="1440" w:gutter="0" w:footer="0" w:header="0"/>
          <w:type w:val="continuous"/>
        </w:sectPr>
      </w:pPr>
    </w:p>
    <w:p>
      <w:pPr>
        <w:spacing w:after="0" w:line="3"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4201 Woodland Road</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P.O. Box 69</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Circle Pines, Minnesota</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55014</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(763) 225-6600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540" w:firstLine="8"/>
        <w:spacing w:after="0" w:line="511" w:lineRule="auto"/>
        <w:tabs>
          <w:tab w:leader="none" w:pos="64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$0.02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NTIC</w:t>
            </w:r>
          </w:p>
        </w:tc>
        <w:tc>
          <w:tcPr>
            <w:tcW w:w="4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On January 16, 2026, Northern Technologies International Corporation (the “Company”) held an Annual Meeting of Stockholders (the “2026 Annual Meeting”). As of the close of business on November 18, 2025, the record date for the 2026 Annual Meeting, there were 9,480,688 shares of common stock outstanding and entitled to vote at the 2026 Annual Meeting. Each share of common stock was entitled to one vote. Stockholders holding an aggregate of 6,264,094 shares of common stock entitled to vote at the 2026 Annual Meeting, representing 66.07% of the outstanding shares of common stock as of the record date, and which constituted a quorum thereof, were present in person or represented by proxy at the 2026 Annual Meeting.</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At the 2026 Annual Meeting, the Company’s stockholders considered four proposals, each of which is set forth below and described in more detail in the Company’s definitive proxy statement for the 2026 Annual Meeting filed with the Securities and Exchange Commission on December 1, 2025.</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final results of the stockholder vote at the 2026 Annual Meeting on each proposal brought before the Company’s stockholders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One </w:t>
            </w:r>
            <w:r>
              <w:rPr>
                <w:rFonts w:ascii="Times New Roman" w:cs="Times New Roman" w:eastAsia="Times New Roman" w:hAnsi="Times New Roman"/>
                <w:sz w:val="18"/>
                <w:szCs w:val="18"/>
                <w:color w:val="auto"/>
              </w:rPr>
              <w:t>-</w:t>
            </w:r>
          </w:p>
        </w:tc>
        <w:tc>
          <w:tcPr>
            <w:tcW w:w="94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The eight director nominees proposed by the Board of Directors were elected to serve as members of the Board of Directors</w:t>
            </w:r>
          </w:p>
        </w:tc>
      </w:tr>
      <w:tr>
        <w:trPr>
          <w:trHeight w:val="216"/>
        </w:trPr>
        <w:tc>
          <w:tcPr>
            <w:tcW w:w="1840" w:type="dxa"/>
            <w:vAlign w:val="bottom"/>
          </w:tcPr>
          <w:p>
            <w:pPr>
              <w:spacing w:after="0"/>
              <w:rPr>
                <w:sz w:val="18"/>
                <w:szCs w:val="18"/>
                <w:color w:val="auto"/>
              </w:rPr>
            </w:pPr>
          </w:p>
        </w:tc>
        <w:tc>
          <w:tcPr>
            <w:tcW w:w="94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until the next annual meeting of stockholders and until their respective successors have been duly elected and qualified by the</w:t>
            </w:r>
          </w:p>
        </w:tc>
      </w:tr>
      <w:tr>
        <w:trPr>
          <w:trHeight w:val="234"/>
        </w:trPr>
        <w:tc>
          <w:tcPr>
            <w:tcW w:w="1840" w:type="dxa"/>
            <w:vAlign w:val="bottom"/>
          </w:tcPr>
          <w:p>
            <w:pPr>
              <w:spacing w:after="0"/>
              <w:rPr>
                <w:sz w:val="20"/>
                <w:szCs w:val="20"/>
                <w:color w:val="auto"/>
              </w:rPr>
            </w:pPr>
          </w:p>
        </w:tc>
        <w:tc>
          <w:tcPr>
            <w:tcW w:w="2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following final voting results:</w:t>
            </w: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2"/>
        </w:trPr>
        <w:tc>
          <w:tcPr>
            <w:tcW w:w="18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2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00" w:type="dxa"/>
            <w:vAlign w:val="bottom"/>
          </w:tcPr>
          <w:p>
            <w:pPr>
              <w:spacing w:after="0"/>
              <w:rPr>
                <w:sz w:val="24"/>
                <w:szCs w:val="24"/>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Withheld</w:t>
            </w:r>
          </w:p>
        </w:tc>
        <w:tc>
          <w:tcPr>
            <w:tcW w:w="100" w:type="dxa"/>
            <w:vAlign w:val="bottom"/>
          </w:tcPr>
          <w:p>
            <w:pPr>
              <w:spacing w:after="0"/>
              <w:rPr>
                <w:sz w:val="24"/>
                <w:szCs w:val="24"/>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Nancy E. Calderon</w:t>
            </w:r>
          </w:p>
        </w:tc>
        <w:tc>
          <w:tcPr>
            <w:tcW w:w="2440" w:type="dxa"/>
            <w:vAlign w:val="bottom"/>
            <w:shd w:val="clear" w:color="auto" w:fill="CCEEFF"/>
          </w:tcPr>
          <w:p>
            <w:pPr>
              <w:spacing w:after="0"/>
              <w:rPr>
                <w:sz w:val="18"/>
                <w:szCs w:val="18"/>
                <w:color w:val="auto"/>
              </w:rPr>
            </w:pPr>
          </w:p>
        </w:tc>
        <w:tc>
          <w:tcPr>
            <w:tcW w:w="2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4,869,373</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15,436</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Sarah E. Kemp</w:t>
            </w:r>
          </w:p>
        </w:tc>
        <w:tc>
          <w:tcPr>
            <w:tcW w:w="2440" w:type="dxa"/>
            <w:vAlign w:val="bottom"/>
          </w:tcPr>
          <w:p>
            <w:pPr>
              <w:spacing w:after="0"/>
              <w:rPr>
                <w:sz w:val="18"/>
                <w:szCs w:val="18"/>
                <w:color w:val="auto"/>
              </w:rPr>
            </w:pPr>
          </w:p>
        </w:tc>
        <w:tc>
          <w:tcPr>
            <w:tcW w:w="2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4,871,320</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13,489</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Sunggyu Lee, Ph.D.</w:t>
            </w:r>
          </w:p>
        </w:tc>
        <w:tc>
          <w:tcPr>
            <w:tcW w:w="2440" w:type="dxa"/>
            <w:vAlign w:val="bottom"/>
            <w:shd w:val="clear" w:color="auto" w:fill="CCEEFF"/>
          </w:tcPr>
          <w:p>
            <w:pPr>
              <w:spacing w:after="0"/>
              <w:rPr>
                <w:sz w:val="18"/>
                <w:szCs w:val="18"/>
                <w:color w:val="auto"/>
              </w:rPr>
            </w:pPr>
          </w:p>
        </w:tc>
        <w:tc>
          <w:tcPr>
            <w:tcW w:w="2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4,846,659</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38,150</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G. Patrick Lynch</w:t>
            </w:r>
          </w:p>
        </w:tc>
        <w:tc>
          <w:tcPr>
            <w:tcW w:w="2440" w:type="dxa"/>
            <w:vAlign w:val="bottom"/>
          </w:tcPr>
          <w:p>
            <w:pPr>
              <w:spacing w:after="0"/>
              <w:rPr>
                <w:sz w:val="18"/>
                <w:szCs w:val="18"/>
                <w:color w:val="auto"/>
              </w:rPr>
            </w:pPr>
          </w:p>
        </w:tc>
        <w:tc>
          <w:tcPr>
            <w:tcW w:w="2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4,871,210</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13,599</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Ramani Narayan, Ph.D.</w:t>
            </w:r>
          </w:p>
        </w:tc>
        <w:tc>
          <w:tcPr>
            <w:tcW w:w="2440" w:type="dxa"/>
            <w:vAlign w:val="bottom"/>
            <w:shd w:val="clear" w:color="auto" w:fill="CCEEFF"/>
          </w:tcPr>
          <w:p>
            <w:pPr>
              <w:spacing w:after="0"/>
              <w:rPr>
                <w:sz w:val="18"/>
                <w:szCs w:val="18"/>
                <w:color w:val="auto"/>
              </w:rPr>
            </w:pPr>
          </w:p>
        </w:tc>
        <w:tc>
          <w:tcPr>
            <w:tcW w:w="2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4,872,936</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11,873</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Richard J. Nigon</w:t>
            </w:r>
          </w:p>
        </w:tc>
        <w:tc>
          <w:tcPr>
            <w:tcW w:w="2440" w:type="dxa"/>
            <w:vAlign w:val="bottom"/>
          </w:tcPr>
          <w:p>
            <w:pPr>
              <w:spacing w:after="0"/>
              <w:rPr>
                <w:sz w:val="18"/>
                <w:szCs w:val="18"/>
                <w:color w:val="auto"/>
              </w:rPr>
            </w:pPr>
          </w:p>
        </w:tc>
        <w:tc>
          <w:tcPr>
            <w:tcW w:w="2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4,870,619</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14,190</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16"/>
        </w:trPr>
        <w:tc>
          <w:tcPr>
            <w:tcW w:w="1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Cristina Pinho</w:t>
            </w:r>
          </w:p>
        </w:tc>
        <w:tc>
          <w:tcPr>
            <w:tcW w:w="2440" w:type="dxa"/>
            <w:vAlign w:val="bottom"/>
            <w:shd w:val="clear" w:color="auto" w:fill="CCEEFF"/>
          </w:tcPr>
          <w:p>
            <w:pPr>
              <w:spacing w:after="0"/>
              <w:rPr>
                <w:sz w:val="18"/>
                <w:szCs w:val="18"/>
                <w:color w:val="auto"/>
              </w:rPr>
            </w:pPr>
          </w:p>
        </w:tc>
        <w:tc>
          <w:tcPr>
            <w:tcW w:w="2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4,869,193</w:t>
            </w:r>
          </w:p>
        </w:tc>
        <w:tc>
          <w:tcPr>
            <w:tcW w:w="23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15,616</w:t>
            </w:r>
          </w:p>
        </w:tc>
        <w:tc>
          <w:tcPr>
            <w:tcW w:w="23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r>
        <w:trPr>
          <w:trHeight w:val="234"/>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Konstantin von Falkenhausen</w:t>
            </w:r>
          </w:p>
        </w:tc>
        <w:tc>
          <w:tcPr>
            <w:tcW w:w="226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4,869,717</w:t>
            </w:r>
          </w:p>
        </w:tc>
        <w:tc>
          <w:tcPr>
            <w:tcW w:w="23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15,092</w:t>
            </w:r>
          </w:p>
        </w:tc>
        <w:tc>
          <w:tcPr>
            <w:tcW w:w="23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1,379,285</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Two </w:t>
            </w:r>
            <w:r>
              <w:rPr>
                <w:rFonts w:ascii="Times New Roman" w:cs="Times New Roman" w:eastAsia="Times New Roman" w:hAnsi="Times New Roman"/>
                <w:sz w:val="18"/>
                <w:szCs w:val="18"/>
                <w:color w:val="auto"/>
              </w:rPr>
              <w:t>-</w:t>
            </w:r>
          </w:p>
        </w:tc>
        <w:tc>
          <w:tcPr>
            <w:tcW w:w="9380" w:type="dxa"/>
            <w:vAlign w:val="bottom"/>
            <w:gridSpan w:val="17"/>
          </w:tcPr>
          <w:p>
            <w:pPr>
              <w:ind w:left="100"/>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as disclosed in the Company’s proxy statement, was approved,</w:t>
            </w:r>
          </w:p>
        </w:tc>
      </w:tr>
      <w:tr>
        <w:trPr>
          <w:trHeight w:val="234"/>
        </w:trPr>
        <w:tc>
          <w:tcPr>
            <w:tcW w:w="1860" w:type="dxa"/>
            <w:vAlign w:val="bottom"/>
          </w:tcPr>
          <w:p>
            <w:pPr>
              <w:spacing w:after="0"/>
              <w:rPr>
                <w:sz w:val="20"/>
                <w:szCs w:val="20"/>
                <w:color w:val="auto"/>
              </w:rPr>
            </w:pPr>
          </w:p>
        </w:tc>
        <w:tc>
          <w:tcPr>
            <w:tcW w:w="45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on an advisory basis, by the following final voting results: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8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18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4,793,021</w:t>
            </w:r>
          </w:p>
        </w:tc>
        <w:tc>
          <w:tcPr>
            <w:tcW w:w="27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44,750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47,038</w:t>
            </w:r>
          </w:p>
        </w:tc>
        <w:tc>
          <w:tcPr>
            <w:tcW w:w="2800" w:type="dxa"/>
            <w:vAlign w:val="bottom"/>
            <w:gridSpan w:val="4"/>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1,379,285</w:t>
            </w:r>
          </w:p>
        </w:tc>
      </w:tr>
      <w:tr>
        <w:trPr>
          <w:trHeight w:val="414"/>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Three </w:t>
            </w:r>
            <w:r>
              <w:rPr>
                <w:rFonts w:ascii="Times New Roman" w:cs="Times New Roman" w:eastAsia="Times New Roman" w:hAnsi="Times New Roman"/>
                <w:sz w:val="18"/>
                <w:szCs w:val="18"/>
                <w:color w:val="auto"/>
              </w:rPr>
              <w:t>-</w:t>
            </w:r>
          </w:p>
        </w:tc>
        <w:tc>
          <w:tcPr>
            <w:tcW w:w="9380" w:type="dxa"/>
            <w:vAlign w:val="bottom"/>
            <w:gridSpan w:val="17"/>
          </w:tcPr>
          <w:p>
            <w:pPr>
              <w:ind w:left="100"/>
              <w:spacing w:after="0"/>
              <w:rPr>
                <w:sz w:val="20"/>
                <w:szCs w:val="20"/>
                <w:color w:val="auto"/>
              </w:rPr>
            </w:pPr>
            <w:r>
              <w:rPr>
                <w:rFonts w:ascii="Times New Roman" w:cs="Times New Roman" w:eastAsia="Times New Roman" w:hAnsi="Times New Roman"/>
                <w:sz w:val="18"/>
                <w:szCs w:val="18"/>
                <w:color w:val="auto"/>
              </w:rPr>
              <w:t>A frequency of every one year for future advisory votes on executive compensation was approved, on an advisory basis, by the</w:t>
            </w:r>
          </w:p>
        </w:tc>
      </w:tr>
      <w:tr>
        <w:trPr>
          <w:trHeight w:val="234"/>
        </w:trPr>
        <w:tc>
          <w:tcPr>
            <w:tcW w:w="1860" w:type="dxa"/>
            <w:vAlign w:val="bottom"/>
          </w:tcPr>
          <w:p>
            <w:pPr>
              <w:spacing w:after="0"/>
              <w:rPr>
                <w:sz w:val="20"/>
                <w:szCs w:val="20"/>
                <w:color w:val="auto"/>
              </w:rPr>
            </w:pPr>
          </w:p>
        </w:tc>
        <w:tc>
          <w:tcPr>
            <w:tcW w:w="458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9"/>
              </w:rPr>
              <w:t>Company’s stockholders by the following final voting results: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59"/>
        </w:trPr>
        <w:tc>
          <w:tcPr>
            <w:tcW w:w="186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One Year</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5"/>
              </w:rPr>
              <w:t>Two Years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9"/>
        </w:trPr>
        <w:tc>
          <w:tcPr>
            <w:tcW w:w="18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4,389,578</w:t>
            </w: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57,309</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381,112</w:t>
            </w:r>
          </w:p>
        </w:tc>
        <w:tc>
          <w:tcPr>
            <w:tcW w:w="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56,810</w:t>
            </w:r>
          </w:p>
        </w:tc>
        <w:tc>
          <w:tcPr>
            <w:tcW w:w="560" w:type="dxa"/>
            <w:vAlign w:val="bottom"/>
            <w:tcBorders>
              <w:top w:val="single" w:sz="8" w:color="auto"/>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1,379,285</w:t>
            </w:r>
          </w:p>
        </w:tc>
      </w:tr>
      <w:tr>
        <w:trPr>
          <w:trHeight w:val="414"/>
        </w:trPr>
        <w:tc>
          <w:tcPr>
            <w:tcW w:w="1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Proposal Four </w:t>
            </w:r>
            <w:r>
              <w:rPr>
                <w:rFonts w:ascii="Times New Roman" w:cs="Times New Roman" w:eastAsia="Times New Roman" w:hAnsi="Times New Roman"/>
                <w:sz w:val="18"/>
                <w:szCs w:val="18"/>
                <w:color w:val="auto"/>
              </w:rPr>
              <w:t>-</w:t>
            </w:r>
          </w:p>
        </w:tc>
        <w:tc>
          <w:tcPr>
            <w:tcW w:w="9380" w:type="dxa"/>
            <w:vAlign w:val="bottom"/>
            <w:gridSpan w:val="17"/>
          </w:tcPr>
          <w:p>
            <w:pPr>
              <w:ind w:left="100"/>
              <w:spacing w:after="0"/>
              <w:rPr>
                <w:sz w:val="20"/>
                <w:szCs w:val="20"/>
                <w:color w:val="auto"/>
              </w:rPr>
            </w:pPr>
            <w:r>
              <w:rPr>
                <w:rFonts w:ascii="Times New Roman" w:cs="Times New Roman" w:eastAsia="Times New Roman" w:hAnsi="Times New Roman"/>
                <w:sz w:val="18"/>
                <w:szCs w:val="18"/>
                <w:color w:val="auto"/>
              </w:rPr>
              <w:t>The ratification of the appointment of Baker Tilly US, LLP as the Company’s independent registered public accounting firm for</w:t>
            </w:r>
          </w:p>
        </w:tc>
      </w:tr>
      <w:tr>
        <w:trPr>
          <w:trHeight w:val="234"/>
        </w:trPr>
        <w:tc>
          <w:tcPr>
            <w:tcW w:w="1860" w:type="dxa"/>
            <w:vAlign w:val="bottom"/>
          </w:tcPr>
          <w:p>
            <w:pPr>
              <w:spacing w:after="0"/>
              <w:rPr>
                <w:sz w:val="20"/>
                <w:szCs w:val="20"/>
                <w:color w:val="auto"/>
              </w:rPr>
            </w:pPr>
          </w:p>
        </w:tc>
        <w:tc>
          <w:tcPr>
            <w:tcW w:w="6580" w:type="dxa"/>
            <w:vAlign w:val="bottom"/>
            <w:gridSpan w:val="13"/>
          </w:tcPr>
          <w:p>
            <w:pPr>
              <w:ind w:left="100"/>
              <w:spacing w:after="0"/>
              <w:rPr>
                <w:sz w:val="20"/>
                <w:szCs w:val="20"/>
                <w:color w:val="auto"/>
              </w:rPr>
            </w:pPr>
            <w:r>
              <w:rPr>
                <w:rFonts w:ascii="Times New Roman" w:cs="Times New Roman" w:eastAsia="Times New Roman" w:hAnsi="Times New Roman"/>
                <w:sz w:val="18"/>
                <w:szCs w:val="18"/>
                <w:color w:val="auto"/>
                <w:w w:val="99"/>
              </w:rPr>
              <w:t>the fiscal year ending August 31, 2026 was approved by the following final voting results: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32"/>
        </w:trPr>
        <w:tc>
          <w:tcPr>
            <w:tcW w:w="18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18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6,255,908</w:t>
            </w:r>
          </w:p>
        </w:tc>
        <w:tc>
          <w:tcPr>
            <w:tcW w:w="26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6,558</w:t>
            </w:r>
          </w:p>
        </w:tc>
        <w:tc>
          <w:tcPr>
            <w:tcW w:w="2800" w:type="dxa"/>
            <w:vAlign w:val="bottom"/>
            <w:gridSpan w:val="4"/>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Consistent with the advisory vote on Proposal Three - Advisory Vote on the Frequency of Future Advisory Votes on Executive Compensation, the Company’s Board of Directors determined that the Company will continue to conduct an executive compensation advisory vote, or say-on-pay vote, every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NORTHERN TECHNOLOGIES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INTERNATIONAL CORPORATION</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C. Wolsfeld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Matthew C. Wolsfeld</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Chief Financial Officer and 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2026</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2026-01-16T15:07:05Z</dcterms:created>
  <dcterms:modified xsi:type="dcterms:W3CDTF">2026-01-16T15:07:05Z</dcterms:modified>
</cp:coreProperties>
</file>