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4040" w:right="2240" w:hanging="4032"/>
        <w:spacing w:after="0" w:line="495"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2020</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NORTHERN TECHNOLOGIES INTERNATIONAL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6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spacing w:after="0"/>
              <w:rPr>
                <w:sz w:val="19"/>
                <w:szCs w:val="19"/>
                <w:color w:val="auto"/>
              </w:rPr>
            </w:pPr>
          </w:p>
        </w:tc>
        <w:tc>
          <w:tcPr>
            <w:tcW w:w="452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6720" w:type="dxa"/>
            <w:vAlign w:val="bottom"/>
            <w:gridSpan w:val="3"/>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520" w:type="dxa"/>
            <w:vAlign w:val="bottom"/>
            <w:gridSpan w:val="2"/>
          </w:tcPr>
          <w:p>
            <w:pPr>
              <w:jc w:val="center"/>
              <w:ind w:right="1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6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0"/>
              </w:rPr>
              <w:t>4201 Woodland Road</w:t>
            </w: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460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9"/>
              </w:rPr>
              <w:t>P.O. Box 69</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20"/>
        </w:trPr>
        <w:tc>
          <w:tcPr>
            <w:tcW w:w="460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90"/>
              </w:rPr>
              <w:t>Circle Pines, Minnesota</w:t>
            </w:r>
          </w:p>
        </w:tc>
        <w:tc>
          <w:tcPr>
            <w:tcW w:w="2120" w:type="dxa"/>
            <w:vAlign w:val="bottom"/>
          </w:tcPr>
          <w:p>
            <w:pPr>
              <w:spacing w:after="0"/>
              <w:rPr>
                <w:sz w:val="19"/>
                <w:szCs w:val="19"/>
                <w:color w:val="auto"/>
              </w:rPr>
            </w:pPr>
          </w:p>
        </w:tc>
        <w:tc>
          <w:tcPr>
            <w:tcW w:w="452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55014</w:t>
            </w:r>
          </w:p>
        </w:tc>
      </w:tr>
      <w:tr>
        <w:trPr>
          <w:trHeight w:val="230"/>
        </w:trPr>
        <w:tc>
          <w:tcPr>
            <w:tcW w:w="460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700" w:type="dxa"/>
            <w:vAlign w:val="bottom"/>
          </w:tcPr>
          <w:p>
            <w:pPr>
              <w:jc w:val="center"/>
              <w:ind w:right="1830"/>
              <w:spacing w:after="0"/>
              <w:rPr>
                <w:sz w:val="20"/>
                <w:szCs w:val="20"/>
                <w:color w:val="auto"/>
              </w:rPr>
            </w:pPr>
            <w:r>
              <w:rPr>
                <w:rFonts w:ascii="Arial" w:cs="Arial" w:eastAsia="Arial" w:hAnsi="Arial"/>
                <w:sz w:val="18"/>
                <w:szCs w:val="18"/>
                <w:color w:val="auto"/>
                <w:w w:val="91"/>
              </w:rPr>
              <w:t>(Zip Code)</w:t>
            </w:r>
          </w:p>
        </w:tc>
      </w:tr>
      <w:tr>
        <w:trPr>
          <w:trHeight w:val="418"/>
        </w:trPr>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(763) 225-6600</w:t>
            </w:r>
          </w:p>
        </w:tc>
        <w:tc>
          <w:tcPr>
            <w:tcW w:w="8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8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8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$0.02 per share</w:t>
            </w:r>
          </w:p>
        </w:tc>
        <w:tc>
          <w:tcPr>
            <w:tcW w:w="8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NTIC</w:t>
            </w:r>
          </w:p>
        </w:tc>
        <w:tc>
          <w:tcPr>
            <w:tcW w:w="8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1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0" w:gutter="0" w:footer="0" w:header="0"/>
        </w:sectPr>
      </w:pPr>
    </w:p>
    <w:p>
      <w:pPr>
        <w:spacing w:after="0" w:line="15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5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2800" w:space="720"/>
            <w:col w:w="1920" w:space="720"/>
            <w:col w:w="1880" w:space="720"/>
            <w:col w:w="2480"/>
          </w:cols>
          <w:pgMar w:left="320" w:top="220" w:right="339" w:bottom="0" w:gutter="0" w:footer="0" w:header="0"/>
          <w:type w:val="continuous"/>
        </w:sectPr>
      </w:pPr>
    </w:p>
    <w:p>
      <w:pPr>
        <w:ind w:left="3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20" w:right="339" w:bottom="0" w:gutter="0" w:footer="0" w:header="0"/>
          <w:type w:val="continuous"/>
        </w:sectPr>
      </w:pPr>
    </w:p>
    <w:p>
      <w:pPr>
        <w:spacing w:after="0" w:line="214" w:lineRule="exact"/>
        <w:rPr>
          <w:sz w:val="24"/>
          <w:szCs w:val="24"/>
          <w:color w:val="auto"/>
        </w:rPr>
      </w:pPr>
    </w:p>
    <w:p>
      <w:pPr>
        <w:jc w:val="both"/>
        <w:ind w:right="20" w:firstLine="3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63"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29, 2020 (the last business day of the registrant’s second fiscal quarter) as reported by the Nasdaq Global Market on that date was $86.9 million.</w:t>
      </w:r>
    </w:p>
    <w:p>
      <w:pPr>
        <w:spacing w:after="0" w:line="184"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November 9, 2020, 9,104,636 shares of common stock of the registrant were outstanding.</w:t>
      </w:r>
    </w:p>
    <w:p>
      <w:pPr>
        <w:sectPr>
          <w:pgSz w:w="11900" w:h="16838" w:orient="portrait"/>
          <w:cols w:equalWidth="0" w:num="1">
            <w:col w:w="11240"/>
          </w:cols>
          <w:pgMar w:left="320" w:top="220"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11"/>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2021 Annual Meeting of Stockholders to be held January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360" w:type="dxa"/>
            <w:vAlign w:val="bottom"/>
          </w:tcPr>
          <w:p>
            <w:pPr>
              <w:spacing w:after="0"/>
              <w:rPr>
                <w:sz w:val="20"/>
                <w:szCs w:val="20"/>
                <w:color w:val="auto"/>
              </w:rPr>
            </w:pPr>
          </w:p>
        </w:tc>
      </w:tr>
      <w:tr>
        <w:trPr>
          <w:trHeight w:val="414"/>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100" w:type="dxa"/>
            <w:vAlign w:val="bottom"/>
            <w:gridSpan w:val="4"/>
          </w:tcPr>
          <w:p>
            <w:pPr>
              <w:jc w:val="center"/>
              <w:ind w:right="2640"/>
              <w:spacing w:after="0"/>
              <w:rPr>
                <w:sz w:val="20"/>
                <w:szCs w:val="20"/>
                <w:color w:val="auto"/>
              </w:rPr>
            </w:pPr>
            <w:r>
              <w:rPr>
                <w:rFonts w:ascii="Arial" w:cs="Arial" w:eastAsia="Arial" w:hAnsi="Arial"/>
                <w:sz w:val="18"/>
                <w:szCs w:val="18"/>
                <w:b w:val="1"/>
                <w:bCs w:val="1"/>
                <w:color w:val="auto"/>
                <w:w w:val="99"/>
              </w:rPr>
              <w:t>ANNUAL REPORT ON FORM 10-K</w:t>
            </w:r>
          </w:p>
        </w:tc>
        <w:tc>
          <w:tcPr>
            <w:tcW w:w="36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100" w:type="dxa"/>
            <w:vAlign w:val="bottom"/>
            <w:gridSpan w:val="4"/>
          </w:tcPr>
          <w:p>
            <w:pPr>
              <w:jc w:val="center"/>
              <w:ind w:right="2660"/>
              <w:spacing w:after="0"/>
              <w:rPr>
                <w:sz w:val="20"/>
                <w:szCs w:val="20"/>
                <w:color w:val="auto"/>
              </w:rPr>
            </w:pPr>
            <w:r>
              <w:rPr>
                <w:rFonts w:ascii="Arial" w:cs="Arial" w:eastAsia="Arial" w:hAnsi="Arial"/>
                <w:sz w:val="18"/>
                <w:szCs w:val="18"/>
                <w:b w:val="1"/>
                <w:bCs w:val="1"/>
                <w:color w:val="auto"/>
                <w:w w:val="97"/>
              </w:rPr>
              <w:t>FISCAL YEAR ENDED AUGUST 31, 2020</w:t>
            </w:r>
          </w:p>
        </w:tc>
        <w:tc>
          <w:tcPr>
            <w:tcW w:w="36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80" w:type="dxa"/>
            <w:vAlign w:val="bottom"/>
            <w:gridSpan w:val="3"/>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r>
      <w:tr>
        <w:trPr>
          <w:trHeight w:val="391"/>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8"/>
              </w:rPr>
              <w:t>Page</w:t>
            </w:r>
          </w:p>
        </w:tc>
      </w:tr>
      <w:tr>
        <w:trPr>
          <w:trHeight w:val="222"/>
        </w:trPr>
        <w:tc>
          <w:tcPr>
            <w:tcW w:w="1050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36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1</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tc>
        <w:tc>
          <w:tcPr>
            <w:tcW w:w="36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1</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1A. RISK FACTORS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13</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1B. UNRESOLVED STAFF COMMENTS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PROPERTIES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LEGAL PROCEEDINGS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 MINE SAFETY DISCLOSURES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230"/>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4A. INFORMATION ABOUT OUR EXECUTIVE OFFICERS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418"/>
        </w:trPr>
        <w:tc>
          <w:tcPr>
            <w:tcW w:w="10500" w:type="dxa"/>
            <w:vAlign w:val="bottom"/>
            <w:gridSpan w:val="7"/>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29</w:t>
              </w:r>
            </w:hyperlink>
          </w:p>
        </w:tc>
      </w:tr>
      <w:tr>
        <w:trPr>
          <w:trHeight w:val="190"/>
        </w:trPr>
        <w:tc>
          <w:tcPr>
            <w:tcW w:w="260" w:type="dxa"/>
            <w:vAlign w:val="bottom"/>
          </w:tcPr>
          <w:p>
            <w:pPr>
              <w:spacing w:after="0"/>
              <w:rPr>
                <w:sz w:val="16"/>
                <w:szCs w:val="16"/>
                <w:color w:val="auto"/>
              </w:rPr>
            </w:pPr>
          </w:p>
        </w:tc>
        <w:tc>
          <w:tcPr>
            <w:tcW w:w="10240" w:type="dxa"/>
            <w:vAlign w:val="bottom"/>
            <w:gridSpan w:val="6"/>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Item 5. MARKET FOR REGISTRANT’S COMMON EQUITY, RELATED STOCKHOLDER MATTERS AND ISSUER</w:t>
              </w:r>
            </w:hyperlink>
          </w:p>
        </w:tc>
        <w:tc>
          <w:tcPr>
            <w:tcW w:w="360" w:type="dxa"/>
            <w:vAlign w:val="bottom"/>
          </w:tcPr>
          <w:p>
            <w:pPr>
              <w:spacing w:after="0"/>
              <w:rPr>
                <w:sz w:val="16"/>
                <w:szCs w:val="16"/>
                <w:color w:val="auto"/>
              </w:rPr>
            </w:pPr>
          </w:p>
        </w:tc>
      </w:tr>
      <w:tr>
        <w:trPr>
          <w:trHeight w:val="196"/>
        </w:trPr>
        <w:tc>
          <w:tcPr>
            <w:tcW w:w="260" w:type="dxa"/>
            <w:vAlign w:val="bottom"/>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78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PURCHASES OF EQUITY SECURITIES</w:t>
              </w:r>
            </w:hyperlink>
          </w:p>
        </w:tc>
        <w:tc>
          <w:tcPr>
            <w:tcW w:w="1420" w:type="dxa"/>
            <w:vAlign w:val="bottom"/>
          </w:tcPr>
          <w:p>
            <w:pPr>
              <w:spacing w:after="0"/>
              <w:rPr>
                <w:sz w:val="17"/>
                <w:szCs w:val="17"/>
                <w:color w:val="auto"/>
              </w:rPr>
            </w:pPr>
          </w:p>
        </w:tc>
        <w:tc>
          <w:tcPr>
            <w:tcW w:w="360" w:type="dxa"/>
            <w:vAlign w:val="bottom"/>
          </w:tcPr>
          <w:p>
            <w:pPr>
              <w:jc w:val="center"/>
              <w:spacing w:after="0" w:line="196" w:lineRule="exact"/>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29</w:t>
              </w:r>
            </w:hyperlink>
          </w:p>
        </w:tc>
      </w:tr>
      <w:tr>
        <w:trPr>
          <w:trHeight w:val="20"/>
        </w:trPr>
        <w:tc>
          <w:tcPr>
            <w:tcW w:w="1220" w:type="dxa"/>
            <w:vAlign w:val="bottom"/>
            <w:gridSpan w:val="2"/>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 SELECTED FINANCIAL DATA</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30</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7. MANAGEMENT’S DISCUSSION AND ANALYSIS OF FINANCIAL CONDITION AND RESULTS OF OPERATIONS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31</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7A. QUANTITATIVE AND QUALITATIVE DISCLOSURES ABOUT MARKET RISK</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48</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8. FINANCIAL STATEMENTS AND SUPPLEMENTARY DATA</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49</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9. CHANGES IN AND DISAGREEMENTS WITH ACCOUNTANTS ON ACCOUNTING AND FINANCIAL DISCLOSURE</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77</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9A. CONTROLS AND PROCEDURES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77</w:t>
              </w:r>
            </w:hyperlink>
          </w:p>
        </w:tc>
      </w:tr>
      <w:tr>
        <w:trPr>
          <w:trHeight w:val="230"/>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9B. OTHER INFORMATION</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77</w:t>
              </w:r>
            </w:hyperlink>
          </w:p>
        </w:tc>
      </w:tr>
      <w:tr>
        <w:trPr>
          <w:trHeight w:val="418"/>
        </w:trPr>
        <w:tc>
          <w:tcPr>
            <w:tcW w:w="10500" w:type="dxa"/>
            <w:vAlign w:val="bottom"/>
            <w:gridSpan w:val="7"/>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PART III</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2">
              <w:r>
                <w:rPr>
                  <w:rFonts w:ascii="Arial" w:cs="Arial" w:eastAsia="Arial" w:hAnsi="Arial"/>
                  <w:sz w:val="18"/>
                  <w:szCs w:val="18"/>
                  <w:u w:val="single" w:color="auto"/>
                  <w:color w:val="0000EE"/>
                  <w:w w:val="89"/>
                </w:rPr>
                <w:t>78</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10. DIRECTORS, EXECUTIVE OFFICERS AND CORPORATE GOVERNANCE</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2">
              <w:r>
                <w:rPr>
                  <w:rFonts w:ascii="Arial" w:cs="Arial" w:eastAsia="Arial" w:hAnsi="Arial"/>
                  <w:sz w:val="18"/>
                  <w:szCs w:val="18"/>
                  <w:u w:val="single" w:color="auto"/>
                  <w:color w:val="0000EE"/>
                  <w:w w:val="89"/>
                </w:rPr>
                <w:t>78</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11. EXECUTIVE COMPENSATION</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2">
              <w:r>
                <w:rPr>
                  <w:rFonts w:ascii="Arial" w:cs="Arial" w:eastAsia="Arial" w:hAnsi="Arial"/>
                  <w:sz w:val="18"/>
                  <w:szCs w:val="18"/>
                  <w:u w:val="single" w:color="auto"/>
                  <w:color w:val="0000EE"/>
                  <w:w w:val="89"/>
                </w:rPr>
                <w:t>78</w:t>
              </w:r>
            </w:hyperlink>
          </w:p>
        </w:tc>
      </w:tr>
      <w:tr>
        <w:trPr>
          <w:trHeight w:val="190"/>
        </w:trPr>
        <w:tc>
          <w:tcPr>
            <w:tcW w:w="260" w:type="dxa"/>
            <w:vAlign w:val="bottom"/>
          </w:tcPr>
          <w:p>
            <w:pPr>
              <w:spacing w:after="0"/>
              <w:rPr>
                <w:sz w:val="16"/>
                <w:szCs w:val="16"/>
                <w:color w:val="auto"/>
              </w:rPr>
            </w:pPr>
          </w:p>
        </w:tc>
        <w:tc>
          <w:tcPr>
            <w:tcW w:w="8660" w:type="dxa"/>
            <w:vAlign w:val="bottom"/>
            <w:tcBorders>
              <w:bottom w:val="single" w:sz="8" w:color="0000EE"/>
            </w:tcBorders>
            <w:gridSpan w:val="4"/>
          </w:tcPr>
          <w:p>
            <w:pPr>
              <w:spacing w:after="0" w:line="190"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Item 12. SECURITY OWNERSHIP OF CERTAIN BENEFICIAL OWNERS AND MANAGEMENT AND RELATED</w:t>
              </w:r>
            </w:hyperlink>
          </w:p>
        </w:tc>
        <w:tc>
          <w:tcPr>
            <w:tcW w:w="15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80" w:type="dxa"/>
            <w:vAlign w:val="bottom"/>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STOCKHOLDER MATTERS</w:t>
              </w:r>
            </w:hyperlink>
          </w:p>
        </w:tc>
        <w:tc>
          <w:tcPr>
            <w:tcW w:w="360" w:type="dxa"/>
            <w:vAlign w:val="bottom"/>
          </w:tcPr>
          <w:p>
            <w:pPr>
              <w:jc w:val="center"/>
              <w:spacing w:after="0" w:line="196" w:lineRule="exact"/>
              <w:rPr>
                <w:rFonts w:ascii="Arial" w:cs="Arial" w:eastAsia="Arial" w:hAnsi="Arial"/>
                <w:sz w:val="18"/>
                <w:szCs w:val="18"/>
                <w:u w:val="single" w:color="auto"/>
                <w:color w:val="0000EE"/>
                <w:w w:val="89"/>
              </w:rPr>
            </w:pPr>
            <w:hyperlink w:anchor="page82">
              <w:r>
                <w:rPr>
                  <w:rFonts w:ascii="Arial" w:cs="Arial" w:eastAsia="Arial" w:hAnsi="Arial"/>
                  <w:sz w:val="18"/>
                  <w:szCs w:val="18"/>
                  <w:u w:val="single" w:color="auto"/>
                  <w:color w:val="0000EE"/>
                  <w:w w:val="89"/>
                </w:rPr>
                <w:t>78</w:t>
              </w:r>
            </w:hyperlink>
          </w:p>
        </w:tc>
      </w:tr>
      <w:tr>
        <w:trPr>
          <w:trHeight w:val="20"/>
        </w:trPr>
        <w:tc>
          <w:tcPr>
            <w:tcW w:w="1220" w:type="dxa"/>
            <w:vAlign w:val="bottom"/>
            <w:gridSpan w:val="2"/>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13. CERTAIN RELATIONSHIPS AND RELATED TRANSACTIONS, AND DIRECTOR INDEPENDENCE</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3">
              <w:r>
                <w:rPr>
                  <w:rFonts w:ascii="Arial" w:cs="Arial" w:eastAsia="Arial" w:hAnsi="Arial"/>
                  <w:sz w:val="18"/>
                  <w:szCs w:val="18"/>
                  <w:u w:val="single" w:color="auto"/>
                  <w:color w:val="0000EE"/>
                  <w:w w:val="89"/>
                </w:rPr>
                <w:t>79</w:t>
              </w:r>
            </w:hyperlink>
          </w:p>
        </w:tc>
      </w:tr>
      <w:tr>
        <w:trPr>
          <w:trHeight w:val="230"/>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Item 14. PRINCIPAL ACCOUNTANT FEES AND SERVICES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4">
              <w:r>
                <w:rPr>
                  <w:rFonts w:ascii="Arial" w:cs="Arial" w:eastAsia="Arial" w:hAnsi="Arial"/>
                  <w:sz w:val="18"/>
                  <w:szCs w:val="18"/>
                  <w:u w:val="single" w:color="auto"/>
                  <w:color w:val="0000EE"/>
                  <w:w w:val="89"/>
                </w:rPr>
                <w:t>80</w:t>
              </w:r>
            </w:hyperlink>
          </w:p>
        </w:tc>
      </w:tr>
      <w:tr>
        <w:trPr>
          <w:trHeight w:val="418"/>
        </w:trPr>
        <w:tc>
          <w:tcPr>
            <w:tcW w:w="10500" w:type="dxa"/>
            <w:vAlign w:val="bottom"/>
            <w:gridSpan w:val="7"/>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PART IV</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5">
              <w:r>
                <w:rPr>
                  <w:rFonts w:ascii="Arial" w:cs="Arial" w:eastAsia="Arial" w:hAnsi="Arial"/>
                  <w:sz w:val="18"/>
                  <w:szCs w:val="18"/>
                  <w:u w:val="single" w:color="auto"/>
                  <w:color w:val="0000EE"/>
                  <w:w w:val="89"/>
                </w:rPr>
                <w:t>81</w:t>
              </w:r>
            </w:hyperlink>
          </w:p>
        </w:tc>
      </w:tr>
      <w:tr>
        <w:trPr>
          <w:trHeight w:val="216"/>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15. EXHIBIT AND FINANCIAL STATEMENT SCHEDULES</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5">
              <w:r>
                <w:rPr>
                  <w:rFonts w:ascii="Arial" w:cs="Arial" w:eastAsia="Arial" w:hAnsi="Arial"/>
                  <w:sz w:val="18"/>
                  <w:szCs w:val="18"/>
                  <w:u w:val="single" w:color="auto"/>
                  <w:color w:val="0000EE"/>
                  <w:w w:val="89"/>
                </w:rPr>
                <w:t>81</w:t>
              </w:r>
            </w:hyperlink>
          </w:p>
        </w:tc>
      </w:tr>
      <w:tr>
        <w:trPr>
          <w:trHeight w:val="230"/>
        </w:trPr>
        <w:tc>
          <w:tcPr>
            <w:tcW w:w="10500" w:type="dxa"/>
            <w:vAlign w:val="bottom"/>
            <w:gridSpan w:val="7"/>
          </w:tcPr>
          <w:p>
            <w:pPr>
              <w:ind w:left="26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16. FORM 10-K SUMMARY</w:t>
              </w:r>
            </w:hyperlink>
          </w:p>
        </w:tc>
        <w:tc>
          <w:tcPr>
            <w:tcW w:w="360" w:type="dxa"/>
            <w:vAlign w:val="bottom"/>
          </w:tcPr>
          <w:p>
            <w:pPr>
              <w:jc w:val="center"/>
              <w:spacing w:after="0"/>
              <w:rPr>
                <w:rFonts w:ascii="Arial" w:cs="Arial" w:eastAsia="Arial" w:hAnsi="Arial"/>
                <w:sz w:val="18"/>
                <w:szCs w:val="18"/>
                <w:u w:val="single" w:color="auto"/>
                <w:color w:val="0000EE"/>
                <w:w w:val="89"/>
              </w:rPr>
            </w:pPr>
            <w:hyperlink w:anchor="page89">
              <w:r>
                <w:rPr>
                  <w:rFonts w:ascii="Arial" w:cs="Arial" w:eastAsia="Arial" w:hAnsi="Arial"/>
                  <w:sz w:val="18"/>
                  <w:szCs w:val="18"/>
                  <w:u w:val="single" w:color="auto"/>
                  <w:color w:val="0000EE"/>
                  <w:w w:val="89"/>
                </w:rPr>
                <w:t>85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320" w:top="796" w:right="71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that are within the meaning of Section 27A of the Securities Act of 1933, as amended, and Section 21E of the Securities Exchange Act of 1934, as amended, and that are subject to the safe harbor created by those sections. For more information, see “Part I. Item 1. Business – Forward-Looking Statements.”</w:t>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8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 (5) “Natur-Tec India” refer to NTIC’s majority-owned subsidiary in India, Natur-Tec India Private Limited; (6) “Natur Tec Lanka” refer to NTIC’s majority-owned subsidiary in Sri Lanka, Natur Tec Lanka (Pvt) Ltd and (7) “NTI Asean” refer to NTIC’s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Northern Technologies International Corporation (NTIC) develops and markets proprietary, environmentally-beneficial products and services in over 60 countries either directly or via a network of subsidiaries, joint ventures, independent distributors, and agents. NTIC’s primary business is corrosion</w:t>
      </w:r>
    </w:p>
    <w:p>
      <w:pPr>
        <w:ind w:right="160"/>
        <w:spacing w:after="0" w:line="247" w:lineRule="auto"/>
        <w:rPr>
          <w:sz w:val="20"/>
          <w:szCs w:val="20"/>
          <w:color w:val="auto"/>
        </w:rPr>
      </w:pPr>
      <w:r>
        <w:rPr>
          <w:rFonts w:ascii="Arial" w:cs="Arial" w:eastAsia="Arial" w:hAnsi="Arial"/>
          <w:sz w:val="16"/>
          <w:szCs w:val="16"/>
          <w:color w:val="auto"/>
        </w:rPr>
        <w:t>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w:t>
      </w:r>
    </w:p>
    <w:p>
      <w:pPr>
        <w:spacing w:after="0" w:line="2"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products under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w:t>
      </w:r>
    </w:p>
    <w:p>
      <w:pPr>
        <w:spacing w:after="0" w:line="1" w:lineRule="exact"/>
        <w:rPr>
          <w:sz w:val="20"/>
          <w:szCs w:val="20"/>
          <w:color w:val="auto"/>
        </w:rPr>
      </w:pPr>
    </w:p>
    <w:p>
      <w:pPr>
        <w:ind w:right="660"/>
        <w:spacing w:after="0" w:line="218" w:lineRule="auto"/>
        <w:rPr>
          <w:sz w:val="20"/>
          <w:szCs w:val="20"/>
          <w:color w:val="auto"/>
        </w:rPr>
      </w:pPr>
      <w:r>
        <w:rPr>
          <w:rFonts w:ascii="Arial" w:cs="Arial" w:eastAsia="Arial" w:hAnsi="Arial"/>
          <w:sz w:val="17"/>
          <w:szCs w:val="17"/>
          <w:color w:val="auto"/>
        </w:rPr>
        <w:t>products to analyze their specific needs and develop systems to meet their performance requirements. In North America,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a network of independent distributors and agents supported by a direct sales force.</w:t>
      </w:r>
    </w:p>
    <w:p>
      <w:pPr>
        <w:spacing w:after="0" w:line="20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Internationally, NTIC sells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20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jc w:val="both"/>
        <w:ind w:right="120"/>
        <w:spacing w:after="0" w:line="221"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leaks caused by corrosion.</w:t>
      </w:r>
    </w:p>
    <w:p>
      <w:pPr>
        <w:spacing w:after="0" w:line="206"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handling gloves,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products.</w:t>
      </w:r>
    </w:p>
    <w:p>
      <w:pPr>
        <w:spacing w:after="0" w:line="61" w:lineRule="exact"/>
        <w:rPr>
          <w:sz w:val="20"/>
          <w:szCs w:val="20"/>
          <w:color w:val="auto"/>
        </w:rPr>
      </w:pPr>
    </w:p>
    <w:p>
      <w:pPr>
        <w:ind w:right="420"/>
        <w:spacing w:after="0" w:line="214" w:lineRule="auto"/>
        <w:rPr>
          <w:sz w:val="20"/>
          <w:szCs w:val="20"/>
          <w:color w:val="auto"/>
        </w:rPr>
      </w:pPr>
      <w:r>
        <w:rPr>
          <w:rFonts w:ascii="Arial" w:cs="Arial" w:eastAsia="Arial" w:hAnsi="Arial"/>
          <w:sz w:val="18"/>
          <w:szCs w:val="18"/>
          <w:color w:val="auto"/>
        </w:rPr>
        <w:t>Internationally, NTIC sells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both directly and through its wholly-owned subsidiary in China and majority-owned subsidiaries in India and Sri Lanka, and through distributors and certain joint ventures.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The COVID-19 pandemic has negatively impacted the global economy, disrupted global supply chains, created significant volatility and disruption in financial markets and has resulted in an economic recession.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and is expected to continue into fiscal 2021. Additionally, the Company expects the COVID-19 pandemic will likely continue to have a material adverse effect on its business, operating results and financial condition in fiscal 2021; however, the precise financial impact and duration cannot be reasonably estimated at this time.</w:t>
      </w:r>
    </w:p>
    <w:p>
      <w:pPr>
        <w:spacing w:after="0" w:line="19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response to the impact of the COVID-19 pandemic, and given the uncertainty of its duration, the Company has taken a number of precautionary measures, including the withdrawal and suspension of its specific full-year financial guidance and the temporary suspension of its quarterly cash dividend.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NTIC has ownership interests in nine operating subsidiaries in North America, South America, Europe, and Asia. The following table sets forth a list of NTIC’s operating subsidiaries as of November 9, 2020, the country in which the subsidiary is organized, and NTIC’s ownership percentage in each subsidiary: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7320" w:type="dxa"/>
            <w:vAlign w:val="bottom"/>
            <w:gridSpan w:val="2"/>
          </w:tcPr>
          <w:p>
            <w:pPr>
              <w:ind w:left="2940"/>
              <w:spacing w:after="0"/>
              <w:rPr>
                <w:sz w:val="20"/>
                <w:szCs w:val="20"/>
                <w:color w:val="auto"/>
              </w:rPr>
            </w:pPr>
            <w:r>
              <w:rPr>
                <w:rFonts w:ascii="Arial" w:cs="Arial" w:eastAsia="Arial" w:hAnsi="Arial"/>
                <w:sz w:val="18"/>
                <w:szCs w:val="18"/>
                <w:b w:val="1"/>
                <w:bCs w:val="1"/>
                <w:color w:val="auto"/>
              </w:rPr>
              <w:t>Subsidiary Name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 Ownership</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Natur Tec Lanka (Pvt) Ltd</w:t>
            </w:r>
          </w:p>
        </w:tc>
        <w:tc>
          <w:tcPr>
            <w:tcW w:w="202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Sri Lanka</w:t>
            </w:r>
            <w:r>
              <w:rPr>
                <w:rFonts w:ascii="Arial" w:cs="Arial" w:eastAsia="Arial" w:hAnsi="Arial"/>
                <w:sz w:val="29"/>
                <w:szCs w:val="29"/>
                <w:color w:val="auto"/>
                <w:w w:val="88"/>
                <w:vertAlign w:val="superscript"/>
              </w:rPr>
              <w:t>(1)</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75%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Germany</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Zerust Singapore Pte Ltd</w:t>
            </w:r>
          </w:p>
        </w:tc>
        <w:tc>
          <w:tcPr>
            <w:tcW w:w="2020" w:type="dxa"/>
            <w:vAlign w:val="bottom"/>
            <w:gridSpan w:val="2"/>
          </w:tcPr>
          <w:p>
            <w:pPr>
              <w:jc w:val="center"/>
              <w:ind w:right="80"/>
              <w:spacing w:after="0" w:line="256"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9"/>
                <w:szCs w:val="29"/>
                <w:color w:val="auto"/>
                <w:w w:val="85"/>
                <w:vertAlign w:val="superscript"/>
              </w:rPr>
              <w:t>(2)</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5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Vietnam Co. Ltd</w:t>
            </w:r>
          </w:p>
        </w:tc>
        <w:tc>
          <w:tcPr>
            <w:tcW w:w="202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86"/>
              </w:rPr>
              <w:t>Vietnam</w:t>
            </w:r>
            <w:r>
              <w:rPr>
                <w:rFonts w:ascii="Arial" w:cs="Arial" w:eastAsia="Arial" w:hAnsi="Arial"/>
                <w:sz w:val="29"/>
                <w:szCs w:val="29"/>
                <w:color w:val="auto"/>
                <w:w w:val="86"/>
                <w:vertAlign w:val="superscript"/>
              </w:rPr>
              <w:t>(2)</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 Tec Lanka (Pvt) Ltd. is 100% owned by Natur-Tec India Private Limited and, therefore, indirectly owned by NTIC.</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Zerust Singapore Pte Ltd and Zerust Vietnam Co. Ltd are 100% owned by NTI Asean LLC and, therefore, indirectly owned by NTIC.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ind w:right="40"/>
        <w:spacing w:after="0" w:line="209" w:lineRule="auto"/>
        <w:rPr>
          <w:sz w:val="20"/>
          <w:szCs w:val="20"/>
          <w:color w:val="auto"/>
        </w:rPr>
      </w:pPr>
      <w:r>
        <w:rPr>
          <w:rFonts w:ascii="Arial" w:cs="Arial" w:eastAsia="Arial" w:hAnsi="Arial"/>
          <w:sz w:val="18"/>
          <w:szCs w:val="18"/>
          <w:color w:val="auto"/>
        </w:rPr>
        <w:t>products, some of the joint ventures also sell NTIC’s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NTIC has historically funded its investments in joint ventures with cash generated from operations.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 following table sets forth a list of NTIC’s operating joint ventures as of November 9, 2020,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color w:val="auto"/>
              </w:rPr>
              <w:t>Joint Venture Name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 Ownership</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France</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KORROSIONSSCHUTZ – TECHNOLOGIEN UND PRODUKTE GMBH</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Germany</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Sweden</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Russia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Finland</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 LTD</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ZERUST (U.K.) LTD.</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United Kingdom</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Czech Republic</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EXCOR SP. Z.O.O.</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Poland</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Turkey</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Ukraine</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202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6"/>
              </w:rPr>
              <w:t xml:space="preserve">South Korea </w:t>
            </w:r>
            <w:r>
              <w:rPr>
                <w:rFonts w:ascii="Arial" w:cs="Arial" w:eastAsia="Arial" w:hAnsi="Arial"/>
                <w:sz w:val="29"/>
                <w:szCs w:val="29"/>
                <w:color w:val="auto"/>
                <w:w w:val="86"/>
                <w:vertAlign w:val="superscript"/>
              </w:rPr>
              <w:t>(1)</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202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85"/>
              </w:rPr>
              <w:t xml:space="preserve">Taiwan </w:t>
            </w:r>
            <w:r>
              <w:rPr>
                <w:rFonts w:ascii="Arial" w:cs="Arial" w:eastAsia="Arial" w:hAnsi="Arial"/>
                <w:sz w:val="29"/>
                <w:szCs w:val="29"/>
                <w:color w:val="auto"/>
                <w:w w:val="85"/>
                <w:vertAlign w:val="superscript"/>
              </w:rPr>
              <w:t>(1)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202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6"/>
              </w:rPr>
              <w:t xml:space="preserve">Indonesia </w:t>
            </w:r>
            <w:r>
              <w:rPr>
                <w:rFonts w:ascii="Arial" w:cs="Arial" w:eastAsia="Arial" w:hAnsi="Arial"/>
                <w:sz w:val="29"/>
                <w:szCs w:val="29"/>
                <w:color w:val="auto"/>
                <w:w w:val="86"/>
                <w:vertAlign w:val="superscript"/>
              </w:rPr>
              <w:t>(1)</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202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88"/>
              </w:rPr>
              <w:t xml:space="preserve">Thailand </w:t>
            </w:r>
            <w:r>
              <w:rPr>
                <w:rFonts w:ascii="Arial" w:cs="Arial" w:eastAsia="Arial" w:hAnsi="Arial"/>
                <w:sz w:val="29"/>
                <w:szCs w:val="29"/>
                <w:color w:val="auto"/>
                <w:w w:val="88"/>
                <w:vertAlign w:val="superscript"/>
              </w:rPr>
              <w:t>(1)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CHONG WAH-NTIA SDN. BHD.</w:t>
            </w:r>
          </w:p>
        </w:tc>
        <w:tc>
          <w:tcPr>
            <w:tcW w:w="202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 xml:space="preserve">Malaysia </w:t>
            </w:r>
            <w:r>
              <w:rPr>
                <w:rFonts w:ascii="Arial" w:cs="Arial" w:eastAsia="Arial" w:hAnsi="Arial"/>
                <w:sz w:val="29"/>
                <w:szCs w:val="29"/>
                <w:color w:val="auto"/>
                <w:w w:val="88"/>
                <w:vertAlign w:val="superscript"/>
              </w:rPr>
              <w:t>(1)</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202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9"/>
              </w:rPr>
              <w:t xml:space="preserve">Philippines </w:t>
            </w:r>
            <w:r>
              <w:rPr>
                <w:rFonts w:ascii="Arial" w:cs="Arial" w:eastAsia="Arial" w:hAnsi="Arial"/>
                <w:sz w:val="29"/>
                <w:szCs w:val="29"/>
                <w:color w:val="auto"/>
                <w:w w:val="89"/>
                <w:vertAlign w:val="superscript"/>
              </w:rPr>
              <w:t>(1)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Indirect ownership interest through NTI Asean.</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w:t>
      </w:r>
    </w:p>
    <w:p>
      <w:pPr>
        <w:spacing w:after="0" w:line="237" w:lineRule="exact"/>
        <w:rPr>
          <w:sz w:val="20"/>
          <w:szCs w:val="20"/>
          <w:color w:val="auto"/>
        </w:rPr>
      </w:pPr>
    </w:p>
    <w:p>
      <w:pPr>
        <w:ind w:right="80" w:firstLine="2"/>
        <w:spacing w:after="0" w:line="263" w:lineRule="auto"/>
        <w:rPr>
          <w:sz w:val="20"/>
          <w:szCs w:val="20"/>
          <w:color w:val="auto"/>
        </w:rPr>
      </w:pPr>
      <w:r>
        <w:rPr>
          <w:rFonts w:ascii="Arial" w:cs="Arial" w:eastAsia="Arial" w:hAnsi="Arial"/>
          <w:sz w:val="18"/>
          <w:szCs w:val="18"/>
          <w:color w:val="auto"/>
        </w:rPr>
        <w:t>NTIC considers EXCOR, ACOBAL SAS, ZERUST OY, HARITA-NTI LTD and ZERUST SPECIALTY TECH CO. LTD. to be individually significant to NTIC’s consolidated assets and income as of August 31, 2020. Therefore, NTIC provides certain additional information regarding these joint ventures in the notes to NTIC’s consolidated financial statements and in this section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NTIC’s joint ventures and their effect on NTIC’s operating results, see NTIC’s consolidated financial statements in “</w:t>
      </w:r>
      <w:r>
        <w:rPr>
          <w:rFonts w:ascii="Arial" w:cs="Arial" w:eastAsia="Arial" w:hAnsi="Arial"/>
          <w:sz w:val="16"/>
          <w:szCs w:val="16"/>
          <w:i w:val="1"/>
          <w:iCs w:val="1"/>
          <w:color w:val="auto"/>
        </w:rPr>
        <w:t>Part</w:t>
      </w:r>
    </w:p>
    <w:p>
      <w:pPr>
        <w:spacing w:after="0" w:line="46" w:lineRule="exact"/>
        <w:rPr>
          <w:sz w:val="20"/>
          <w:szCs w:val="20"/>
          <w:color w:val="auto"/>
        </w:rPr>
      </w:pPr>
    </w:p>
    <w:p>
      <w:pPr>
        <w:ind w:right="60" w:firstLine="8"/>
        <w:spacing w:after="0" w:line="260" w:lineRule="auto"/>
        <w:tabs>
          <w:tab w:leader="none" w:pos="21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Item 8. Financial Statements and Supplementary Data</w:t>
      </w:r>
      <w:r>
        <w:rPr>
          <w:rFonts w:ascii="Arial" w:cs="Arial" w:eastAsia="Arial" w:hAnsi="Arial"/>
          <w:sz w:val="18"/>
          <w:szCs w:val="18"/>
          <w:color w:val="auto"/>
        </w:rPr>
        <w:t>” and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of this report.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NTIC derives revenues directly and/or indirectly through its subsidiaries and joint ventures from two 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w:t>
      </w:r>
    </w:p>
    <w:p>
      <w:pPr>
        <w:spacing w:after="0" w:line="6" w:lineRule="exact"/>
        <w:rPr>
          <w:sz w:val="20"/>
          <w:szCs w:val="20"/>
          <w:color w:val="auto"/>
        </w:rPr>
      </w:pPr>
    </w:p>
    <w:p>
      <w:pPr>
        <w:ind w:right="240"/>
        <w:spacing w:after="0" w:line="210"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fiscal 2020, 72.4% of NTIC’s consolidated net sales were derived from developing, manufacturing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NTIC’s consolidated net sales in fiscal 2020 included $34,474,535 in sales of</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a decrease of 9.7% from such sales in fiscal 2019. Corrosion not only damages the appearance of metal products and components but also negatively impacts their mechanical performance. This applies to the rusting of ferrous metals (iron</w:t>
      </w:r>
    </w:p>
    <w:p>
      <w:pPr>
        <w:ind w:right="120"/>
        <w:spacing w:after="0" w:line="221" w:lineRule="auto"/>
        <w:rPr>
          <w:sz w:val="20"/>
          <w:szCs w:val="20"/>
          <w:color w:val="auto"/>
        </w:rPr>
      </w:pPr>
      <w:r>
        <w:rPr>
          <w:rFonts w:ascii="Arial" w:cs="Arial" w:eastAsia="Arial" w:hAnsi="Arial"/>
          <w:sz w:val="18"/>
          <w:szCs w:val="18"/>
          <w:color w:val="auto"/>
        </w:rPr>
        <w:t>and steel) and the deterioration by oxidation of nonferrous metals (aluminum, copper, brass, etc.).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206"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chemical formulations that continuously release an invisible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corrosion inhibiting vapor that passivates metal surfaces and thereby inhibits rust and corrosion. The corrosion inhibiting protection is maintained as long as the metal products to be protected remain enclosed within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Electron scanning shows that once the contents are</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removed from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inhibit corrosion,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0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NTIC was first to develop the means of infusing volatile corrosion inhibiting chemical systems (VCIs) into polyethylene and polypropylene resins. Combining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chemical systems with polyethylene and polypropylene resins permitted NTIC to introduce a line of plastic packaging products in the form of low and high-density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plastic and paper packaging products come in various</w:t>
      </w:r>
    </w:p>
    <w:p>
      <w:pPr>
        <w:spacing w:after="0" w:line="3"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thicknesses, strength enhancements, protection types, shapes, and sizes. This product line also includes items such as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202"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i w:val="1"/>
          <w:iCs w:val="1"/>
          <w:color w:val="auto"/>
        </w:rPr>
        <w:t>Liquids and Coatings</w:t>
      </w:r>
      <w:r>
        <w:rPr>
          <w:rFonts w:ascii="Arial" w:cs="Arial" w:eastAsia="Arial" w:hAnsi="Arial"/>
          <w:sz w:val="16"/>
          <w:szCs w:val="16"/>
          <w:color w:val="auto"/>
        </w:rPr>
        <w:t>. NTIC’s corrosion prevention solutions include a line of metal surface treatment liquids and coatings, which are oil, water, or bio-solvent based, and are marketed under brand names including Axxatec</w:t>
      </w:r>
      <w:r>
        <w:rPr>
          <w:rFonts w:ascii="Arial" w:cs="Arial" w:eastAsia="Arial" w:hAnsi="Arial"/>
          <w:sz w:val="26"/>
          <w:szCs w:val="26"/>
          <w:color w:val="auto"/>
          <w:vertAlign w:val="superscript"/>
        </w:rPr>
        <w:t>™</w:t>
      </w:r>
      <w:r>
        <w:rPr>
          <w:rFonts w:ascii="Arial" w:cs="Arial" w:eastAsia="Arial" w:hAnsi="Arial"/>
          <w:sz w:val="16"/>
          <w:szCs w:val="16"/>
          <w:color w:val="auto"/>
        </w:rPr>
        <w:t>, Axxanol</w:t>
      </w:r>
      <w:r>
        <w:rPr>
          <w:rFonts w:ascii="Arial" w:cs="Arial" w:eastAsia="Arial" w:hAnsi="Arial"/>
          <w:sz w:val="26"/>
          <w:szCs w:val="26"/>
          <w:color w:val="auto"/>
          <w:vertAlign w:val="superscript"/>
        </w:rPr>
        <w:t>™</w:t>
      </w:r>
      <w:r>
        <w:rPr>
          <w:rFonts w:ascii="Arial" w:cs="Arial" w:eastAsia="Arial" w:hAnsi="Arial"/>
          <w:sz w:val="16"/>
          <w:szCs w:val="16"/>
          <w:color w:val="auto"/>
        </w:rPr>
        <w:t>, and Z-Maxx</w:t>
      </w:r>
      <w:r>
        <w:rPr>
          <w:rFonts w:ascii="Arial" w:cs="Arial" w:eastAsia="Arial" w:hAnsi="Arial"/>
          <w:sz w:val="26"/>
          <w:szCs w:val="26"/>
          <w:color w:val="auto"/>
          <w:vertAlign w:val="superscript"/>
        </w:rPr>
        <w:t>™</w:t>
      </w:r>
      <w:r>
        <w:rPr>
          <w:rFonts w:ascii="Arial" w:cs="Arial" w:eastAsia="Arial" w:hAnsi="Arial"/>
          <w:sz w:val="16"/>
          <w:szCs w:val="16"/>
          <w:color w:val="auto"/>
        </w:rPr>
        <w:t>. These liquids and coatings provide powerful corrosion protection in aggressive environments, such as salt air, high humidity, and/or high temperatures. Products are formulated for most metal types</w:t>
      </w:r>
    </w:p>
    <w:p>
      <w:pPr>
        <w:spacing w:after="0" w:line="3" w:lineRule="exact"/>
        <w:rPr>
          <w:sz w:val="20"/>
          <w:szCs w:val="20"/>
          <w:color w:val="auto"/>
        </w:rPr>
      </w:pPr>
    </w:p>
    <w:p>
      <w:pPr>
        <w:ind w:right="160"/>
        <w:spacing w:after="0" w:line="219" w:lineRule="auto"/>
        <w:rPr>
          <w:sz w:val="20"/>
          <w:szCs w:val="20"/>
          <w:color w:val="auto"/>
        </w:rPr>
      </w:pPr>
      <w:r>
        <w:rPr>
          <w:rFonts w:ascii="Arial" w:cs="Arial" w:eastAsia="Arial" w:hAnsi="Arial"/>
          <w:sz w:val="17"/>
          <w:szCs w:val="17"/>
          <w:color w:val="auto"/>
        </w:rPr>
        <w:t>and protection levels. For exceptionally harsh environments, customers may choose to use a combination of NTIC’s liquids and coatings with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plastic and/or paper products to achieve robust corrosion protection during manufacturing, shipping, and warehousing stages.</w:t>
      </w:r>
    </w:p>
    <w:p>
      <w:pPr>
        <w:spacing w:after="0" w:line="20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without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labor-intensive, abrasive cleaners that damage surfaces and commonly fail to remove rust from complex metal surfaces, like the teeth of small gears, under the Axxaclean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 name.</w:t>
      </w:r>
    </w:p>
    <w:p>
      <w:pPr>
        <w:spacing w:after="0" w:line="55" w:lineRule="exact"/>
        <w:rPr>
          <w:sz w:val="20"/>
          <w:szCs w:val="20"/>
          <w:color w:val="auto"/>
        </w:rPr>
      </w:pPr>
    </w:p>
    <w:p>
      <w:pPr>
        <w:ind w:right="60"/>
        <w:spacing w:after="0" w:line="210"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corrosion inhibiting vapor diffusers, such as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ActivPak</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ICT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 Capsules,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Plastabs</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Cor-Tabs</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Pipe Strip,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Tube Strip. These diffusers</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are designed to protect metals within enclosures, like switch gearboxes and electronic cabinets, or can be used as added protection to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 w:name="page9"/>
    <w:bookmarkEnd w:id="8"/>
    <w:p>
      <w:pPr>
        <w:ind w:right="260"/>
        <w:spacing w:after="0" w:line="208" w:lineRule="auto"/>
        <w:rPr>
          <w:sz w:val="20"/>
          <w:szCs w:val="20"/>
          <w:color w:val="auto"/>
        </w:rPr>
      </w:pPr>
      <w:r>
        <w:rPr>
          <w:rFonts w:ascii="Arial" w:cs="Arial" w:eastAsia="Arial" w:hAnsi="Arial"/>
          <w:sz w:val="17"/>
          <w:szCs w:val="17"/>
          <w:i w:val="1"/>
          <w:iCs w:val="1"/>
          <w:color w:val="auto"/>
        </w:rPr>
        <w:t>Z-CIS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Technical Services</w:t>
      </w:r>
      <w:r>
        <w:rPr>
          <w:rFonts w:ascii="Arial" w:cs="Arial" w:eastAsia="Arial" w:hAnsi="Arial"/>
          <w:sz w:val="17"/>
          <w:szCs w:val="17"/>
          <w:color w:val="auto"/>
        </w:rPr>
        <w:t>. As an on-going effort to help NTIC’s customers improve and control their corrosion management processes, NTIC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offers unique corrosion management and consulting services to target customers. This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inhibition system (known as Z-CIS</w:t>
      </w:r>
      <w:r>
        <w:rPr>
          <w:rFonts w:ascii="Arial" w:cs="Arial" w:eastAsia="Arial" w:hAnsi="Arial"/>
          <w:sz w:val="28"/>
          <w:szCs w:val="28"/>
          <w:color w:val="auto"/>
          <w:vertAlign w:val="superscript"/>
        </w:rPr>
        <w:t>®</w:t>
      </w:r>
      <w:r>
        <w:rPr>
          <w:rFonts w:ascii="Arial" w:cs="Arial" w:eastAsia="Arial" w:hAnsi="Arial"/>
          <w:sz w:val="17"/>
          <w:szCs w:val="17"/>
          <w:color w:val="auto"/>
        </w:rPr>
        <w:t>) leverages NTIC’s global network to dispatch highly-trained technical service engineers to customer sites to solve complex corrosion problems. Several major automotive companies and their automotive parts suppliers have used NTIC’s Z-CIS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system.</w:t>
      </w:r>
    </w:p>
    <w:p>
      <w:pPr>
        <w:spacing w:after="0" w:line="85" w:lineRule="exact"/>
        <w:rPr>
          <w:sz w:val="20"/>
          <w:szCs w:val="20"/>
          <w:color w:val="auto"/>
        </w:rPr>
      </w:pPr>
    </w:p>
    <w:p>
      <w:pPr>
        <w:ind w:right="120"/>
        <w:spacing w:after="0"/>
        <w:rPr>
          <w:sz w:val="20"/>
          <w:szCs w:val="20"/>
          <w:color w:val="auto"/>
        </w:rPr>
      </w:pPr>
      <w:r>
        <w:rPr>
          <w:rFonts w:ascii="Arial" w:cs="Arial" w:eastAsia="Arial" w:hAnsi="Arial"/>
          <w:sz w:val="16"/>
          <w:szCs w:val="16"/>
          <w:i w:val="1"/>
          <w:iCs w:val="1"/>
          <w:color w:val="auto"/>
        </w:rPr>
        <w:t>ZERUST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engineered corrosion</w:t>
      </w:r>
      <w:r>
        <w:rPr>
          <w:rFonts w:ascii="Arial" w:cs="Arial" w:eastAsia="Arial" w:hAnsi="Arial"/>
          <w:sz w:val="16"/>
          <w:szCs w:val="16"/>
          <w:i w:val="1"/>
          <w:iCs w:val="1"/>
          <w:color w:val="auto"/>
        </w:rPr>
        <w:t xml:space="preserve"> </w:t>
      </w:r>
      <w:r>
        <w:rPr>
          <w:rFonts w:ascii="Arial" w:cs="Arial" w:eastAsia="Arial" w:hAnsi="Arial"/>
          <w:sz w:val="16"/>
          <w:szCs w:val="16"/>
          <w:color w:val="auto"/>
        </w:rPr>
        <w:t>inhibiting solutions specifically for the mitigation of corrosion of the types of capital assets used in the petroleum and chemical process industries and has</w:t>
      </w:r>
    </w:p>
    <w:p>
      <w:pPr>
        <w:ind w:right="300"/>
        <w:spacing w:after="0" w:line="234" w:lineRule="auto"/>
        <w:rPr>
          <w:sz w:val="20"/>
          <w:szCs w:val="20"/>
          <w:color w:val="auto"/>
        </w:rPr>
      </w:pPr>
      <w:r>
        <w:rPr>
          <w:rFonts w:ascii="Arial" w:cs="Arial" w:eastAsia="Arial" w:hAnsi="Arial"/>
          <w:sz w:val="16"/>
          <w:szCs w:val="16"/>
          <w:color w:val="auto"/>
        </w:rPr>
        <w:t>targeted the sale of these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solutions to potential customers in the oil and gas industry. NTIC’s consolidated net sales in fiscal 2020 included $2,782,874 in sales made to customers in the oil and gas industry, an increase of 2.0% from such sales in fiscal 2019. NTIC anticipates that its</w:t>
      </w:r>
    </w:p>
    <w:p>
      <w:pPr>
        <w:spacing w:after="0" w:line="2" w:lineRule="exact"/>
        <w:rPr>
          <w:sz w:val="20"/>
          <w:szCs w:val="20"/>
          <w:color w:val="auto"/>
        </w:rPr>
      </w:pPr>
    </w:p>
    <w:p>
      <w:pPr>
        <w:ind w:right="320"/>
        <w:spacing w:after="0" w:line="247" w:lineRule="auto"/>
        <w:rPr>
          <w:sz w:val="20"/>
          <w:szCs w:val="20"/>
          <w:color w:val="auto"/>
        </w:rPr>
      </w:pPr>
      <w:r>
        <w:rPr>
          <w:rFonts w:ascii="Arial" w:cs="Arial" w:eastAsia="Arial" w:hAnsi="Arial"/>
          <w:sz w:val="16"/>
          <w:szCs w:val="16"/>
          <w:color w:val="auto"/>
        </w:rPr>
        <w:t>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the oil and gas industry will continue to remain subject to significant volatility, specifically due to the volatility of oil prices brought about by various political factors, such as the recent price wars between Saudi Arabia and Russia, and economic factors, such as the recent price drop and global production slowdown caused by travel and other restrictions related to the COVID-19 pandemic. Demand for</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Europe and the Middle East are a small but strategically important part of the sales growth picture.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w:t>
      </w:r>
    </w:p>
    <w:p>
      <w:pPr>
        <w:spacing w:after="0" w:line="3"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environmental risks caused by corrosion that can greatly increase economic losses. NTIC believes that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oil and gas corrosion prevention solutions minimize maintenance downtime on critical oil and gas industry infrastructure, extend the life of such infrastructure, and reduce the risk of environmental pollution due to leaks caused by corrosion.</w:t>
      </w:r>
    </w:p>
    <w:p>
      <w:pPr>
        <w:spacing w:after="0" w:line="206" w:lineRule="exact"/>
        <w:rPr>
          <w:sz w:val="20"/>
          <w:szCs w:val="20"/>
          <w:color w:val="auto"/>
        </w:rPr>
      </w:pPr>
    </w:p>
    <w:p>
      <w:pPr>
        <w:ind w:right="120"/>
        <w:spacing w:after="0" w:line="203" w:lineRule="auto"/>
        <w:rPr>
          <w:sz w:val="20"/>
          <w:szCs w:val="20"/>
          <w:color w:val="auto"/>
        </w:rPr>
      </w:pPr>
      <w:r>
        <w:rPr>
          <w:rFonts w:ascii="Arial" w:cs="Arial" w:eastAsia="Arial" w:hAnsi="Arial"/>
          <w:sz w:val="18"/>
          <w:szCs w:val="18"/>
          <w:color w:val="auto"/>
        </w:rPr>
        <w:t>NTIC’s rust and corrosion inhibiting products for the oil and gas industry include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Flange Savers</w:t>
      </w:r>
      <w:r>
        <w:rPr>
          <w:rFonts w:ascii="Arial" w:cs="Arial" w:eastAsia="Arial" w:hAnsi="Arial"/>
          <w:sz w:val="29"/>
          <w:szCs w:val="29"/>
          <w:color w:val="auto"/>
          <w:vertAlign w:val="superscript"/>
        </w:rPr>
        <w:t>®</w:t>
      </w:r>
      <w:r>
        <w:rPr>
          <w:rFonts w:ascii="Arial" w:cs="Arial" w:eastAsia="Arial" w:hAnsi="Arial"/>
          <w:sz w:val="18"/>
          <w:szCs w:val="18"/>
          <w:color w:val="auto"/>
        </w:rPr>
        <w:t>,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ReCAST-SSB solutions, and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chemicals, including Zerion powders and gels, in addition to many of the standard industrial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previously described.</w:t>
      </w:r>
    </w:p>
    <w:p>
      <w:pPr>
        <w:spacing w:after="0" w:line="20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Flange Savers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specially designed covers that have been impregnated with a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w:t>
      </w:r>
    </w:p>
    <w:p>
      <w:pPr>
        <w:spacing w:after="0" w:line="2"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costly maintenance, operational, and safety problems.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Flange Savers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w:t>
      </w:r>
    </w:p>
    <w:p>
      <w:pPr>
        <w:spacing w:after="0" w:line="1" w:lineRule="exact"/>
        <w:rPr>
          <w:sz w:val="20"/>
          <w:szCs w:val="20"/>
          <w:color w:val="auto"/>
        </w:rPr>
      </w:pPr>
    </w:p>
    <w:p>
      <w:pPr>
        <w:jc w:val="both"/>
        <w:ind w:right="34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4"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Zerion powder-based inhibitor solutions include the following:</w:t>
      </w:r>
    </w:p>
    <w:p>
      <w:pPr>
        <w:spacing w:after="0" w:line="135" w:lineRule="exact"/>
        <w:rPr>
          <w:sz w:val="20"/>
          <w:szCs w:val="20"/>
          <w:color w:val="auto"/>
        </w:rPr>
      </w:pPr>
    </w:p>
    <w:p>
      <w:pPr>
        <w:ind w:left="660" w:right="1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p>
      <w:pPr>
        <w:spacing w:after="0" w:line="123" w:lineRule="exact"/>
        <w:rPr>
          <w:rFonts w:ascii="Arial" w:cs="Arial" w:eastAsia="Arial" w:hAnsi="Arial"/>
          <w:sz w:val="16"/>
          <w:szCs w:val="16"/>
          <w:color w:val="auto"/>
        </w:rPr>
      </w:pPr>
    </w:p>
    <w:p>
      <w:pPr>
        <w:ind w:left="660" w:right="2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 internals.</w:t>
      </w:r>
    </w:p>
    <w:p>
      <w:pPr>
        <w:spacing w:after="0" w:line="123" w:lineRule="exact"/>
        <w:rPr>
          <w:rFonts w:ascii="Arial" w:cs="Arial" w:eastAsia="Arial" w:hAnsi="Arial"/>
          <w:sz w:val="16"/>
          <w:szCs w:val="16"/>
          <w:color w:val="auto"/>
        </w:rPr>
      </w:pPr>
    </w:p>
    <w:p>
      <w:pPr>
        <w:jc w:val="both"/>
        <w:ind w:left="660" w:right="3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p>
      <w:pPr>
        <w:spacing w:after="0" w:line="183"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Sol-V C-Series is designed to provide corrosion prevention in voids and enclosures especially when there is either stagnant water or the potential for water seepages and/or accumulation of water over time.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Sol-V™ C-Series packaging allows VCIs to release while conserving a Sol-V proprietary blend of soluble corrosion inhibitors (SCIs) until water enters the system. Typical applications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Sol-V™ C-Series packaging include offshore platform leg voids, vessels and tanks mothballed in tropical environments, ship blocks being fabricated in areas of high humidity, piping systems, and heat exchangers.</w:t>
      </w:r>
    </w:p>
    <w:p>
      <w:pPr>
        <w:spacing w:after="0" w:line="205" w:lineRule="exact"/>
        <w:rPr>
          <w:sz w:val="20"/>
          <w:szCs w:val="20"/>
          <w:color w:val="auto"/>
        </w:rPr>
      </w:pPr>
    </w:p>
    <w:p>
      <w:pPr>
        <w:ind w:right="80"/>
        <w:spacing w:after="0" w:line="210"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NTIC manufactures and sells a broad range of bioplastic packaging solutions, including bio-based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certified compostable (fully biodegradable) polymer resin compounds, and finished products under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NTIC’s consolidated net</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sales in fiscal 2020 included $13,164,156 in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resins and finished products, a decrease of 25.1% over such sales in fiscal 2019. Market drivers such as volatile petroleum prices, reduced dependence on foreign oil,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18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b w:val="1"/>
          <w:bCs w:val="1"/>
          <w:i w:val="1"/>
          <w:iCs w:val="1"/>
          <w:color w:val="auto"/>
        </w:rPr>
        <w:t>Resin Compounds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are produced by blending commercially available base resins, such as Ecoflex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BASF and Ingeo</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 from NatureWorks LLC,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w:t>
      </w:r>
    </w:p>
    <w:p>
      <w:pPr>
        <w:ind w:right="300"/>
        <w:spacing w:after="0" w:line="221" w:lineRule="auto"/>
        <w:rPr>
          <w:sz w:val="20"/>
          <w:szCs w:val="20"/>
          <w:color w:val="auto"/>
        </w:rPr>
      </w:pPr>
      <w:r>
        <w:rPr>
          <w:rFonts w:ascii="Arial" w:cs="Arial" w:eastAsia="Arial" w:hAnsi="Arial"/>
          <w:sz w:val="18"/>
          <w:szCs w:val="18"/>
          <w:color w:val="auto"/>
        </w:rPr>
        <w:t>polymer resin formulations that exhibit unique and stable morphology.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206" w:lineRule="exact"/>
        <w:rPr>
          <w:sz w:val="20"/>
          <w:szCs w:val="20"/>
          <w:color w:val="auto"/>
        </w:rPr>
      </w:pPr>
    </w:p>
    <w:p>
      <w:pPr>
        <w:ind w:right="780"/>
        <w:spacing w:after="0" w:line="214" w:lineRule="auto"/>
        <w:rPr>
          <w:sz w:val="20"/>
          <w:szCs w:val="20"/>
          <w:color w:val="auto"/>
        </w:rPr>
      </w:pPr>
      <w:r>
        <w:rPr>
          <w:rFonts w:ascii="Arial" w:cs="Arial" w:eastAsia="Arial" w:hAnsi="Arial"/>
          <w:sz w:val="18"/>
          <w:szCs w:val="18"/>
          <w:color w:val="auto"/>
        </w:rPr>
        <w:t>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are available in several grades tailored for a variety of applications, such as blown-film extrusion, profile extrusion, thermoforming, extrusion coating, and injection molding.</w:t>
      </w:r>
    </w:p>
    <w:p>
      <w:pPr>
        <w:spacing w:after="0" w:line="20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flexible film resin compounds are fully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BPI (Biodegradable Products Institute) in the United States and TÜV Austria in Europe.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film resin compounds can be used to produce film for applications, such as bags, including compost bags, lawn and leaf bags, pet waste collection bags, and carry-out bags, agricultural film, and consumer and</w:t>
      </w:r>
    </w:p>
    <w:p>
      <w:pPr>
        <w:spacing w:after="0" w:line="2" w:lineRule="exact"/>
        <w:rPr>
          <w:sz w:val="20"/>
          <w:szCs w:val="20"/>
          <w:color w:val="auto"/>
        </w:rPr>
      </w:pPr>
    </w:p>
    <w:p>
      <w:pPr>
        <w:ind w:right="580"/>
        <w:spacing w:after="0" w:line="219" w:lineRule="auto"/>
        <w:rPr>
          <w:sz w:val="20"/>
          <w:szCs w:val="20"/>
          <w:color w:val="auto"/>
        </w:rPr>
      </w:pPr>
      <w:r>
        <w:rPr>
          <w:rFonts w:ascii="Arial" w:cs="Arial" w:eastAsia="Arial" w:hAnsi="Arial"/>
          <w:sz w:val="17"/>
          <w:szCs w:val="17"/>
          <w:color w:val="auto"/>
        </w:rPr>
        <w:t>industrial packaging.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film resin compounds are also used to produce bags and covers for branded apparel packaging and to manufacture specialty foodservice items, such as compostable drinking straws, thermoformed lids and disposable food-handling gloves.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10" w:name="page11"/>
    <w:bookmarkEnd w:id="10"/>
    <w:p>
      <w:pPr>
        <w:ind w:right="140"/>
        <w:spacing w:after="0" w:line="227" w:lineRule="auto"/>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extrusion coating resin compounds are bio-based and biodegradable and are designed to replace conventional plastic materials for extrusion coating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are manufactured using sustainable and renewable resources, per the ASTM D6866 standard, which allows companies and consumers the opportunity to reduce or neutralize their carbon footprint, and are designed to</w:t>
      </w:r>
    </w:p>
    <w:p>
      <w:pPr>
        <w:jc w:val="both"/>
        <w:ind w:right="140"/>
        <w:spacing w:after="0" w:line="234" w:lineRule="auto"/>
        <w:rPr>
          <w:sz w:val="20"/>
          <w:szCs w:val="20"/>
          <w:color w:val="auto"/>
        </w:rPr>
      </w:pPr>
      <w:r>
        <w:rPr>
          <w:rFonts w:ascii="Arial" w:cs="Arial" w:eastAsia="Arial" w:hAnsi="Arial"/>
          <w:sz w:val="16"/>
          <w:szCs w:val="16"/>
          <w:color w:val="auto"/>
        </w:rPr>
        <w:t>meet the requirements of international standards for compostable plastics, such as ASTM D6400.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provide good adhesion to paper, an excellent print surface, and good heat seal strength and the coating material is suitable for food contact applications, including</w:t>
      </w:r>
    </w:p>
    <w:p>
      <w:pPr>
        <w:spacing w:after="0" w:line="2"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both hot and cold applications.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extrusion coating resin compounds can be used for coating paper and paperboards for the manufacture of disposable cups, plates, and other foodservice items.</w:t>
      </w:r>
    </w:p>
    <w:p>
      <w:pPr>
        <w:spacing w:after="0" w:line="207" w:lineRule="exact"/>
        <w:rPr>
          <w:sz w:val="20"/>
          <w:szCs w:val="20"/>
          <w:color w:val="auto"/>
        </w:rPr>
      </w:pPr>
    </w:p>
    <w:p>
      <w:pPr>
        <w:ind w:right="60"/>
        <w:spacing w:after="0" w:line="227" w:lineRule="auto"/>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are bio-based and compostable and are designed to replace conventional plastic materials for injection molded plastic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w:t>
      </w:r>
    </w:p>
    <w:p>
      <w:pPr>
        <w:jc w:val="both"/>
        <w:ind w:right="120"/>
        <w:spacing w:after="0" w:line="206" w:lineRule="auto"/>
        <w:rPr>
          <w:sz w:val="20"/>
          <w:szCs w:val="20"/>
          <w:color w:val="auto"/>
        </w:rPr>
      </w:pPr>
      <w:r>
        <w:rPr>
          <w:rFonts w:ascii="Arial" w:cs="Arial" w:eastAsia="Arial" w:hAnsi="Arial"/>
          <w:sz w:val="16"/>
          <w:szCs w:val="16"/>
          <w:color w:val="auto"/>
        </w:rPr>
        <w:t>D6400 and EN 13432.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injection molding resin compounds are made with at least 90% bio-based/renewable</w:t>
      </w:r>
    </w:p>
    <w:p>
      <w:pPr>
        <w:spacing w:after="0" w:line="1" w:lineRule="exact"/>
        <w:rPr>
          <w:sz w:val="20"/>
          <w:szCs w:val="20"/>
          <w:color w:val="auto"/>
        </w:rPr>
      </w:pPr>
    </w:p>
    <w:p>
      <w:pPr>
        <w:jc w:val="both"/>
        <w:ind w:right="140"/>
        <w:spacing w:after="0" w:line="220" w:lineRule="auto"/>
        <w:rPr>
          <w:sz w:val="20"/>
          <w:szCs w:val="20"/>
          <w:color w:val="auto"/>
        </w:rPr>
      </w:pPr>
      <w:r>
        <w:rPr>
          <w:rFonts w:ascii="Arial" w:cs="Arial" w:eastAsia="Arial" w:hAnsi="Arial"/>
          <w:sz w:val="18"/>
          <w:szCs w:val="18"/>
          <w:color w:val="auto"/>
        </w:rPr>
        <w:t>resource-based materials, per the ASTM D6866 standard, and are meant to enhance sustainability by replacing petroleum-based plastics.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207" w:lineRule="exact"/>
        <w:rPr>
          <w:sz w:val="20"/>
          <w:szCs w:val="20"/>
          <w:color w:val="auto"/>
        </w:rPr>
      </w:pPr>
    </w:p>
    <w:p>
      <w:pPr>
        <w:ind w:right="460"/>
        <w:spacing w:after="0" w:line="203" w:lineRule="auto"/>
        <w:rPr>
          <w:sz w:val="20"/>
          <w:szCs w:val="20"/>
          <w:color w:val="auto"/>
        </w:rPr>
      </w:pPr>
      <w:r>
        <w:rPr>
          <w:rFonts w:ascii="Arial" w:cs="Arial" w:eastAsia="Arial" w:hAnsi="Arial"/>
          <w:sz w:val="18"/>
          <w:szCs w:val="18"/>
          <w:b w:val="1"/>
          <w:bCs w:val="1"/>
          <w:i w:val="1"/>
          <w:iCs w:val="1"/>
          <w:color w:val="auto"/>
        </w:rPr>
        <w:t>Finished Products</w:t>
      </w:r>
      <w:r>
        <w:rPr>
          <w:rFonts w:ascii="Arial" w:cs="Arial" w:eastAsia="Arial" w:hAnsi="Arial"/>
          <w:sz w:val="18"/>
          <w:szCs w:val="18"/>
          <w:color w:val="auto"/>
        </w:rPr>
        <w:t>. Natur-Tec</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finished products include totally biodegradable and compostable trash bags, agricultural film, and other single-use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disposable products, such as compostable cutlery and food and consumer goods packaging currently marketed under the Natur-Bag</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or Natur-Ware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offers 15 different compostable trash bag sizes, from 3-gallon to 96-gallon, as well as shopper bags. The bags are available in various SKU configurations, including retail packs that are sold to the consumer either through retail outlets or through online stores and industrial case</w:t>
      </w:r>
    </w:p>
    <w:p>
      <w:pPr>
        <w:ind w:right="340"/>
        <w:spacing w:after="0" w:line="228" w:lineRule="auto"/>
        <w:rPr>
          <w:sz w:val="20"/>
          <w:szCs w:val="20"/>
          <w:color w:val="auto"/>
        </w:rPr>
      </w:pPr>
      <w:r>
        <w:rPr>
          <w:rFonts w:ascii="Arial" w:cs="Arial" w:eastAsia="Arial" w:hAnsi="Arial"/>
          <w:sz w:val="18"/>
          <w:szCs w:val="18"/>
          <w:color w:val="auto"/>
        </w:rPr>
        <w:t>packs that are sold to commercial and industrial customers primarily through wholesalers and distributors. The Natur-Bag</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are manufactured from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flexible film resin compounds and thus are fully biodegradable and compostable.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w:t>
      </w:r>
    </w:p>
    <w:p>
      <w:pPr>
        <w:spacing w:after="0" w:line="206" w:lineRule="auto"/>
        <w:rPr>
          <w:sz w:val="20"/>
          <w:szCs w:val="20"/>
          <w:color w:val="auto"/>
        </w:rPr>
      </w:pPr>
      <w:r>
        <w:rPr>
          <w:rFonts w:ascii="Arial" w:cs="Arial" w:eastAsia="Arial" w:hAnsi="Arial"/>
          <w:sz w:val="18"/>
          <w:szCs w:val="18"/>
          <w:color w:val="auto"/>
        </w:rPr>
        <w:t>Natur-Ware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cutlery can be composted along with food scraps in zero-waste programs.</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Both Natur-Bag</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Natur-Ware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are fully certified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the United States, NTIC markets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rust and corrosion inhibiting products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strategic partners. Prior to placing an order, NTIC’s technical service consultants work directly with the end users of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performance requirements.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In China, NTIC sells its products and services through NTIC China. NTIC has a wholly-owned or majority-owned subsidiaries to conduct its business in Brazil, Mexico, Vietnam and Singapore.</w:t>
      </w:r>
    </w:p>
    <w:p>
      <w:pPr>
        <w:spacing w:after="0" w:line="174"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auto"/>
        </w:rPr>
        <w:t>With respect to the sales and marketing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Additionally, NTIC has worked to adapt its marketing activities in light of the COVID-19 pandemic. NTIC continues to believe the sale of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to customers in the oil and gas industry will involve long sales cycles, likely including multi-year trial periods with each user and a slow integration process thereafter.</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In the United States, NTIC markets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 network of national and regional distributors and independent manufacturer’s sales representatives and two NTIC direct sales employees as of</w:t>
      </w:r>
    </w:p>
    <w:p>
      <w:pPr>
        <w:ind w:right="100"/>
        <w:spacing w:after="0" w:line="224" w:lineRule="auto"/>
        <w:rPr>
          <w:sz w:val="20"/>
          <w:szCs w:val="20"/>
          <w:color w:val="auto"/>
        </w:rPr>
      </w:pPr>
      <w:r>
        <w:rPr>
          <w:rFonts w:ascii="Arial" w:cs="Arial" w:eastAsia="Arial" w:hAnsi="Arial"/>
          <w:sz w:val="16"/>
          <w:szCs w:val="16"/>
          <w:color w:val="auto"/>
        </w:rPr>
        <w:t>August 31, 2020.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include film extruders and injection molders</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that would purchase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to manufacture and sell their own finished bio-based and compostable end products, such as film, bags, and cutlery. Additionally, NTIC is targeting retailers and customers that may have applications for our products related to the COVID-19 pandemic.</w:t>
      </w: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Internationally, NTIC uses Natur-Tec India, Natur Tec Lanka, NTI China and a network of international distributors to market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With Indian government mandates banning the use of non-biodegradable plastics in certain types of food and consumer packaging, NTIC expects the market in India for bio-plastic packaging solutions to continue to grow substantially. Similarly, in the last fiscal year, NTIC saw a rise in the sales of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in China and anticipates that sales will continue to grow.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While NTIC is unaware of any third parties with which NTIC competes on a worldwide basis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corrosion prevention solutions, NTIC does compete with several third parties on a regional basis.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w:t>
      </w:r>
    </w:p>
    <w:p>
      <w:pPr>
        <w:spacing w:after="0" w:line="2" w:lineRule="exact"/>
        <w:rPr>
          <w:sz w:val="20"/>
          <w:szCs w:val="20"/>
          <w:color w:val="auto"/>
        </w:rPr>
      </w:pPr>
    </w:p>
    <w:p>
      <w:pPr>
        <w:jc w:val="both"/>
        <w:ind w:right="240"/>
        <w:spacing w:after="0" w:line="220" w:lineRule="auto"/>
        <w:rPr>
          <w:sz w:val="20"/>
          <w:szCs w:val="20"/>
          <w:color w:val="auto"/>
        </w:rPr>
      </w:pPr>
      <w:r>
        <w:rPr>
          <w:rFonts w:ascii="Arial" w:cs="Arial" w:eastAsia="Arial" w:hAnsi="Arial"/>
          <w:sz w:val="18"/>
          <w:szCs w:val="18"/>
          <w:color w:val="auto"/>
        </w:rPr>
        <w:t>products. Nonetheless, the commoditization of certain of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has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2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With respect to NTIC’s corrosion prevention solutions for use in the oil and gas industry, NTIC’s primary barrier to entry is a combination of conservatism, complacency, and confidence in old approaches, as well as the complexity of the buying organizations. Some of NTIC’s competitors with respect to its</w:t>
      </w:r>
    </w:p>
    <w:p>
      <w:pPr>
        <w:ind w:right="40"/>
        <w:spacing w:after="0" w:line="237" w:lineRule="auto"/>
        <w:rPr>
          <w:sz w:val="20"/>
          <w:szCs w:val="20"/>
          <w:color w:val="auto"/>
        </w:rPr>
      </w:pPr>
      <w:r>
        <w:rPr>
          <w:rFonts w:ascii="Arial" w:cs="Arial" w:eastAsia="Arial" w:hAnsi="Arial"/>
          <w:sz w:val="18"/>
          <w:szCs w:val="18"/>
          <w:color w:val="auto"/>
        </w:rPr>
        <w:t>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2" w:name="page13"/>
    <w:bookmarkEnd w:id="12"/>
    <w:p>
      <w:pPr>
        <w:ind w:right="60"/>
        <w:spacing w:after="0" w:line="258"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w:t>
      </w:r>
    </w:p>
    <w:p>
      <w:pPr>
        <w:ind w:right="80"/>
        <w:spacing w:after="0" w:line="206" w:lineRule="auto"/>
        <w:rPr>
          <w:sz w:val="20"/>
          <w:szCs w:val="20"/>
          <w:color w:val="auto"/>
        </w:rPr>
      </w:pPr>
      <w:r>
        <w:rPr>
          <w:rFonts w:ascii="Arial" w:cs="Arial" w:eastAsia="Arial" w:hAnsi="Arial"/>
          <w:sz w:val="16"/>
          <w:szCs w:val="16"/>
          <w:color w:val="auto"/>
        </w:rPr>
        <w:t>offering, improved shelf life, place of manufacture, and price. Because of price competition, NTIC’s margins on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NTIC also has encountered in the past and could continue to</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encounter additional supply constraints for the base resins used to manufacture NTIC’s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since there are a limited number of suppliers of such base resins and limited capacity for their production.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wholly-owned subsidiary, Excor Korrosionsforschung GmbH, to conduct research into new fields of corrosion inhibiting packaging and the applications engineering of such products in</w:t>
      </w:r>
    </w:p>
    <w:p>
      <w:pPr>
        <w:spacing w:after="0" w:line="2" w:lineRule="exact"/>
        <w:rPr>
          <w:sz w:val="20"/>
          <w:szCs w:val="20"/>
          <w:color w:val="auto"/>
        </w:rPr>
      </w:pPr>
    </w:p>
    <w:p>
      <w:pPr>
        <w:ind w:right="460"/>
        <w:spacing w:after="0" w:line="221" w:lineRule="auto"/>
        <w:rPr>
          <w:sz w:val="20"/>
          <w:szCs w:val="20"/>
          <w:color w:val="auto"/>
        </w:rPr>
      </w:pPr>
      <w:r>
        <w:rPr>
          <w:rFonts w:ascii="Arial" w:cs="Arial" w:eastAsia="Arial" w:hAnsi="Arial"/>
          <w:sz w:val="18"/>
          <w:szCs w:val="18"/>
          <w:color w:val="auto"/>
        </w:rPr>
        <w:t>conjunction with NTIC’s domestic research and development operations. With respect to NTIC’s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NTIC anticipates that it will spend between $3,900,000 and $4,100,000 in fiscal 2021 on research and development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w:t>
      </w:r>
    </w:p>
    <w:p>
      <w:pPr>
        <w:ind w:right="60"/>
        <w:spacing w:after="0" w:line="214" w:lineRule="auto"/>
        <w:rPr>
          <w:sz w:val="20"/>
          <w:szCs w:val="20"/>
          <w:color w:val="auto"/>
        </w:rPr>
      </w:pPr>
      <w:r>
        <w:rPr>
          <w:rFonts w:ascii="Arial" w:cs="Arial" w:eastAsia="Arial" w:hAnsi="Arial"/>
          <w:sz w:val="17"/>
          <w:szCs w:val="17"/>
          <w:color w:val="auto"/>
        </w:rPr>
        <w:t>registered trademarks: NTI</w:t>
      </w:r>
      <w:r>
        <w:rPr>
          <w:rFonts w:ascii="Arial" w:cs="Arial" w:eastAsia="Arial" w:hAnsi="Arial"/>
          <w:sz w:val="28"/>
          <w:szCs w:val="28"/>
          <w:color w:val="auto"/>
          <w:vertAlign w:val="superscript"/>
        </w:rPr>
        <w:t>®</w:t>
      </w:r>
      <w:r>
        <w:rPr>
          <w:rFonts w:ascii="Arial" w:cs="Arial" w:eastAsia="Arial" w:hAnsi="Arial"/>
          <w:sz w:val="17"/>
          <w:szCs w:val="17"/>
          <w:color w:val="auto"/>
        </w:rPr>
        <w:t>, NTI &amp; Globe Design</w:t>
      </w:r>
      <w:r>
        <w:rPr>
          <w:rFonts w:ascii="Arial" w:cs="Arial" w:eastAsia="Arial" w:hAnsi="Arial"/>
          <w:sz w:val="28"/>
          <w:szCs w:val="28"/>
          <w:color w:val="auto"/>
          <w:vertAlign w:val="superscript"/>
        </w:rPr>
        <w:t>®</w:t>
      </w:r>
      <w:r>
        <w:rPr>
          <w:rFonts w:ascii="Arial" w:cs="Arial" w:eastAsia="Arial" w:hAnsi="Arial"/>
          <w:sz w:val="17"/>
          <w:szCs w:val="17"/>
          <w:color w:val="auto"/>
        </w:rPr>
        <w:t>, ZERUST</w:t>
      </w:r>
      <w:r>
        <w:rPr>
          <w:rFonts w:ascii="Arial" w:cs="Arial" w:eastAsia="Arial" w:hAnsi="Arial"/>
          <w:sz w:val="28"/>
          <w:szCs w:val="28"/>
          <w:color w:val="auto"/>
          <w:vertAlign w:val="superscript"/>
        </w:rPr>
        <w:t>®</w:t>
      </w:r>
      <w:r>
        <w:rPr>
          <w:rFonts w:ascii="Arial" w:cs="Arial" w:eastAsia="Arial" w:hAnsi="Arial"/>
          <w:sz w:val="17"/>
          <w:szCs w:val="17"/>
          <w:color w:val="auto"/>
        </w:rPr>
        <w:t>, EXCOR</w:t>
      </w:r>
      <w:r>
        <w:rPr>
          <w:rFonts w:ascii="Arial" w:cs="Arial" w:eastAsia="Arial" w:hAnsi="Arial"/>
          <w:sz w:val="28"/>
          <w:szCs w:val="28"/>
          <w:color w:val="auto"/>
          <w:vertAlign w:val="superscript"/>
        </w:rPr>
        <w:t>®</w:t>
      </w:r>
      <w:r>
        <w:rPr>
          <w:rFonts w:ascii="Arial" w:cs="Arial" w:eastAsia="Arial" w:hAnsi="Arial"/>
          <w:sz w:val="17"/>
          <w:szCs w:val="17"/>
          <w:color w:val="auto"/>
        </w:rPr>
        <w:t>, ICT</w:t>
      </w:r>
      <w:r>
        <w:rPr>
          <w:rFonts w:ascii="Arial" w:cs="Arial" w:eastAsia="Arial" w:hAnsi="Arial"/>
          <w:sz w:val="28"/>
          <w:szCs w:val="28"/>
          <w:color w:val="auto"/>
          <w:vertAlign w:val="superscript"/>
        </w:rPr>
        <w:t>®</w:t>
      </w:r>
      <w:r>
        <w:rPr>
          <w:rFonts w:ascii="Arial" w:cs="Arial" w:eastAsia="Arial" w:hAnsi="Arial"/>
          <w:sz w:val="17"/>
          <w:szCs w:val="17"/>
          <w:color w:val="auto"/>
        </w:rPr>
        <w:t>, Z-CIS</w:t>
      </w:r>
      <w:r>
        <w:rPr>
          <w:rFonts w:ascii="Arial" w:cs="Arial" w:eastAsia="Arial" w:hAnsi="Arial"/>
          <w:sz w:val="28"/>
          <w:szCs w:val="28"/>
          <w:color w:val="auto"/>
          <w:vertAlign w:val="superscript"/>
        </w:rPr>
        <w:t>®</w:t>
      </w:r>
      <w:r>
        <w:rPr>
          <w:rFonts w:ascii="Arial" w:cs="Arial" w:eastAsia="Arial" w:hAnsi="Arial"/>
          <w:sz w:val="17"/>
          <w:szCs w:val="17"/>
          <w:color w:val="auto"/>
        </w:rPr>
        <w:t>, COR TAB</w:t>
      </w:r>
      <w:r>
        <w:rPr>
          <w:rFonts w:ascii="Arial" w:cs="Arial" w:eastAsia="Arial" w:hAnsi="Arial"/>
          <w:sz w:val="28"/>
          <w:szCs w:val="28"/>
          <w:color w:val="auto"/>
          <w:vertAlign w:val="superscript"/>
        </w:rPr>
        <w:t>®</w:t>
      </w:r>
      <w:r>
        <w:rPr>
          <w:rFonts w:ascii="Arial" w:cs="Arial" w:eastAsia="Arial" w:hAnsi="Arial"/>
          <w:sz w:val="17"/>
          <w:szCs w:val="17"/>
          <w:color w:val="auto"/>
        </w:rPr>
        <w:t>, PLASTABS</w:t>
      </w:r>
      <w:r>
        <w:rPr>
          <w:rFonts w:ascii="Arial" w:cs="Arial" w:eastAsia="Arial" w:hAnsi="Arial"/>
          <w:sz w:val="28"/>
          <w:szCs w:val="28"/>
          <w:color w:val="auto"/>
          <w:vertAlign w:val="superscript"/>
        </w:rPr>
        <w:t>®</w:t>
      </w:r>
      <w:r>
        <w:rPr>
          <w:rFonts w:ascii="Arial" w:cs="Arial" w:eastAsia="Arial" w:hAnsi="Arial"/>
          <w:sz w:val="17"/>
          <w:szCs w:val="17"/>
          <w:color w:val="auto"/>
        </w:rPr>
        <w:t>, NATUR-TEC</w:t>
      </w:r>
      <w:r>
        <w:rPr>
          <w:rFonts w:ascii="Arial" w:cs="Arial" w:eastAsia="Arial" w:hAnsi="Arial"/>
          <w:sz w:val="28"/>
          <w:szCs w:val="28"/>
          <w:color w:val="auto"/>
          <w:vertAlign w:val="superscript"/>
        </w:rPr>
        <w:t>®</w:t>
      </w:r>
      <w:r>
        <w:rPr>
          <w:rFonts w:ascii="Arial" w:cs="Arial" w:eastAsia="Arial" w:hAnsi="Arial"/>
          <w:sz w:val="17"/>
          <w:szCs w:val="17"/>
          <w:color w:val="auto"/>
        </w:rPr>
        <w:t>, NATUR-TEC &amp; Design</w:t>
      </w:r>
      <w:r>
        <w:rPr>
          <w:rFonts w:ascii="Arial" w:cs="Arial" w:eastAsia="Arial" w:hAnsi="Arial"/>
          <w:sz w:val="28"/>
          <w:szCs w:val="28"/>
          <w:color w:val="auto"/>
          <w:vertAlign w:val="superscript"/>
        </w:rPr>
        <w:t>®</w:t>
      </w:r>
      <w:r>
        <w:rPr>
          <w:rFonts w:ascii="Arial" w:cs="Arial" w:eastAsia="Arial" w:hAnsi="Arial"/>
          <w:sz w:val="17"/>
          <w:szCs w:val="17"/>
          <w:color w:val="auto"/>
        </w:rPr>
        <w:t>, NATUR-BAG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NATUR-WARE</w:t>
      </w:r>
      <w:r>
        <w:rPr>
          <w:rFonts w:ascii="Arial" w:cs="Arial" w:eastAsia="Arial" w:hAnsi="Arial"/>
          <w:sz w:val="28"/>
          <w:szCs w:val="28"/>
          <w:color w:val="auto"/>
          <w:vertAlign w:val="superscript"/>
        </w:rPr>
        <w:t>®</w:t>
      </w:r>
      <w:r>
        <w:rPr>
          <w:rFonts w:ascii="Arial" w:cs="Arial" w:eastAsia="Arial" w:hAnsi="Arial"/>
          <w:sz w:val="17"/>
          <w:szCs w:val="17"/>
          <w:color w:val="auto"/>
        </w:rPr>
        <w:t>, ZERION</w:t>
      </w:r>
      <w:r>
        <w:rPr>
          <w:rFonts w:ascii="Arial" w:cs="Arial" w:eastAsia="Arial" w:hAnsi="Arial"/>
          <w:sz w:val="28"/>
          <w:szCs w:val="28"/>
          <w:color w:val="auto"/>
          <w:vertAlign w:val="superscript"/>
        </w:rPr>
        <w:t>®</w:t>
      </w:r>
      <w:r>
        <w:rPr>
          <w:rFonts w:ascii="Arial" w:cs="Arial" w:eastAsia="Arial" w:hAnsi="Arial"/>
          <w:sz w:val="17"/>
          <w:szCs w:val="17"/>
          <w:color w:val="auto"/>
        </w:rPr>
        <w:t>, AUTOFOG</w:t>
      </w:r>
      <w:r>
        <w:rPr>
          <w:rFonts w:ascii="Arial" w:cs="Arial" w:eastAsia="Arial" w:hAnsi="Arial"/>
          <w:sz w:val="28"/>
          <w:szCs w:val="28"/>
          <w:color w:val="auto"/>
          <w:vertAlign w:val="superscript"/>
        </w:rPr>
        <w:t>®</w:t>
      </w:r>
      <w:r>
        <w:rPr>
          <w:rFonts w:ascii="Arial" w:cs="Arial" w:eastAsia="Arial" w:hAnsi="Arial"/>
          <w:sz w:val="17"/>
          <w:szCs w:val="17"/>
          <w:color w:val="auto"/>
        </w:rPr>
        <w:t>, FLANGE SAVER</w:t>
      </w:r>
      <w:r>
        <w:rPr>
          <w:rFonts w:ascii="Arial" w:cs="Arial" w:eastAsia="Arial" w:hAnsi="Arial"/>
          <w:sz w:val="28"/>
          <w:szCs w:val="28"/>
          <w:color w:val="auto"/>
          <w:vertAlign w:val="superscript"/>
        </w:rPr>
        <w:t>®</w:t>
      </w:r>
      <w:r>
        <w:rPr>
          <w:rFonts w:ascii="Arial" w:cs="Arial" w:eastAsia="Arial" w:hAnsi="Arial"/>
          <w:sz w:val="17"/>
          <w:szCs w:val="17"/>
          <w:color w:val="auto"/>
        </w:rPr>
        <w:t>, and ACTIVPAK</w:t>
      </w:r>
      <w:r>
        <w:rPr>
          <w:rFonts w:ascii="Arial" w:cs="Arial" w:eastAsia="Arial" w:hAnsi="Arial"/>
          <w:sz w:val="28"/>
          <w:szCs w:val="28"/>
          <w:color w:val="auto"/>
          <w:vertAlign w:val="superscript"/>
        </w:rPr>
        <w:t>®</w:t>
      </w:r>
      <w:r>
        <w:rPr>
          <w:rFonts w:ascii="Arial" w:cs="Arial" w:eastAsia="Arial" w:hAnsi="Arial"/>
          <w:sz w:val="17"/>
          <w:szCs w:val="17"/>
          <w:color w:val="auto"/>
        </w:rPr>
        <w:t>. NTIC also has a registered trademark on the use of the Color Yellow with respect to corrosion inhibiting packaging. Furthermore, NTI</w:t>
      </w:r>
      <w:r>
        <w:rPr>
          <w:rFonts w:ascii="Arial" w:cs="Arial" w:eastAsia="Arial" w:hAnsi="Arial"/>
          <w:sz w:val="28"/>
          <w:szCs w:val="28"/>
          <w:color w:val="auto"/>
          <w:vertAlign w:val="superscript"/>
        </w:rPr>
        <w:t>®</w:t>
      </w:r>
      <w:r>
        <w:rPr>
          <w:rFonts w:ascii="Arial" w:cs="Arial" w:eastAsia="Arial" w:hAnsi="Arial"/>
          <w:sz w:val="17"/>
          <w:szCs w:val="17"/>
          <w:color w:val="auto"/>
        </w:rPr>
        <w:t>, ZERUST</w:t>
      </w:r>
      <w:r>
        <w:rPr>
          <w:rFonts w:ascii="Arial" w:cs="Arial" w:eastAsia="Arial" w:hAnsi="Arial"/>
          <w:sz w:val="28"/>
          <w:szCs w:val="28"/>
          <w:color w:val="auto"/>
          <w:vertAlign w:val="superscript"/>
        </w:rPr>
        <w:t>®</w:t>
      </w:r>
      <w:r>
        <w:rPr>
          <w:rFonts w:ascii="Arial" w:cs="Arial" w:eastAsia="Arial" w:hAnsi="Arial"/>
          <w:sz w:val="17"/>
          <w:szCs w:val="17"/>
          <w:color w:val="auto"/>
        </w:rPr>
        <w:t>, EXCOR</w:t>
      </w:r>
      <w:r>
        <w:rPr>
          <w:rFonts w:ascii="Arial" w:cs="Arial" w:eastAsia="Arial" w:hAnsi="Arial"/>
          <w:sz w:val="28"/>
          <w:szCs w:val="28"/>
          <w:color w:val="auto"/>
          <w:vertAlign w:val="superscript"/>
        </w:rPr>
        <w:t>®</w:t>
      </w:r>
      <w:r>
        <w:rPr>
          <w:rFonts w:ascii="Arial" w:cs="Arial" w:eastAsia="Arial" w:hAnsi="Arial"/>
          <w:sz w:val="17"/>
          <w:szCs w:val="17"/>
          <w:color w:val="auto"/>
        </w:rPr>
        <w:t>, the Color Yellow</w:t>
      </w:r>
      <w:r>
        <w:rPr>
          <w:rFonts w:ascii="Arial" w:cs="Arial" w:eastAsia="Arial" w:hAnsi="Arial"/>
          <w:sz w:val="28"/>
          <w:szCs w:val="28"/>
          <w:color w:val="auto"/>
          <w:vertAlign w:val="superscript"/>
        </w:rPr>
        <w:t>®</w:t>
      </w:r>
      <w:r>
        <w:rPr>
          <w:rFonts w:ascii="Arial" w:cs="Arial" w:eastAsia="Arial" w:hAnsi="Arial"/>
          <w:sz w:val="17"/>
          <w:szCs w:val="17"/>
          <w:color w:val="auto"/>
        </w:rPr>
        <w:t>, and NTI ASEAN</w:t>
      </w:r>
      <w:r>
        <w:rPr>
          <w:rFonts w:ascii="Arial" w:cs="Arial" w:eastAsia="Arial" w:hAnsi="Arial"/>
          <w:sz w:val="28"/>
          <w:szCs w:val="28"/>
          <w:color w:val="auto"/>
          <w:vertAlign w:val="superscript"/>
        </w:rPr>
        <w:t>®</w:t>
      </w:r>
      <w:r>
        <w:rPr>
          <w:rFonts w:ascii="Arial" w:cs="Arial" w:eastAsia="Arial" w:hAnsi="Arial"/>
          <w:sz w:val="17"/>
          <w:szCs w:val="17"/>
          <w:color w:val="auto"/>
        </w:rPr>
        <w:t>, as well as other marks, have been registered in the European Union, and several new applications are pending.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13" w:name="page14"/>
    <w:bookmarkEnd w:id="13"/>
    <w:p>
      <w:pPr>
        <w:ind w:right="60"/>
        <w:spacing w:after="0" w:line="273" w:lineRule="auto"/>
        <w:rPr>
          <w:sz w:val="20"/>
          <w:szCs w:val="20"/>
          <w:color w:val="auto"/>
        </w:rPr>
      </w:pPr>
      <w:r>
        <w:rPr>
          <w:rFonts w:ascii="Arial" w:cs="Arial" w:eastAsia="Arial" w:hAnsi="Arial"/>
          <w:sz w:val="17"/>
          <w:szCs w:val="17"/>
          <w:color w:val="auto"/>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jc w:val="both"/>
        <w:ind w:right="380"/>
        <w:spacing w:after="0" w:line="211" w:lineRule="auto"/>
        <w:rPr>
          <w:sz w:val="20"/>
          <w:szCs w:val="20"/>
          <w:color w:val="auto"/>
        </w:rPr>
      </w:pPr>
      <w:r>
        <w:rPr>
          <w:rFonts w:ascii="Arial" w:cs="Arial" w:eastAsia="Arial" w:hAnsi="Arial"/>
          <w:sz w:val="17"/>
          <w:szCs w:val="17"/>
          <w:color w:val="auto"/>
        </w:rPr>
        <w:t>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are manufactured according to NTIC’s specifications primarily by selected independent sub-contractors under trade secrecy agreements and/or license agreements. In addition, NTIC manufactures select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consisting primarily of liquids and powders, at its corporate headquarters location in Circle Pines, Minnesota.</w:t>
      </w:r>
    </w:p>
    <w:p>
      <w:pPr>
        <w:spacing w:after="0" w:line="207"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produced at facilities in India, China, Malaysia, and California, USA.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can be shipped to manufacturing facilities around the world, where they then can be converted into finished products, such as a bag or piece of cutlery.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manufactured using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by select sub-contractors.</w:t>
      </w:r>
    </w:p>
    <w:p>
      <w:pPr>
        <w:spacing w:after="0" w:line="5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 does not typically carry excess quantities of raw materials because of widespread availability for such materials from various suppliers. However, with respect to its Natur-Tec® resin compounds and finished products, there are a limited number of suppliers of the base resins used to manufacture the resin compounds and finished products. Additionally, there is growing demand for these base resins. In the past and during fiscal year 2020, NTIC has experienced some delays in obtaining such base resins. In addition, a few raw materials and purchased parts used in NTIC’s rust and corrosion inhibiting products and Natur-Tec® finished products are sourced from suppliers who currently serve as NTIC’s sole source of supply for these materials and parts. Although NTIC believes it can obtain these raw materials and parts from other suppliers, an unexpected loss of supply over a short period of time may not allow NTIC time to replace these sources in the ordinary course of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had an estimated order backlog of $3,593,000 as of August 31, 2020, compared to $3,224,000 as of August 31, 2019, which was generally across all business units. Sales relating to this backlog are expected to be realized during first quarter of fiscal 2021. These are orders that are held by NTIC pending release instructions from the customers to be used for just-in-time production. Customers generally place orders on an “as needed” basis and expect delivery within a relatively short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ICT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of August 31, 2020, NTIC had 78 full-time employees located in North America, consisting of 21 in sales and marketing, 19 in research and development and lab, 27 in administration, and 11 in production. As of August 31, 2020, NTIC’s wholly-owned subsidiary in China had 35 full-time employees, its majority-owned subsidiary in Brazil had 20 full-time employees, its majority-owned subsidiary in India had 9 full-time employees, its wholly owned subsidiary in Mexico had no full-time employees, and its holding company, NTI Asean, had no full-time employees. There are no unions representing NTIC’s employees, and NTIC believes that its relations with its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report on Form 10-K contains not only historical information, but also forward-looking statements that are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Arial" w:cs="Arial" w:eastAsia="Arial" w:hAnsi="Arial"/>
          <w:sz w:val="17"/>
          <w:szCs w:val="17"/>
          <w:i w:val="1"/>
          <w:iCs w:val="1"/>
          <w:color w:val="auto"/>
        </w:rPr>
        <w:t>Part II. Item 7. 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5" w:name="page16"/>
    <w:bookmarkEnd w:id="15"/>
    <w:p>
      <w:pPr>
        <w:ind w:left="328" w:right="640" w:hanging="328"/>
        <w:spacing w:after="0" w:line="258"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 w:lineRule="exact"/>
        <w:rPr>
          <w:rFonts w:ascii="Arial" w:cs="Arial" w:eastAsia="Arial" w:hAnsi="Arial"/>
          <w:sz w:val="18"/>
          <w:szCs w:val="18"/>
          <w:color w:val="auto"/>
        </w:rPr>
      </w:pPr>
    </w:p>
    <w:p>
      <w:pPr>
        <w:ind w:left="328" w:right="80" w:hanging="328"/>
        <w:spacing w:after="0" w:line="205" w:lineRule="auto"/>
        <w:tabs>
          <w:tab w:leader="none" w:pos="328" w:val="left"/>
        </w:tabs>
        <w:numPr>
          <w:ilvl w:val="0"/>
          <w:numId w:val="7"/>
        </w:numPr>
        <w:rPr>
          <w:rFonts w:ascii="Arial" w:cs="Arial" w:eastAsia="Arial" w:hAnsi="Arial"/>
          <w:sz w:val="32"/>
          <w:szCs w:val="32"/>
          <w:color w:val="auto"/>
          <w:vertAlign w:val="superscript"/>
        </w:rPr>
      </w:pPr>
      <w:r>
        <w:rPr>
          <w:rFonts w:ascii="Arial" w:cs="Arial" w:eastAsia="Arial" w:hAnsi="Arial"/>
          <w:sz w:val="16"/>
          <w:szCs w:val="16"/>
          <w:color w:val="auto"/>
        </w:rPr>
        <w:t>Variability in NTIC’s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from joint ventures, in turn, subject NTIC’s earnings to quarterly fluctuations;</w:t>
      </w:r>
    </w:p>
    <w:p>
      <w:pPr>
        <w:spacing w:after="0" w:line="1" w:lineRule="exact"/>
        <w:rPr>
          <w:rFonts w:ascii="Arial" w:cs="Arial" w:eastAsia="Arial" w:hAnsi="Arial"/>
          <w:sz w:val="32"/>
          <w:szCs w:val="32"/>
          <w:color w:val="auto"/>
          <w:vertAlign w:val="superscript"/>
        </w:rPr>
      </w:pPr>
    </w:p>
    <w:p>
      <w:pPr>
        <w:ind w:left="328" w:right="20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ind w:left="328" w:right="24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9" w:lineRule="exact"/>
        <w:rPr>
          <w:rFonts w:ascii="Arial" w:cs="Arial" w:eastAsia="Arial" w:hAnsi="Arial"/>
          <w:sz w:val="18"/>
          <w:szCs w:val="18"/>
          <w:color w:val="auto"/>
        </w:rPr>
      </w:pPr>
    </w:p>
    <w:p>
      <w:pPr>
        <w:ind w:left="328" w:right="26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9" w:lineRule="exact"/>
        <w:rPr>
          <w:rFonts w:ascii="Arial" w:cs="Arial" w:eastAsia="Arial" w:hAnsi="Arial"/>
          <w:sz w:val="18"/>
          <w:szCs w:val="18"/>
          <w:color w:val="auto"/>
        </w:rPr>
      </w:pPr>
    </w:p>
    <w:p>
      <w:pPr>
        <w:ind w:left="328" w:right="200" w:hanging="328"/>
        <w:spacing w:after="0" w:line="189"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to the oil and gas industry and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9" w:lineRule="exact"/>
        <w:rPr>
          <w:rFonts w:ascii="Arial" w:cs="Arial" w:eastAsia="Arial" w:hAnsi="Arial"/>
          <w:sz w:val="18"/>
          <w:szCs w:val="18"/>
          <w:color w:val="auto"/>
        </w:rPr>
      </w:pPr>
    </w:p>
    <w:p>
      <w:pPr>
        <w:ind w:left="328" w:right="440" w:hanging="328"/>
        <w:spacing w:after="0" w:line="182" w:lineRule="auto"/>
        <w:tabs>
          <w:tab w:leader="none" w:pos="328"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1" w:lineRule="exact"/>
        <w:rPr>
          <w:rFonts w:ascii="Arial" w:cs="Arial" w:eastAsia="Arial" w:hAnsi="Arial"/>
          <w:sz w:val="36"/>
          <w:szCs w:val="36"/>
          <w:color w:val="auto"/>
          <w:vertAlign w:val="superscript"/>
        </w:rPr>
      </w:pPr>
    </w:p>
    <w:p>
      <w:pPr>
        <w:ind w:left="328" w:right="160" w:hanging="328"/>
        <w:spacing w:after="0" w:line="182" w:lineRule="auto"/>
        <w:tabs>
          <w:tab w:leader="none" w:pos="328"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1" w:lineRule="exact"/>
        <w:rPr>
          <w:rFonts w:ascii="Arial" w:cs="Arial" w:eastAsia="Arial" w:hAnsi="Arial"/>
          <w:sz w:val="36"/>
          <w:szCs w:val="36"/>
          <w:color w:val="auto"/>
          <w:vertAlign w:val="superscript"/>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9" w:lineRule="exact"/>
        <w:rPr>
          <w:rFonts w:ascii="Arial" w:cs="Arial" w:eastAsia="Arial" w:hAnsi="Arial"/>
          <w:sz w:val="18"/>
          <w:szCs w:val="18"/>
          <w:color w:val="auto"/>
        </w:rPr>
      </w:pPr>
    </w:p>
    <w:p>
      <w:pPr>
        <w:ind w:left="328" w:hanging="328"/>
        <w:spacing w:after="0" w:line="192" w:lineRule="auto"/>
        <w:tabs>
          <w:tab w:leader="none" w:pos="328"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Oil prices, which may affect sales of NTIC’s ZERUST</w:t>
      </w:r>
      <w:r>
        <w:rPr>
          <w:rFonts w:ascii="Arial" w:cs="Arial" w:eastAsia="Arial" w:hAnsi="Arial"/>
          <w:sz w:val="23"/>
          <w:szCs w:val="23"/>
          <w:color w:val="auto"/>
          <w:vertAlign w:val="superscript"/>
        </w:rPr>
        <w:t>®</w:t>
      </w:r>
      <w:r>
        <w:rPr>
          <w:rFonts w:ascii="Arial" w:cs="Arial" w:eastAsia="Arial" w:hAnsi="Arial"/>
          <w:sz w:val="15"/>
          <w:szCs w:val="15"/>
          <w:color w:val="auto"/>
        </w:rPr>
        <w:t xml:space="preserve"> products and services to the oil and gas industry;</w:t>
      </w:r>
    </w:p>
    <w:p>
      <w:pPr>
        <w:ind w:left="328" w:right="540" w:hanging="328"/>
        <w:spacing w:after="0" w:line="264"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ind w:left="328"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319"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8"/>
          </w:cols>
          <w:pgMar w:left="652" w:top="800" w:right="379" w:bottom="1440" w:gutter="0" w:footer="0" w:header="0"/>
        </w:sectPr>
      </w:pPr>
    </w:p>
    <w:bookmarkStart w:id="16" w:name="page17"/>
    <w:bookmarkEnd w:id="16"/>
    <w:p>
      <w:pPr>
        <w:ind w:right="100"/>
        <w:spacing w:after="0" w:line="263"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I. Item 1A. Risk Factors</w:t>
      </w:r>
      <w:r>
        <w:rPr>
          <w:rFonts w:ascii="Arial" w:cs="Arial" w:eastAsia="Arial" w:hAnsi="Arial"/>
          <w:sz w:val="18"/>
          <w:szCs w:val="18"/>
          <w:color w:val="auto"/>
        </w:rPr>
        <w:t>.”</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material factors known to NTIC that could materially adversely affect its business, operating results, or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Business and Industry</w:t>
      </w:r>
    </w:p>
    <w:p>
      <w:pPr>
        <w:spacing w:after="0" w:line="2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Any weakness in the global economy, and in particular in the United States, Europe, India and China, and in the automotive industry, may negatively impact NTIC’s business, operating results, and financial condition.</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U.S. and world economies may suffer from uncertainty, volatility, disruption, and other adverse conditions, such as the impact of the COVID-19 pandemic, and those conditions have adversely impacted and may continue to adversely impact the business community and the financial markets. Adverse economic and financial market conditions may negatively affect NTIC’s customers and its markets, thereby negatively impacting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spacing w:after="0" w:line="17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NTIC’s operating results are especially dependent upon the economic health of the economies in the United States, Europe, India and China. Since a significant portion of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are sold to customers in the automotive industry, adverse economic conditions affecting the automotive industry, in particular, may result in an adverse effect on NTIC’s net sales and its other operating results. Accordingly, any weakness in the global economy, particularly the United States, Europe, India and China, and in the automotive industry, have negatively impacted and may continue to negatively impact NTIC’s business, operating results, and financial condition.</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7" w:name="page18"/>
    <w:bookmarkEnd w:id="17"/>
    <w:p>
      <w:pPr>
        <w:ind w:right="640"/>
        <w:spacing w:after="0" w:line="258" w:lineRule="auto"/>
        <w:rPr>
          <w:sz w:val="20"/>
          <w:szCs w:val="20"/>
          <w:color w:val="auto"/>
        </w:rPr>
      </w:pPr>
      <w:r>
        <w:rPr>
          <w:rFonts w:ascii="Arial" w:cs="Arial" w:eastAsia="Arial" w:hAnsi="Arial"/>
          <w:sz w:val="18"/>
          <w:szCs w:val="18"/>
          <w:b w:val="1"/>
          <w:bCs w:val="1"/>
          <w:i w:val="1"/>
          <w:iCs w:val="1"/>
          <w:color w:val="auto"/>
        </w:rPr>
        <w:t>The COVID-19 pandemic has adversely impacted and will likely continue to adversely impact NTIC’s business, operating results and financial condition.</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COVID-19 pandemic has resulted in a substantial curtailment of business activities worldwide and has caused, and continues to cause, recessionary economic conditions in many countries, including the United States and many countries abroad. As part of efforts to contain the spread of COVID-19, many state, local and foreign governments have imposed various restrictions on the conduct of business and travel. While some of these restrictions have been curtailed or lifted, others have been reinstated or may be reinstated in the future. Government restrictions, such as stay-at-home orders, quarantines and worker absenteeism as a result of COVID-19 have led to a significant number of business closures and slowdowns. These business closures and slowdowns adversely impacted, and will likely continue to adversely impact, NTIC directly and have caused its customers and suppliers to slow or stop production, which has significantly disrupted and will likely continue to significantly disrupt NTIC’s sales, production and supply chain. For example, as a result of the COVID-19 outbreak in China, NTIC experienced decreased demand for its products and services in China and other places in Asia, commencing during the second quarter of fiscal 2020. These and other factors contributed to NTIC experiencing significantly decreased global demand for its products and services during fiscal 2020, which will likely continue during fiscal 2021. This significantly decreased demand has had, and will likely continue to have, a material adverse effect on NTIC’s business, operating results and financial condition in fiscal 2021. Due to the international reach of COVID-19, NTIC anticipates that its international joint ventures will continue to be adversely impacted by the causes listed above, as well as other local issues that may arise, which will likely continue to have a material adverse effect on NTIC’s joint venture operations and equity in income from joint ventures.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deepening the current worldwide economic downturn, which could have a significant adverse effect on NTIC’s business, operating results and financial condition.</w:t>
      </w:r>
    </w:p>
    <w:p>
      <w:pPr>
        <w:spacing w:after="0" w:line="19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extent to which the COVID-19 pandemic impacts NTIC’s business will likely depend on numerous evolving factors that NTIC may not be able to accurately predict,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on NTIC’s customers and demand for its products and services;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ability to continue to manufacture and sell its products and services, including as a result of travel restrictions and people working from home;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NTIC’s customers to pay for its products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closures of NTIC’s facilities and the facilities of its customers and suppliers.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of these events could materially adversely affect NTIC’s business, operating results and financial condition. In addition, the COVID-19 pandemic has already adversely affected and could continue to adversely affect NTIC’s stock price.</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Changes to trade regulation, quotas, duties, or tariffs, caused by the changing U.S. and geopolitical environments or otherwise, may negatively impact NTIC’s business, operating results, and financial condition.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is significant uncertainty about the future relationship between the United States and other countries with respect to trade policies, taxes, government regulations, and tariffs. The current U.S. administration has signaled support for implementing and, in some instances, has already proposed or taken action with respect to major changes to certain trade policies in an effort to encourage U.S. production. Such changes include the imposition of additional tariffs on imported products in an effort to address trade imbalances, specifically with China, the withdrawal of the U.S. from the Trans-Pacific Partnership, and the renegotiation of the North American Free Trade Agreement. In response to such actions, certain countries have imposed retaliatory actions against the U.S. NTIC and its subsidiaries and joint ventures engage in sales outside of the United States and is, therefore, negatively impacted by such actions. Any changes or potential changes in trade policies in the United States, including changes stemming from the 2020 presidential election in the United States, and the potential corresponding actions by other countries in which NTIC does business could adversely and materially affect NTIC’s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Financial Position and Need for Additional Capital</w:t>
      </w:r>
    </w:p>
    <w:p>
      <w:pPr>
        <w:spacing w:after="0" w:line="229"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b w:val="1"/>
          <w:bCs w:val="1"/>
          <w:i w:val="1"/>
          <w:iCs w:val="1"/>
          <w:color w:val="auto"/>
        </w:rPr>
        <w:t>Changes to the London Interbank Offered Rate (LIBOR) or the replacement of LIBOR with an alternative reference rate may require NTIC to renegotiate its revolving line of credit.</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the option of NTIC, outstanding advances under NTIC’s $3,000,000 revolving line of credit with PNC Bank, National Association (PNC Bank) bear interest at either (a) an annual rate based on LIBOR plus 2.15% for the applicable LIBOR interest period selected by NTIC or (b) at the rate publicly announced by PNC Bank from time to time as its prime rate. On July 27, 2017, the Financial Conduct Authority in the United Kingdom announced that it would phase out LIBOR as a benchmark by the end of 2021. If LIBOR ceases to exist, NTIC may need to renegotiate its credit facility, and it may not be able to do so on terms that are favorable to NTIC. Further, the overall financial market may be disrupted as a result of the phase-out or replacement of LIBOR. The U.S. Federal Reserve, in conjunction with the Alternative Reference Rates Committee, a steering committee comprised of large U.S. financial institutions, is considering replacing LIBOR with the Secured Overnight Financing Rate (SOFR), a new index calculated by short-term repurchase agreements, backed by Treasury securities. However, whether or not SOFR attains market traction as a LIBOR replacement tool remains in question, and the future of LIBOR remains uncertain at this time. The uncertainty related to the phase-out or replacement of LIBOR could disrupt the overall financial market and adversely affect NTIC’s ability to renegotiate its revolving line of credit.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8" w:name="page19"/>
    <w:bookmarkEnd w:id="18"/>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 </w:t>
      </w:r>
      <w:r>
        <w:rPr>
          <w:rFonts w:ascii="Arial" w:cs="Arial" w:eastAsia="Arial" w:hAnsi="Arial"/>
          <w:sz w:val="16"/>
          <w:szCs w:val="16"/>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including the imposition of higher tariffs and withdrawal from the Trans-Pacific Partnership,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67"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2020, NTIC recognized $4,612,885 in fees and $5,672,099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79"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9" w:name="page20"/>
    <w:bookmarkEnd w:id="19"/>
    <w:p>
      <w:pPr>
        <w:ind w:right="560"/>
        <w:spacing w:after="0" w:line="255" w:lineRule="auto"/>
        <w:rPr>
          <w:sz w:val="20"/>
          <w:szCs w:val="20"/>
          <w:color w:val="auto"/>
        </w:rPr>
      </w:pPr>
      <w:r>
        <w:rPr>
          <w:rFonts w:ascii="Arial" w:cs="Arial" w:eastAsia="Arial" w:hAnsi="Arial"/>
          <w:sz w:val="18"/>
          <w:szCs w:val="18"/>
          <w:b w:val="1"/>
          <w:bCs w:val="1"/>
          <w:i w:val="1"/>
          <w:iCs w:val="1"/>
          <w:color w:val="auto"/>
        </w:rPr>
        <w:t>Out of NTIC’s joint ventures, NTIC’s joint venture in Germany is the most significant in terms of assets and income to NTIC. If sales of NTIC’s products and services by this joint venture were to decline significantly or if NTIC’s relationships with this joint venture were to deteriorate significantly, NTIC’s operating results likely would be adversely affected.</w:t>
      </w:r>
    </w:p>
    <w:p>
      <w:pPr>
        <w:spacing w:after="0" w:line="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in addition to a few other entities for fiscal 2020. Of the total equity in income from joint ventures of $4,270,327 during fiscal 2020, NTIC had equity in income from joint ventures of $2,622,423 attributable to EXCOR. Of the total fee income for services provided to joint ventures of $4,612,885 during fiscal 2020, fees of $843,752 were attributable to EXCOR. Accordingly, if sales of NTIC’s products and services by this joint venture were to decline significantly or if NTIC’s relationships with this joint venture were to deteriorate significantly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w:t>
      </w:r>
    </w:p>
    <w:p>
      <w:pPr>
        <w:spacing w:after="0" w:line="197"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NTIC sells products and services directly, through its wholly-owned and majority-owned subsidiaries,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spacing w:after="0" w:line="16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2" w:lineRule="exact"/>
        <w:rPr>
          <w:sz w:val="20"/>
          <w:szCs w:val="20"/>
          <w:color w:val="auto"/>
        </w:rPr>
      </w:pPr>
    </w:p>
    <w:p>
      <w:pPr>
        <w:ind w:left="660" w:right="8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jc w:val="both"/>
        <w:ind w:left="660" w:right="4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0" w:name="page21"/>
    <w:bookmarkEnd w:id="20"/>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enforcing agreements and collecting receivables through certain foreign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or terrorist 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Furthermore, in June 2016, the United Kingdom held a referendum in which voters approved an exit from the European Union, commonly referred to as “Brexit.” The United Kingdom officially terminated its membership of the European Union on January 31, 2020 and will remain in a transition phase until December 31, 2020. The British government continues to negotiate the terms of the United Kingdom’s future relationship with the European Union. Although it is unknown what those terms will be, or whether an agreement will be reached, it is possible that there will be increased regulatory complexities, which could affect NTIC’s ability to sell its products in certain European Union countries. Brexit has created legal, political and economic uncertainty, which could subject NTIC to heightened risks in that region, including disruptions to trade and free movement of goods, services, and people to and from the United Kingdom, and increased foreign exchange volatility with respect to the British pound. NTIC does not know to what extent these changes will impact its business. Any of these effects of Brexit, and other similar referenda that NTIC cannot anticipate, could adversely affect its business, operations, and financial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NTIC’s strategy to grow its business, including in particular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for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Foreign Markets in which NTIC Operates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NTIC China may be adversely affected by China’s evolving economic, political, and social conditions.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results of operations and future prospects of NTIC China may be adversely affected by, among other things, changes in China’s political, economic, and social conditions,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and changes in the rates or methods of taxation.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These laws, regulations, and interpretations could impose restrictions on NTIC’s and NTIC China’s ownership or operations or NTIC’s interests in China and could adversely affect NTIC’s business, results of operations, and financial condition.</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21" w:name="page22"/>
    <w:bookmarkEnd w:id="21"/>
    <w:p>
      <w:pPr>
        <w:spacing w:after="0" w:line="293" w:lineRule="auto"/>
        <w:rPr>
          <w:sz w:val="20"/>
          <w:szCs w:val="20"/>
          <w:color w:val="auto"/>
        </w:rPr>
      </w:pPr>
      <w:r>
        <w:rPr>
          <w:rFonts w:ascii="Arial" w:cs="Arial" w:eastAsia="Arial" w:hAnsi="Arial"/>
          <w:sz w:val="16"/>
          <w:szCs w:val="16"/>
          <w:b w:val="1"/>
          <w:bCs w:val="1"/>
          <w:i w:val="1"/>
          <w:iCs w:val="1"/>
          <w:color w:val="auto"/>
        </w:rPr>
        <w:t xml:space="preserve">Intellectual property rights are difficult to enforce in China, which could harm NTIC’s business, results of operations, or financial condition. </w:t>
      </w:r>
      <w:r>
        <w:rPr>
          <w:rFonts w:ascii="Arial" w:cs="Arial" w:eastAsia="Arial" w:hAnsi="Arial"/>
          <w:sz w:val="16"/>
          <w:szCs w:val="16"/>
          <w:color w:val="auto"/>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Chinese legal system may adversely affect the operations of NTIC China.</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spacing w:after="0" w:line="183"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ind w:right="20"/>
        <w:spacing w:after="0" w:line="284"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2" w:name="page23"/>
    <w:bookmarkEnd w:id="22"/>
    <w:p>
      <w:pPr>
        <w:ind w:right="480"/>
        <w:spacing w:after="0" w:line="258"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NTIC’s revenue and earnings.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the impact of the COVID-19 pandemic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Products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9" w:lineRule="exact"/>
        <w:rPr>
          <w:sz w:val="20"/>
          <w:szCs w:val="20"/>
          <w:color w:val="auto"/>
        </w:rPr>
      </w:pPr>
    </w:p>
    <w:p>
      <w:pPr>
        <w:jc w:val="both"/>
        <w:ind w:right="320"/>
        <w:spacing w:after="0" w:line="281" w:lineRule="auto"/>
        <w:rPr>
          <w:sz w:val="20"/>
          <w:szCs w:val="20"/>
          <w:color w:val="auto"/>
        </w:rPr>
      </w:pPr>
      <w:r>
        <w:rPr>
          <w:rFonts w:ascii="Arial" w:cs="Arial" w:eastAsia="Arial" w:hAnsi="Arial"/>
          <w:sz w:val="16"/>
          <w:szCs w:val="16"/>
          <w:color w:val="auto"/>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quality, reliability, product support, customer service, reputation, and price. With respect to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w:t>
      </w:r>
    </w:p>
    <w:p>
      <w:pPr>
        <w:spacing w:after="0" w:line="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experienced more intense competition with respect to many of its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and services, which has led to decreased pricing and smaller margins for NTIC. Recently, NTIC has experienced lower margins on its contracts with Chinese automotive customers. NTIC anticipates that such intense competition likely will continue and that new competitors may emerge, including plastic extrusion companies, which would continue to adversely affect NTIC’s operating results.</w:t>
      </w:r>
    </w:p>
    <w:p>
      <w:pPr>
        <w:spacing w:after="0" w:line="207" w:lineRule="exact"/>
        <w:rPr>
          <w:sz w:val="20"/>
          <w:szCs w:val="20"/>
          <w:color w:val="auto"/>
        </w:rPr>
      </w:pPr>
    </w:p>
    <w:p>
      <w:pPr>
        <w:ind w:right="240"/>
        <w:spacing w:after="0" w:line="258" w:lineRule="auto"/>
        <w:rPr>
          <w:sz w:val="20"/>
          <w:szCs w:val="20"/>
          <w:color w:val="auto"/>
        </w:rPr>
      </w:pPr>
      <w:r>
        <w:rPr>
          <w:rFonts w:ascii="Arial" w:cs="Arial" w:eastAsia="Arial" w:hAnsi="Arial"/>
          <w:sz w:val="15"/>
          <w:szCs w:val="15"/>
          <w:b w:val="1"/>
          <w:bCs w:val="1"/>
          <w:i w:val="1"/>
          <w:iCs w:val="1"/>
          <w:color w:val="auto"/>
        </w:rPr>
        <w:t>NTIC’s ZERUST</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generate a significant portion of NTIC’s net sales and the net sales of NTIC’s joint ventures. During fiscal 2020, 72.4%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ind w:right="500"/>
        <w:spacing w:after="0" w:line="274" w:lineRule="auto"/>
        <w:rPr>
          <w:sz w:val="20"/>
          <w:szCs w:val="20"/>
          <w:color w:val="auto"/>
        </w:rPr>
      </w:pPr>
      <w:r>
        <w:rPr>
          <w:rFonts w:ascii="Arial" w:cs="Arial" w:eastAsia="Arial" w:hAnsi="Arial"/>
          <w:sz w:val="17"/>
          <w:szCs w:val="17"/>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286"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6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ind w:right="160"/>
        <w:spacing w:after="0" w:line="255"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w:t>
      </w:r>
    </w:p>
    <w:p>
      <w:pPr>
        <w:ind w:right="240"/>
        <w:spacing w:after="0" w:line="247" w:lineRule="auto"/>
        <w:rPr>
          <w:sz w:val="20"/>
          <w:szCs w:val="20"/>
          <w:color w:val="auto"/>
        </w:rPr>
      </w:pPr>
      <w:r>
        <w:rPr>
          <w:rFonts w:ascii="Arial" w:cs="Arial" w:eastAsia="Arial" w:hAnsi="Arial"/>
          <w:sz w:val="16"/>
          <w:szCs w:val="16"/>
          <w:color w:val="auto"/>
        </w:rPr>
        <w:t>assurance that NTIC is dedicating a sufficient amount of resources to ensure the success of these strategic initiatives. The sale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w:t>
      </w:r>
    </w:p>
    <w:p>
      <w:pPr>
        <w:spacing w:after="0" w:line="2" w:lineRule="exact"/>
        <w:rPr>
          <w:sz w:val="20"/>
          <w:szCs w:val="20"/>
          <w:color w:val="auto"/>
        </w:rPr>
      </w:pPr>
    </w:p>
    <w:p>
      <w:pPr>
        <w:ind w:right="620"/>
        <w:spacing w:after="0" w:line="209" w:lineRule="auto"/>
        <w:rPr>
          <w:sz w:val="20"/>
          <w:szCs w:val="20"/>
          <w:color w:val="auto"/>
        </w:rPr>
      </w:pPr>
      <w:r>
        <w:rPr>
          <w:rFonts w:ascii="Arial" w:cs="Arial" w:eastAsia="Arial" w:hAnsi="Arial"/>
          <w:sz w:val="18"/>
          <w:szCs w:val="18"/>
          <w:color w:val="auto"/>
        </w:rPr>
        <w:t>and investors to lose faith in the business opportunities for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and services in the oil and gas industry.</w:t>
      </w:r>
    </w:p>
    <w:p>
      <w:pPr>
        <w:spacing w:after="0" w:line="207"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expansion of NTIC’s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will continue to require resources during fiscal 2021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4" w:name="page25"/>
    <w:bookmarkEnd w:id="24"/>
    <w:p>
      <w:pPr>
        <w:ind w:right="580"/>
        <w:spacing w:after="0" w:line="224" w:lineRule="auto"/>
        <w:rPr>
          <w:sz w:val="20"/>
          <w:szCs w:val="20"/>
          <w:color w:val="auto"/>
        </w:rPr>
      </w:pPr>
      <w:r>
        <w:rPr>
          <w:rFonts w:ascii="Arial" w:cs="Arial" w:eastAsia="Arial" w:hAnsi="Arial"/>
          <w:sz w:val="18"/>
          <w:szCs w:val="18"/>
          <w:b w:val="1"/>
          <w:bCs w:val="1"/>
          <w:i w:val="1"/>
          <w:iCs w:val="1"/>
          <w:color w:val="auto"/>
        </w:rPr>
        <w:t>NTIC’s strategy of expanding its corrosion prevention solutions into the oil and gas industry and continuing the expansion of its Natur-Tec</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bioplastics resin compounds and finished products is risky and may not prove to be successful, which could harm NTIC’s operating results and financial condition.</w:t>
      </w:r>
    </w:p>
    <w:p>
      <w:pPr>
        <w:spacing w:after="0" w:line="2"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the expansion of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1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NTIC relies on others for its production and any interruptions of these arrangements could disrupt NTIC’s ability to fill its customers’ orders. </w:t>
      </w: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spacing w:after="0" w:line="16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 xml:space="preserve">NTIC’s dependence on manufacturing and logistical services provided by contractors could give rise to product defect or warranty liability. </w:t>
      </w:r>
      <w:r>
        <w:rPr>
          <w:rFonts w:ascii="Arial" w:cs="Arial" w:eastAsia="Arial" w:hAnsi="Arial"/>
          <w:sz w:val="17"/>
          <w:szCs w:val="17"/>
          <w:color w:val="auto"/>
        </w:rPr>
        <w:t>NTIC uses third 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 defects could harm NTIC’s reputation amongst its customers.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Among the limited source suppliers NTIC does business with</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are the manufacturers of plastic resins used in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Shortages of raw materials, quality control problems, production capacity constraints, or delays by suppliers could negatively affect NTIC’s ability to meet its production obligations and result in increased prices for affected parts. For example, the rapid growth in demand for bioplastics products globally has increased the demand and the price for plastic resins, and limited suppliers of such plastic resins may experience shortages caused by demand outpacing</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their production capabilities, which could result in NTIC’s inability to produce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promptly or in the volumes demanded. These and other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04"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NTIC uses certain raw materials and components in its products, including in particular plastic resins, which are subject to price increases. In light of increased global demand for bioplastics, the prices of certain plastic resins have increased, which could adversely affect gross margins on NTIC’s Natur-</w:t>
      </w:r>
    </w:p>
    <w:p>
      <w:pPr>
        <w:spacing w:after="0" w:line="1" w:lineRule="exact"/>
        <w:rPr>
          <w:sz w:val="20"/>
          <w:szCs w:val="20"/>
          <w:color w:val="auto"/>
        </w:rPr>
      </w:pPr>
    </w:p>
    <w:p>
      <w:pPr>
        <w:ind w:right="320"/>
        <w:spacing w:after="0" w:line="221" w:lineRule="auto"/>
        <w:rPr>
          <w:sz w:val="20"/>
          <w:szCs w:val="20"/>
          <w:color w:val="auto"/>
        </w:rPr>
      </w:pPr>
      <w:r>
        <w:rPr>
          <w:rFonts w:ascii="Arial" w:cs="Arial" w:eastAsia="Arial" w:hAnsi="Arial"/>
          <w:sz w:val="18"/>
          <w:szCs w:val="18"/>
          <w:color w:val="auto"/>
        </w:rPr>
        <w:t>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Additionally, changes to international trade agreements could result in additional tariffs, duties, or other charges on raw materials or components we import into the U.S. Increases in prices for raw materials and components used in NTIC’s products could adversely affect NTIC’s gross margins and other operating results.</w:t>
      </w:r>
    </w:p>
    <w:p>
      <w:pPr>
        <w:spacing w:after="0" w:line="206" w:lineRule="exact"/>
        <w:rPr>
          <w:sz w:val="20"/>
          <w:szCs w:val="20"/>
          <w:color w:val="auto"/>
        </w:rPr>
      </w:pPr>
    </w:p>
    <w:p>
      <w:pPr>
        <w:ind w:right="440"/>
        <w:spacing w:after="0" w:line="214"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both, is still developing. The commercial success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depends on the widespread market acceptance of products manufactured with bio-based and biodegradable resins. It is currently difficult to assess or predict with any assurance the potential</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size, timing, and viability of market opportunities for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 traditional plastics market sector is well-established with entrenched competitors with whom NTIC competes. Pricing for traditional plastics has been highly volatile in recent years, which</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drives, to some extent, the commercial and other support for bioplastics. While NTIC expects to be able to command a premium price for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 widening gap in the pricing for bioplastics versus petroleum-based plastics may reduce the size of the addressable</w:t>
      </w:r>
    </w:p>
    <w:p>
      <w:pPr>
        <w:spacing w:after="0" w:line="2" w:lineRule="exact"/>
        <w:rPr>
          <w:sz w:val="20"/>
          <w:szCs w:val="20"/>
          <w:color w:val="auto"/>
        </w:rPr>
      </w:pPr>
    </w:p>
    <w:p>
      <w:pPr>
        <w:ind w:right="660"/>
        <w:spacing w:after="0" w:line="237" w:lineRule="auto"/>
        <w:rPr>
          <w:sz w:val="20"/>
          <w:szCs w:val="20"/>
          <w:color w:val="auto"/>
        </w:rPr>
      </w:pPr>
      <w:r>
        <w:rPr>
          <w:rFonts w:ascii="Arial" w:cs="Arial" w:eastAsia="Arial" w:hAnsi="Arial"/>
          <w:sz w:val="17"/>
          <w:szCs w:val="17"/>
          <w:color w:val="auto"/>
        </w:rPr>
        <w:t>market for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finished products.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its joint ventures, distributors, manufacturer’s sales representatives, and other agents to market and sell its products.</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9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sale of ZERUST</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rust and corrosion inhibiting products into the oil and gas industry is risky in light of the hazards typically associated with such</w:t>
      </w:r>
    </w:p>
    <w:p>
      <w:pPr>
        <w:ind w:right="380"/>
        <w:spacing w:after="0" w:line="209" w:lineRule="auto"/>
        <w:rPr>
          <w:sz w:val="20"/>
          <w:szCs w:val="20"/>
          <w:color w:val="auto"/>
        </w:rPr>
      </w:pPr>
      <w:r>
        <w:rPr>
          <w:rFonts w:ascii="Arial" w:cs="Arial" w:eastAsia="Arial" w:hAnsi="Arial"/>
          <w:sz w:val="18"/>
          <w:szCs w:val="18"/>
          <w:b w:val="1"/>
          <w:bCs w:val="1"/>
          <w:i w:val="1"/>
          <w:iCs w:val="1"/>
          <w:color w:val="auto"/>
        </w:rPr>
        <w:t>operations and the significant amount of potential liability involved, which could adversely affect NTIC’s business if ZERUST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rust and corrosion inhibiting products are involved, even if the cause of such events was not related to NTIC’s products.</w:t>
      </w:r>
    </w:p>
    <w:p>
      <w:pPr>
        <w:ind w:right="180"/>
        <w:spacing w:after="0" w:line="238"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somewhat seasonal and dependent upon oil prices.</w:t>
      </w:r>
    </w:p>
    <w:p>
      <w:pPr>
        <w:ind w:right="400"/>
        <w:spacing w:after="0" w:line="234" w:lineRule="auto"/>
        <w:rPr>
          <w:sz w:val="20"/>
          <w:szCs w:val="20"/>
          <w:color w:val="auto"/>
        </w:rPr>
      </w:pPr>
      <w:r>
        <w:rPr>
          <w:rFonts w:ascii="Arial" w:cs="Arial" w:eastAsia="Arial" w:hAnsi="Arial"/>
          <w:sz w:val="16"/>
          <w:szCs w:val="16"/>
          <w:color w:val="auto"/>
        </w:rPr>
        <w:t>In the past, NTIC has experienced some seasonality with respect to the sale of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into the oil and gas industry, with sales during parts of the second and third fiscal quarters being adversely affected by winter in the United States. In addition, the sale of</w:t>
      </w:r>
    </w:p>
    <w:p>
      <w:pPr>
        <w:ind w:right="240"/>
        <w:spacing w:after="0" w:line="238" w:lineRule="auto"/>
        <w:rPr>
          <w:sz w:val="20"/>
          <w:szCs w:val="20"/>
          <w:color w:val="auto"/>
        </w:rPr>
      </w:pPr>
      <w:r>
        <w:rPr>
          <w:rFonts w:ascii="Arial" w:cs="Arial" w:eastAsia="Arial" w:hAnsi="Arial"/>
          <w:sz w:val="17"/>
          <w:szCs w:val="17"/>
          <w:color w:val="auto"/>
        </w:rPr>
        <w:t>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into the oil and gas industry, particularly in the United States, has been and may continue to be hampered by low global crude oil prices. Low global crude oil prices have recently been caused by oversupply, price wars between Saudi Arabia and Russia and the impact of the COVID-19 pandemic. NTIC believes low global crude oil prices constrain capital improvement budgets of its existing and prospective customers and may result in personnel turnover at its oil and gas customers or prospects.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Governmental Regulation, Laws, and Compliance</w:t>
      </w:r>
    </w:p>
    <w:p>
      <w:pPr>
        <w:spacing w:after="0" w:line="229" w:lineRule="exact"/>
        <w:rPr>
          <w:sz w:val="20"/>
          <w:szCs w:val="20"/>
          <w:color w:val="auto"/>
        </w:rPr>
      </w:pPr>
    </w:p>
    <w:p>
      <w:pPr>
        <w:jc w:val="both"/>
        <w:ind w:right="580"/>
        <w:spacing w:after="0" w:line="271" w:lineRule="auto"/>
        <w:rPr>
          <w:sz w:val="20"/>
          <w:szCs w:val="20"/>
          <w:color w:val="auto"/>
        </w:rPr>
      </w:pPr>
      <w:r>
        <w:rPr>
          <w:rFonts w:ascii="Arial" w:cs="Arial" w:eastAsia="Arial" w:hAnsi="Arial"/>
          <w:sz w:val="17"/>
          <w:szCs w:val="17"/>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ind w:right="40"/>
        <w:spacing w:after="0" w:line="285"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and revised tax law interpretations, also may adversely affect NTIC’s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mix of pre-tax income or loss among the tax jurisdictions in which NTIC operates, which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 During fiscal year 2020, NTIC recorded income tax expense of approximately $1,600,000 related to the determination that it was more likely than not that all or some of NTIC’s deferred tax assets would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The manufacture, sale, and use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w:t>
      </w:r>
    </w:p>
    <w:p>
      <w:pPr>
        <w:ind w:right="940"/>
        <w:spacing w:after="0" w:line="219" w:lineRule="auto"/>
        <w:rPr>
          <w:sz w:val="20"/>
          <w:szCs w:val="20"/>
          <w:color w:val="auto"/>
        </w:rPr>
      </w:pPr>
      <w:r>
        <w:rPr>
          <w:rFonts w:ascii="Arial" w:cs="Arial" w:eastAsia="Arial" w:hAnsi="Arial"/>
          <w:sz w:val="17"/>
          <w:szCs w:val="17"/>
          <w:color w:val="auto"/>
        </w:rPr>
        <w:t>their intended uses and are of suitable purity for those intended uses. NTIC believes that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comply with all FDA requirements. However, failure to comply with FDA regulations could subject NTIC to administrative, civil, or criminal penalties.</w:t>
      </w:r>
    </w:p>
    <w:p>
      <w:pPr>
        <w:spacing w:after="0" w:line="20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ind w:right="380"/>
        <w:spacing w:after="0" w:line="311" w:lineRule="auto"/>
        <w:rPr>
          <w:sz w:val="20"/>
          <w:szCs w:val="20"/>
          <w:color w:val="auto"/>
        </w:rPr>
      </w:pPr>
      <w:r>
        <w:rPr>
          <w:rFonts w:ascii="Arial" w:cs="Arial" w:eastAsia="Arial" w:hAnsi="Arial"/>
          <w:sz w:val="16"/>
          <w:szCs w:val="16"/>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4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could adversely affect NTIC’s operating results and financial condition.</w:t>
      </w:r>
    </w:p>
    <w:p>
      <w:pPr>
        <w:spacing w:after="0" w:line="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number of shares of NTIC’s common stock being traded daily is often very low, and on some trading days, there is no trading volume at all. During fiscal 2020, the daily trading volume ranged from 100 shares to 203,000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2020, the sale price of NTIC’s common stock ranged from a low of $4.70 per share to a high of $14.88 per share, and the daily trading volume ranged from 100 shares to 203,000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spacing w:after="0" w:line="17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November 9, 2020, NTIC had 9,104,636 shares of common stock outstanding, 21.4%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8" w:name="page29"/>
    <w:bookmarkEnd w:id="28"/>
    <w:p>
      <w:pPr>
        <w:ind w:right="720"/>
        <w:spacing w:after="0" w:line="27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ind w:right="100"/>
        <w:spacing w:after="0" w:line="253"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93" w:lineRule="exact"/>
        <w:rPr>
          <w:sz w:val="20"/>
          <w:szCs w:val="20"/>
          <w:color w:val="auto"/>
        </w:rPr>
      </w:pPr>
    </w:p>
    <w:p>
      <w:pPr>
        <w:ind w:right="200"/>
        <w:spacing w:after="0" w:line="307" w:lineRule="auto"/>
        <w:rPr>
          <w:sz w:val="20"/>
          <w:szCs w:val="20"/>
          <w:color w:val="auto"/>
        </w:rPr>
      </w:pPr>
      <w:r>
        <w:rPr>
          <w:rFonts w:ascii="Arial" w:cs="Arial" w:eastAsia="Arial" w:hAnsi="Arial"/>
          <w:sz w:val="15"/>
          <w:szCs w:val="15"/>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ind w:right="20"/>
        <w:spacing w:after="0" w:line="286" w:lineRule="auto"/>
        <w:rPr>
          <w:sz w:val="20"/>
          <w:szCs w:val="20"/>
          <w:color w:val="auto"/>
        </w:rPr>
      </w:pPr>
      <w:r>
        <w:rPr>
          <w:rFonts w:ascii="Arial" w:cs="Arial" w:eastAsia="Arial" w:hAnsi="Arial"/>
          <w:sz w:val="16"/>
          <w:szCs w:val="16"/>
          <w:color w:val="auto"/>
        </w:rPr>
        <w:t>As of November 9, 2020, Inter Alia Holding Company, or Inter Alia, beneficially owned approximately 13.2%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weather could have a material adverse effect on our business.</w:t>
      </w:r>
    </w:p>
    <w:p>
      <w:pPr>
        <w:spacing w:after="0" w:line="23"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NTIC’s business could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may be adversely affected by such hurricanes and other extreme or seasonal weather conditions. Adverse weather can also directly impede NTIC’s operations. Repercussions of severe weather conditions may include:</w:t>
      </w:r>
    </w:p>
    <w:p>
      <w:pPr>
        <w:spacing w:after="0" w:line="1" w:lineRule="exact"/>
        <w:rPr>
          <w:sz w:val="20"/>
          <w:szCs w:val="20"/>
          <w:color w:val="auto"/>
        </w:rPr>
      </w:pPr>
    </w:p>
    <w:p>
      <w:pPr>
        <w:ind w:left="700" w:hanging="328"/>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curtailment of services or reduced demand for products;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weather-related damage to facilities and equipment, resulting in suspension of operations;</w:t>
      </w:r>
    </w:p>
    <w:p>
      <w:pPr>
        <w:spacing w:after="0" w:line="9" w:lineRule="exact"/>
        <w:rPr>
          <w:rFonts w:ascii="Arial" w:cs="Arial" w:eastAsia="Arial" w:hAnsi="Arial"/>
          <w:sz w:val="18"/>
          <w:szCs w:val="18"/>
          <w:color w:val="auto"/>
        </w:rPr>
      </w:pPr>
    </w:p>
    <w:p>
      <w:pPr>
        <w:ind w:left="700" w:right="480" w:hanging="328"/>
        <w:spacing w:after="0" w:line="250"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deliver equipment, personnel and products to job sites in accordance with contract schedules or increased transportation or other operating costs; and</w:t>
      </w:r>
    </w:p>
    <w:p>
      <w:pPr>
        <w:ind w:left="700" w:hanging="328"/>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delay NTIC’s operations and materially increase NTIC’s operating and capital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ind w:right="240"/>
        <w:spacing w:after="0" w:line="268" w:lineRule="auto"/>
        <w:rPr>
          <w:sz w:val="20"/>
          <w:szCs w:val="20"/>
          <w:color w:val="auto"/>
        </w:rPr>
      </w:pPr>
      <w:r>
        <w:rPr>
          <w:rFonts w:ascii="Arial" w:cs="Arial" w:eastAsia="Arial" w:hAnsi="Arial"/>
          <w:sz w:val="17"/>
          <w:szCs w:val="17"/>
          <w:b w:val="1"/>
          <w:bCs w:val="1"/>
          <w:i w:val="1"/>
          <w:iCs w:val="1"/>
          <w:color w:val="auto"/>
        </w:rPr>
        <w:t xml:space="preserve">NTIC may grow its business through additional joint ventures, subsidiaries, alliances, and acquisitions, which could be risky and harm its business. </w:t>
      </w:r>
      <w:r>
        <w:rPr>
          <w:rFonts w:ascii="Arial" w:cs="Arial" w:eastAsia="Arial" w:hAnsi="Arial"/>
          <w:sz w:val="17"/>
          <w:szCs w:val="17"/>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660" w:right="3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660" w:right="4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ind w:left="660" w:right="1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660" w:right="8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3"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business could be negatively impacted by cyber security threats.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w:t>
      </w:r>
    </w:p>
    <w:p>
      <w:pPr>
        <w:spacing w:after="0" w:line="2" w:lineRule="exact"/>
        <w:rPr>
          <w:sz w:val="20"/>
          <w:szCs w:val="20"/>
          <w:color w:val="auto"/>
        </w:rPr>
      </w:pPr>
    </w:p>
    <w:p>
      <w:pPr>
        <w:ind w:right="180"/>
        <w:spacing w:after="0" w:line="206" w:lineRule="auto"/>
        <w:rPr>
          <w:sz w:val="20"/>
          <w:szCs w:val="20"/>
          <w:color w:val="auto"/>
        </w:rPr>
      </w:pPr>
      <w:r>
        <w:rPr>
          <w:rFonts w:ascii="Arial" w:cs="Arial" w:eastAsia="Arial" w:hAnsi="Arial"/>
          <w:sz w:val="16"/>
          <w:szCs w:val="16"/>
          <w:color w:val="auto"/>
        </w:rPr>
        <w:t>addition, because of the typical size of individual orders and the overall size of NTIC’s net sales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the timing of one or more orders can materially affect NTIC’s quarterly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the comparisons to prior year quarters. Furthermore, since</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7"/>
          <w:szCs w:val="17"/>
          <w:color w:val="auto"/>
        </w:rPr>
        <w:t>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oil and gas industry typically carry higher margins than other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the amount of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ind w:right="700"/>
        <w:spacing w:after="0" w:line="258" w:lineRule="auto"/>
        <w:rPr>
          <w:sz w:val="20"/>
          <w:szCs w:val="20"/>
          <w:color w:val="auto"/>
        </w:rPr>
      </w:pPr>
      <w:r>
        <w:rPr>
          <w:rFonts w:ascii="Arial" w:cs="Arial" w:eastAsia="Arial" w:hAnsi="Arial"/>
          <w:sz w:val="18"/>
          <w:szCs w:val="18"/>
          <w:b w:val="1"/>
          <w:bCs w:val="1"/>
          <w:i w:val="1"/>
          <w:iCs w:val="1"/>
          <w:color w:val="auto"/>
        </w:rPr>
        <w:t>NTIC’s business is subject to a number of other miscellaneous risks that may adversely affect NTIC’s operating results, financial condition, or business.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 Additionally, NTIC has contract warehousing agreements in California and Indiana to hold and release stock products to customers. NTIC’s subsidiaries in Brazil, India, Mexico, and China all lease office, warehouse, and laboratory space. NTIC’s management considers its current properties suitable and adequate for its current and foreseeable needs.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NTIC’s legal proceedings, see Note 15 to NTIC’s Consolidated Financial Statements.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two individuals named below have been designated by NTIC’s Board of Directors as “executive officers” of NTIC. Their ages and the offices held, as of November 9,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1020"/>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960" w:type="dxa"/>
            <w:vAlign w:val="bottom"/>
          </w:tcPr>
          <w:p>
            <w:pPr>
              <w:ind w:left="2740"/>
              <w:spacing w:after="0"/>
              <w:rPr>
                <w:sz w:val="20"/>
                <w:szCs w:val="20"/>
                <w:color w:val="auto"/>
              </w:rPr>
            </w:pPr>
            <w:r>
              <w:rPr>
                <w:rFonts w:ascii="Arial" w:cs="Arial" w:eastAsia="Arial" w:hAnsi="Arial"/>
                <w:sz w:val="18"/>
                <w:szCs w:val="18"/>
                <w:b w:val="1"/>
                <w:bCs w:val="1"/>
                <w:color w:val="auto"/>
              </w:rPr>
              <w:t>Position with NTIC</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Wolsfeld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ind w:right="4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offices held, as of November 9, 2020,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Borders>
              <w:bottom w:val="single" w:sz="8" w:color="CCEEFF"/>
            </w:tcBorders>
          </w:tcPr>
          <w:p>
            <w:pPr>
              <w:spacing w:after="0"/>
              <w:rPr>
                <w:sz w:val="20"/>
                <w:szCs w:val="20"/>
                <w:color w:val="auto"/>
              </w:rPr>
            </w:pPr>
          </w:p>
        </w:tc>
        <w:tc>
          <w:tcPr>
            <w:tcW w:w="696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Position with NTIC</w:t>
            </w:r>
          </w:p>
        </w:tc>
      </w:tr>
      <w:tr>
        <w:trPr>
          <w:trHeight w:val="25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Vineet R. Dalal</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1"/>
                <w:szCs w:val="21"/>
                <w:color w:val="auto"/>
              </w:rPr>
            </w:pPr>
          </w:p>
        </w:tc>
        <w:tc>
          <w:tcPr>
            <w:tcW w:w="69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Vice President and Director – Global Market Development – Natur-Tec</w:t>
            </w:r>
            <w:r>
              <w:rPr>
                <w:rFonts w:ascii="Arial" w:cs="Arial" w:eastAsia="Arial" w:hAnsi="Arial"/>
                <w:sz w:val="28"/>
                <w:szCs w:val="28"/>
                <w:color w:val="auto"/>
                <w:vertAlign w:val="superscript"/>
              </w:rPr>
              <w: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Gautam Ramdas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Vice President and Director – Global Market Development – Oil &amp; Gas</w:t>
            </w:r>
          </w:p>
        </w:tc>
      </w:tr>
    </w:tbl>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common stock is listed for trading on the Nasdaq Global Market under the symbol “NTIC.”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fiscal 2020, NTIC’s Board of Directors declared cash dividends on the following dates in the following amounts to holders of record of NTIC’s common stock as of the following record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22, 2019</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$0.065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6, 2019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22, 2020</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$0.065</w:t>
            </w: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5, 2020</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April 23, 2020, NTIC announced the temporary suspension of its quarterly cash dividend pending clarity on the COVID-19 pandemic. Therefore, NTIC’s Board of Directors did not declare a cash dividend during the quarters ended May 31, 2020 or August 31, 2020.</w:t>
      </w:r>
    </w:p>
    <w:p>
      <w:pPr>
        <w:spacing w:after="0" w:line="14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2020, there were 164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NTIC did not purchase any shares of its common stock or other equity securities of NTIC during the fourth quarter of fiscal 2020. As of August 31, 2020, up to $2,640,548 in shares of NTIC common stock remained available for repurchase under NTIC’s stock repurchase program.</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following tables set forth certain of NTIC’s selected consolidated financial data as of the dates and for the fiscal years indicated. The selected consolidated financial data was derived from NTIC’s consolidated financial statements. The audited consolidated financial statements as of August 31, 2020 and 2019 and for the fiscal years ended August 31, 2020 and 2019 are included elsewhere in this report. The audited consolidated financial statements as of August 31, 2018, 2017, and 2016 and for the fiscal years ended August 31, 2018, 2017, and 2016 are not included in this report. Information regarding accounting changes and material uncertainties are included in </w:t>
      </w:r>
      <w:r>
        <w:rPr>
          <w:rFonts w:ascii="Arial" w:cs="Arial" w:eastAsia="Arial" w:hAnsi="Arial"/>
          <w:sz w:val="17"/>
          <w:szCs w:val="17"/>
          <w:i w:val="1"/>
          <w:iCs w:val="1"/>
          <w:color w:val="auto"/>
        </w:rPr>
        <w:t>“Part II. Item 7. 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Results of Operations.” </w:t>
      </w:r>
      <w:r>
        <w:rPr>
          <w:rFonts w:ascii="Arial" w:cs="Arial" w:eastAsia="Arial" w:hAnsi="Arial"/>
          <w:sz w:val="17"/>
          <w:szCs w:val="17"/>
          <w:color w:val="auto"/>
        </w:rPr>
        <w:t>Historical results are not necessarily indicative of the results to be expected for any future period. All share and per share data</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adjusted for all periods presented to reflect the two-for-one stock split effective June 28,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8"/>
          </w:tcPr>
          <w:p>
            <w:pPr>
              <w:ind w:left="600"/>
              <w:spacing w:after="0"/>
              <w:rPr>
                <w:sz w:val="20"/>
                <w:szCs w:val="20"/>
                <w:color w:val="auto"/>
              </w:rPr>
            </w:pPr>
            <w:r>
              <w:rPr>
                <w:rFonts w:ascii="Arial" w:cs="Arial" w:eastAsia="Arial" w:hAnsi="Arial"/>
                <w:sz w:val="18"/>
                <w:szCs w:val="18"/>
                <w:b w:val="1"/>
                <w:bCs w:val="1"/>
                <w:color w:val="auto"/>
              </w:rPr>
              <w:t>Fiscal Year Ended August 31,</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sales, excluding joint ventures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45,666,045</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53,142,583</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48,516,749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36,346,645</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30,211,660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 to joint ventures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1,972,646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2,607,554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2,908,072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3,222,478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2,721,905</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47,638,691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55,750,137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51,424,821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39,569,123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32,933,565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31,609,274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37,970,244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34,165,440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26,316,511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22,320,156</w:t>
            </w:r>
          </w:p>
        </w:tc>
        <w:tc>
          <w:tcPr>
            <w:tcW w:w="0" w:type="dxa"/>
            <w:vAlign w:val="bottom"/>
          </w:tcPr>
          <w:p>
            <w:pPr>
              <w:spacing w:after="0"/>
              <w:rPr>
                <w:sz w:val="1"/>
                <w:szCs w:val="1"/>
                <w:color w:val="auto"/>
              </w:rPr>
            </w:pPr>
          </w:p>
        </w:tc>
      </w:tr>
      <w:tr>
        <w:trPr>
          <w:trHeight w:val="209"/>
        </w:trPr>
        <w:tc>
          <w:tcPr>
            <w:tcW w:w="462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16,029,417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17,779,893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17,259,381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13,252,612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10,613,409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joint ventures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4,270,327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7,225,518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7,527,383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5,898,908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4,743,831</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Fees for services provided to joint ventures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4,612,885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5,727,579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6,142,139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5,452,687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5,137,710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joint venture operations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8,883,212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12,953,097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13,669,522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11,351,595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9,881,541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10,656,689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10,968,592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10,886,011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9,283,310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6,255,353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8,688,309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9,349,559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7,807,563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8,232,369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3,979,455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3,822,070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3,524,953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2,912,393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4,724,596</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23,324,453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24,140,221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22,911,454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20,003,266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19,212,318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1,588,176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6,592,769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8,017,449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4,600,941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1,282,632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 at carrying value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(1,883,668)</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1,739,875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6,657,459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8,098,950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4,624,098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(572,182)</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Income tax expense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2,674,635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841,837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876,103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626,120</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5,815,622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7,222,847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3,924,579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(1,198,302)</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402,949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606,000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521,481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502,453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(330,788)</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NTIC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5,209,622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6,701,366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3,422,126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(867,514)</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w w:val="99"/>
              </w:rPr>
              <w:t>Net (loss) income attributable to NTIC per common share:</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Weighted-average common shares assumed outstanding:</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9,096,981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9,085,584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9,077,676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9,057,222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9,075,008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9,096,981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9,415,974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9,370,404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9,154,718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9,075,008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6,403,032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5,856,758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4,163,023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6,360,201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5,544,722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3,565,258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3,300,110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3,766,984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33,202,350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33,302,362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30,567,773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26,067,618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20,942,171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66,074,488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67,511,087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63,549,236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56,612,693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51,070,050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6,097,604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7,841,532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7,730,182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4,894,617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3,994,102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3,045,026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3,074,679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2,742,309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2,857,448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2,540,973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56,659,415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56,594,615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53,076,745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48,860,628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44,543,975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59,704,441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59,669,294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55,819,054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51,718,076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47,075,948</w:t>
            </w:r>
          </w:p>
        </w:tc>
        <w:tc>
          <w:tcPr>
            <w:tcW w:w="0" w:type="dxa"/>
            <w:vAlign w:val="bottom"/>
          </w:tcPr>
          <w:p>
            <w:pPr>
              <w:spacing w:after="0"/>
              <w:rPr>
                <w:sz w:val="1"/>
                <w:szCs w:val="1"/>
                <w:color w:val="auto"/>
              </w:rPr>
            </w:pPr>
          </w:p>
        </w:tc>
      </w:tr>
      <w:tr>
        <w:trPr>
          <w:trHeight w:val="540"/>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ind w:left="580"/>
              <w:spacing w:after="0"/>
              <w:rPr>
                <w:sz w:val="20"/>
                <w:szCs w:val="20"/>
                <w:color w:val="auto"/>
              </w:rPr>
            </w:pPr>
            <w:r>
              <w:rPr>
                <w:rFonts w:ascii="Arial" w:cs="Arial" w:eastAsia="Arial" w:hAnsi="Arial"/>
                <w:sz w:val="18"/>
                <w:szCs w:val="18"/>
                <w:b w:val="1"/>
                <w:bCs w:val="1"/>
                <w:color w:val="auto"/>
              </w:rPr>
              <w:t>Fiscal Year Ended August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4,912,070</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5,477,022</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608,687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5,735,691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2,055,607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(2,607,915)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(2,393,664)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(2,372,124)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(270,247)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1. Business—Forward-Looking Statements” and under the heading “Part I. Item 1A. Risk Factors</w:t>
      </w:r>
      <w:r>
        <w:rPr>
          <w:rFonts w:ascii="Arial" w:cs="Arial" w:eastAsia="Arial" w:hAnsi="Arial"/>
          <w:sz w:val="17"/>
          <w:szCs w:val="17"/>
          <w:color w:val="auto"/>
        </w:rPr>
        <w:t>.” The following discussion of the results of the operations and financial condition of NTIC should be read in conjunction with NTIC’s consolidated financial statements and the related notes thereto included under “</w:t>
      </w:r>
      <w:r>
        <w:rPr>
          <w:rFonts w:ascii="Arial" w:cs="Arial" w:eastAsia="Arial" w:hAnsi="Arial"/>
          <w:sz w:val="17"/>
          <w:szCs w:val="17"/>
          <w:i w:val="1"/>
          <w:iCs w:val="1"/>
          <w:color w:val="auto"/>
        </w:rPr>
        <w:t>Part II. Item 8. Financial Statements and Supplementary Data</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60" w:right="3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 fiscal year.</w:t>
      </w:r>
    </w:p>
    <w:p>
      <w:pPr>
        <w:spacing w:after="0" w:line="161"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Impact of the COVID-19 Pandemic</w:t>
      </w:r>
      <w:r>
        <w:rPr>
          <w:rFonts w:ascii="Arial" w:cs="Arial" w:eastAsia="Arial" w:hAnsi="Arial"/>
          <w:sz w:val="18"/>
          <w:szCs w:val="18"/>
          <w:color w:val="auto"/>
        </w:rPr>
        <w:t>. This section provides a brief summary of the impacts to date and potential future impacts of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w:t>
      </w:r>
    </w:p>
    <w:p>
      <w:pPr>
        <w:spacing w:after="0" w:line="161" w:lineRule="exact"/>
        <w:rPr>
          <w:rFonts w:ascii="Arial" w:cs="Arial" w:eastAsia="Arial" w:hAnsi="Arial"/>
          <w:sz w:val="18"/>
          <w:szCs w:val="18"/>
          <w:color w:val="auto"/>
        </w:rPr>
      </w:pPr>
    </w:p>
    <w:p>
      <w:pPr>
        <w:ind w:left="660" w:right="20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NTIC’s Subsidiaries and Joint Venture Network</w:t>
      </w:r>
      <w:r>
        <w:rPr>
          <w:rFonts w:ascii="Arial" w:cs="Arial" w:eastAsia="Arial" w:hAnsi="Arial"/>
          <w:sz w:val="18"/>
          <w:szCs w:val="18"/>
          <w:color w:val="auto"/>
        </w:rPr>
        <w:t>. This section provides a brief overview of NTIC’s subsidiaries and its joint venture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the joint ventures which are considered individually significant to NTIC’s consolidated assets and income, and how NTIC’s joint ventures are accounted for by NTIC.</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Financial Overview</w:t>
      </w:r>
      <w:r>
        <w:rPr>
          <w:rFonts w:ascii="Arial" w:cs="Arial" w:eastAsia="Arial" w:hAnsi="Arial"/>
          <w:sz w:val="16"/>
          <w:szCs w:val="16"/>
          <w:color w:val="auto"/>
        </w:rPr>
        <w:t>. This section provides a brief summary of NTIC’s financial results and financial condition for fiscal 2020 compared to 2019.</w:t>
      </w:r>
    </w:p>
    <w:p>
      <w:pPr>
        <w:spacing w:after="0" w:line="248" w:lineRule="exact"/>
        <w:rPr>
          <w:rFonts w:ascii="Arial" w:cs="Arial" w:eastAsia="Arial" w:hAnsi="Arial"/>
          <w:sz w:val="16"/>
          <w:szCs w:val="16"/>
          <w:color w:val="auto"/>
        </w:rPr>
      </w:pPr>
    </w:p>
    <w:p>
      <w:pPr>
        <w:ind w:left="660" w:right="44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Results of Operations</w:t>
      </w:r>
      <w:r>
        <w:rPr>
          <w:rFonts w:ascii="Arial" w:cs="Arial" w:eastAsia="Arial" w:hAnsi="Arial"/>
          <w:sz w:val="17"/>
          <w:szCs w:val="17"/>
          <w:color w:val="auto"/>
        </w:rPr>
        <w:t>. This section provides an analysis of the significant line items in NTIC’s consolidated statements of operations.</w:t>
      </w:r>
    </w:p>
    <w:p>
      <w:pPr>
        <w:spacing w:after="0" w:line="236" w:lineRule="exact"/>
        <w:rPr>
          <w:rFonts w:ascii="Arial" w:cs="Arial" w:eastAsia="Arial" w:hAnsi="Arial"/>
          <w:sz w:val="17"/>
          <w:szCs w:val="17"/>
          <w:color w:val="auto"/>
        </w:rPr>
      </w:pPr>
    </w:p>
    <w:p>
      <w:pPr>
        <w:ind w:left="660" w:right="40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5" w:name="page36"/>
    <w:bookmarkEnd w:id="35"/>
    <w:p>
      <w:pPr>
        <w:ind w:left="660" w:right="14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NTIC’s significant accounting policies, including its critical accounting estimates, are summarized in Note 1 to NTIC’s consolidated financial statements.</w:t>
      </w:r>
    </w:p>
    <w:p>
      <w:pPr>
        <w:spacing w:after="0" w:line="175"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references Note 2 to NTIC’s consolidated financial statements, which summarizes the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of recently issued accounting pronouncements on NTIC’s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brand. NTIC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w:t>
      </w:r>
    </w:p>
    <w:p>
      <w:pPr>
        <w:ind w:right="20"/>
        <w:spacing w:after="0" w:line="209" w:lineRule="auto"/>
        <w:rPr>
          <w:sz w:val="20"/>
          <w:szCs w:val="20"/>
          <w:color w:val="auto"/>
        </w:rPr>
      </w:pPr>
      <w:r>
        <w:rPr>
          <w:rFonts w:ascii="Arial" w:cs="Arial" w:eastAsia="Arial" w:hAnsi="Arial"/>
          <w:sz w:val="18"/>
          <w:szCs w:val="18"/>
          <w:color w:val="auto"/>
        </w:rPr>
        <w:t>bio-based and certified compostable (fully biodegradable) polymer resin compounds and finished products under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w:t>
      </w:r>
    </w:p>
    <w:p>
      <w:pPr>
        <w:spacing w:after="0" w:line="1"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products to analyze their specific needs to meet their performance requirements. In North America, NTIC sells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through a network of independent distributors and agents supported by a direct sales force.</w:t>
      </w:r>
    </w:p>
    <w:p>
      <w:pPr>
        <w:spacing w:after="0" w:line="20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Internationally, NTIC sells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20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jc w:val="both"/>
        <w:ind w:right="120"/>
        <w:spacing w:after="0" w:line="221"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6"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handling gloves,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6" w:name="page37"/>
    <w:bookmarkEnd w:id="36"/>
    <w:p>
      <w:pPr>
        <w:ind w:right="440"/>
        <w:spacing w:after="0" w:line="214" w:lineRule="auto"/>
        <w:rPr>
          <w:sz w:val="20"/>
          <w:szCs w:val="20"/>
          <w:color w:val="auto"/>
        </w:rPr>
      </w:pPr>
      <w:r>
        <w:rPr>
          <w:rFonts w:ascii="Arial" w:cs="Arial" w:eastAsia="Arial" w:hAnsi="Arial"/>
          <w:sz w:val="18"/>
          <w:szCs w:val="18"/>
          <w:color w:val="auto"/>
        </w:rPr>
        <w:t>Internationally, NTIC sells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both directly and through its wholly-owned subsidiary in China and majority-owned subsidiaries in India and Sri Lanka, and through distributors and certain joint ventures.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NTIC has ownership interests in nine operating subsidiaries in North America, South America, Europe, and Asia. The following table sets forth a list of NTIC’s operating subsidiaries as of November 9, 2020, the country in which the subsidiary is organized, and NTIC’s ownership percentage in each subsidiary: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7320" w:type="dxa"/>
            <w:vAlign w:val="bottom"/>
            <w:gridSpan w:val="2"/>
          </w:tcPr>
          <w:p>
            <w:pPr>
              <w:ind w:left="2940"/>
              <w:spacing w:after="0"/>
              <w:rPr>
                <w:sz w:val="20"/>
                <w:szCs w:val="20"/>
                <w:color w:val="auto"/>
              </w:rPr>
            </w:pPr>
            <w:r>
              <w:rPr>
                <w:rFonts w:ascii="Arial" w:cs="Arial" w:eastAsia="Arial" w:hAnsi="Arial"/>
                <w:sz w:val="18"/>
                <w:szCs w:val="18"/>
                <w:b w:val="1"/>
                <w:bCs w:val="1"/>
                <w:color w:val="auto"/>
              </w:rPr>
              <w:t>Subsidiary Name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 Ownership</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Natur Tec Lanka (Pvt) Ltd</w:t>
            </w:r>
          </w:p>
        </w:tc>
        <w:tc>
          <w:tcPr>
            <w:tcW w:w="202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Sri Lanka</w:t>
            </w:r>
            <w:r>
              <w:rPr>
                <w:rFonts w:ascii="Arial" w:cs="Arial" w:eastAsia="Arial" w:hAnsi="Arial"/>
                <w:sz w:val="29"/>
                <w:szCs w:val="29"/>
                <w:color w:val="auto"/>
                <w:w w:val="88"/>
                <w:vertAlign w:val="superscript"/>
              </w:rPr>
              <w:t>(1)</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75%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Germany</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7"/>
        </w:trPr>
        <w:tc>
          <w:tcPr>
            <w:tcW w:w="7320" w:type="dxa"/>
            <w:vAlign w:val="bottom"/>
            <w:gridSpan w:val="2"/>
          </w:tcPr>
          <w:p>
            <w:pPr>
              <w:spacing w:after="0"/>
              <w:rPr>
                <w:sz w:val="20"/>
                <w:szCs w:val="20"/>
                <w:color w:val="auto"/>
              </w:rPr>
            </w:pPr>
            <w:r>
              <w:rPr>
                <w:rFonts w:ascii="Arial" w:cs="Arial" w:eastAsia="Arial" w:hAnsi="Arial"/>
                <w:sz w:val="18"/>
                <w:szCs w:val="18"/>
                <w:color w:val="auto"/>
              </w:rPr>
              <w:t>Zerust Singapore Pte Ltd</w:t>
            </w:r>
          </w:p>
        </w:tc>
        <w:tc>
          <w:tcPr>
            <w:tcW w:w="2020" w:type="dxa"/>
            <w:vAlign w:val="bottom"/>
            <w:gridSpan w:val="2"/>
          </w:tcPr>
          <w:p>
            <w:pPr>
              <w:jc w:val="center"/>
              <w:ind w:right="80"/>
              <w:spacing w:after="0" w:line="256"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9"/>
                <w:szCs w:val="29"/>
                <w:color w:val="auto"/>
                <w:w w:val="85"/>
                <w:vertAlign w:val="superscript"/>
              </w:rPr>
              <w:t>(2)</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5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Vietnam Co. Ltd</w:t>
            </w:r>
          </w:p>
        </w:tc>
        <w:tc>
          <w:tcPr>
            <w:tcW w:w="202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86"/>
              </w:rPr>
              <w:t>Vietnam</w:t>
            </w:r>
            <w:r>
              <w:rPr>
                <w:rFonts w:ascii="Arial" w:cs="Arial" w:eastAsia="Arial" w:hAnsi="Arial"/>
                <w:sz w:val="29"/>
                <w:szCs w:val="29"/>
                <w:color w:val="auto"/>
                <w:w w:val="86"/>
                <w:vertAlign w:val="superscript"/>
              </w:rPr>
              <w:t>(2)</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87"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 Tec Lanka (Pvt) Ltd is 100% owned by Natur-Tec India Private Limited and, therefore, indirectly owned by NTIC.</w:t>
      </w:r>
    </w:p>
    <w:p>
      <w:pPr>
        <w:spacing w:after="0" w:line="23"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Zerust Singapore Pte Ltd and Zerust Vietnam Co. Ltd are 100% owned by NTI Asean LLC and, therefore, indirectly owned by NTIC.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ind w:right="40"/>
        <w:spacing w:after="0" w:line="209" w:lineRule="auto"/>
        <w:rPr>
          <w:sz w:val="20"/>
          <w:szCs w:val="20"/>
          <w:color w:val="auto"/>
        </w:rPr>
      </w:pPr>
      <w:r>
        <w:rPr>
          <w:rFonts w:ascii="Arial" w:cs="Arial" w:eastAsia="Arial" w:hAnsi="Arial"/>
          <w:sz w:val="18"/>
          <w:szCs w:val="18"/>
          <w:color w:val="auto"/>
        </w:rPr>
        <w:t>products, some of the joint ventures also sell NTIC’s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NTIC has historically funded its investments in joint ventures with cash generated from operations.</w:t>
      </w:r>
    </w:p>
    <w:p>
      <w:pPr>
        <w:spacing w:after="0" w:line="2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w:t>
      </w:r>
    </w:p>
    <w:p>
      <w:pPr>
        <w:spacing w:after="0" w:line="2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NTIC considers EXCOR, ZERUST OY, ACOBAL SAS, HARITA-NTI LTD and ZERUST SPECIALTY TECH CO. LTD. to be individually significant to NTIC’s consolidated assets and income. Therefore, NTIC provides certain additional information regarding these entities in the notes to NTIC’s consolidated financial statements and in this section of this report.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The COVID-19 pandemic has negatively impacted the global economy, disrupted global supply chains, created significant volatility and disruption in financial markets and has resulted in an economic recession. The outbreak and continuing rapid spread of COVID-19 has resulted in a substantial curtailment of business activities worldwide and is causing weakened economic conditions, both in the United States and abroad.</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part of efforts to contain the spread of COVID-19, federal, state, local and foreign governments imposed various restrictions on the conduct of business and travel, some of which remain in place in whole or in part. Government restrictions, such as stay-at-home orders, quarantines and worker absenteeism as a result of COVID-19, have led to a significant number of business closures and slowdowns. These business closures and slowdowns have adversely impacted and will likely continue to adversely impact NTIC directly and have caused some of NTIC’s customers and suppliers to operate at a fraction of their capacities or wholly lock down, which has disrupted and may continue to disrupt NTIC’s sales and production.</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second and third fiscal quarters of 2020,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At various times during the second, third, and fourth quarters of fiscal 2020,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result of the global economic slowdown caused by the COVID-19 pandemic, NTIC experienced significantly decreased demand for its products, beginning with its second quarter of fiscal 2020, compared to the prior fiscal year periods, which had a material adverse effect on NTIC’s operating results. NTIC anticipates continued softened global demand for its products and services during fiscal 2021. Due to the international reach of COVID-19, NTIC’s international joint ventures have also been adversely impacted, which has had and may continue to have a material adverse effect on NTIC’s joint venture operations and equity in income from joint ventures. It is currently not possible to predict the precise potential impact, as well as the extent of any future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8" w:name="page39"/>
    <w:bookmarkEnd w:id="38"/>
    <w:p>
      <w:pPr>
        <w:ind w:right="40"/>
        <w:spacing w:after="0" w:line="258" w:lineRule="auto"/>
        <w:rPr>
          <w:sz w:val="20"/>
          <w:szCs w:val="20"/>
          <w:color w:val="auto"/>
        </w:rPr>
      </w:pPr>
      <w:r>
        <w:rPr>
          <w:rFonts w:ascii="Arial" w:cs="Arial" w:eastAsia="Arial" w:hAnsi="Arial"/>
          <w:sz w:val="18"/>
          <w:szCs w:val="18"/>
          <w:color w:val="auto"/>
        </w:rPr>
        <w:t>The extent to which the COVID-19 pandemic will continue to impact NTIC’s business will likely depend on numerous evolving factors that NTIC may not be able to accurately predict, including:</w:t>
      </w:r>
    </w:p>
    <w:p>
      <w:pPr>
        <w:spacing w:after="0" w:line="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on NTIC’s customers and demand for its products and services;</w:t>
      </w:r>
    </w:p>
    <w:p>
      <w:pPr>
        <w:spacing w:after="0" w:line="21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ability to continue to manufacture and sell its products and services, including as a result of travel restrictions and people working from home;</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NTIC’s customers to pay for its products and services;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closures of NTIC’s facilities and the facilities of its customers and suppliers.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240"/>
        <w:spacing w:after="0" w:line="341"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w:t>
      </w:r>
    </w:p>
    <w:p>
      <w:pPr>
        <w:spacing w:after="0" w:line="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NTIC’s consolidated net sales decreased 14.5% during fiscal 2020 compared to fiscal 2019. NTIC’s consolidated net sales for fiscal 2020 were adversely affected by reduced demand globally as a result of the COVID-19 pandemic. NTIC anticipates that the COVID-19 pandemic will continue to significantly adversely affect NTIC’s consolidated net sales and earnings during fiscal 2021.</w:t>
      </w:r>
    </w:p>
    <w:p>
      <w:pPr>
        <w:spacing w:after="0" w:line="187"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During fiscal 2020, 72.4%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9.7% to $34,474,535 during fiscal 2020 compared to $38,174,712 during fiscal 2019. This decrease was due to lower sales to existing customers for products as a</w:t>
      </w:r>
    </w:p>
    <w:p>
      <w:pPr>
        <w:ind w:right="60"/>
        <w:spacing w:after="0" w:line="235" w:lineRule="auto"/>
        <w:rPr>
          <w:sz w:val="20"/>
          <w:szCs w:val="20"/>
          <w:color w:val="auto"/>
        </w:rPr>
      </w:pPr>
      <w:r>
        <w:rPr>
          <w:rFonts w:ascii="Arial" w:cs="Arial" w:eastAsia="Arial" w:hAnsi="Arial"/>
          <w:sz w:val="16"/>
          <w:szCs w:val="16"/>
          <w:color w:val="auto"/>
        </w:rPr>
        <w:t>result of decreased demand, primarily as a result of the COVID-19 pandemic. NTIC has focused its sales efforts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2020 included $2,782,874 of sales made to customers in the oil and gas industry compared to $2,727,283 for fiscal 2019.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markets in</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which NTIC sells its products, including the automotive, oil and gas, agriculture, and mining markets in particular. NTIC’s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for fiscal 2020 were adversely affected by reduced demand globally as a result of the COVID-19 pandemic. NTIC anticipates that the COVID-19 pandemic will continue to significantly adversely affect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during fiscal 2021.</w:t>
      </w:r>
    </w:p>
    <w:p>
      <w:pPr>
        <w:spacing w:after="0" w:line="80"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During fiscal 2020, 27.6% of NTIC’s consolidated net sales were derived from sales of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compared to 31.5% during fiscal 2019. Net sales of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decreased 25.1% to $13,164,156 during fiscal 2020 compared to fiscal 2019 primarily due to a decrease in finished product sales in North America and finished product sales at NTIC’s majority-owned subsidiary in India, Natur-Tec India Private Limited (Natur-Tec India) and reduced demand globally as a result of the COVID-19 pandemic. NTIC anticipates that the COVID-19 pandemic will continue to significantly adversely affect sales of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during fiscal 2021.</w:t>
      </w:r>
    </w:p>
    <w:p>
      <w:pPr>
        <w:spacing w:after="0" w:line="8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Cost of goods sold as a percentage of net sales decreased to 66.4% during fiscal 2020 compared to 68.1% during fiscal 2019 primarily as a result of an increased percentage of product sales from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oil and gas products, which have higher gross margins than NTIC’s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industrial products and services or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w:t>
      </w:r>
    </w:p>
    <w:p>
      <w:pPr>
        <w:spacing w:after="0" w:line="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equity in income from joint ventures decreased 40.9% to $4,270,327 during fiscal 2020 compared to $7,225,518 during fiscal 2019. This decrease was primarily due to a corresponding decrease in net sales at the joint ventures, which were $87,030,062 during fiscal 2020, compared to $114,635,435 during fiscal 2019. The majority of the decrease in sales at the joint ventures is attributable to the decrease in net sales at EXCOR, which were $32,546,402 during fiscal 2020, compared to $47,015,841 during fiscal 2019. The decrease in the net sales of NTIC’s joint ventures was due primarily to decreased sales to existing customers for existing products as a result of decreased demand as a result of the COVID-19 pandemic. The decrease in net sales of NTIC’s joint ventures resulted in a corresponding decrease in fees for services provided to joint ventures, as such fees are a function of net sales of NTIC’s joint ventures. NTIC anticipates that net sales of its joint ventures will continue to decrease significantly as a result of decreased demand as a result of the COVID-19 pandemic and may continue to have a significant adverse effect on NTIC’s equity in income from its joint ventures.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ind w:right="600"/>
        <w:spacing w:after="0" w:line="342" w:lineRule="auto"/>
        <w:rPr>
          <w:sz w:val="20"/>
          <w:szCs w:val="20"/>
          <w:color w:val="auto"/>
        </w:rPr>
      </w:pPr>
      <w:r>
        <w:rPr>
          <w:rFonts w:ascii="Arial" w:cs="Arial" w:eastAsia="Arial" w:hAnsi="Arial"/>
          <w:sz w:val="16"/>
          <w:szCs w:val="16"/>
          <w:color w:val="auto"/>
        </w:rPr>
        <w:t>NTIC’s total operating expenses decreased $815,768, or 3.4%, to $23,324,453 during fiscal 2020 compared to $24,140,221 during fiscal 2019. This decrease was primarily due to the suspension of travel and work from home initiatives as a result of the COVID-19 pandemic during fiscal 2020.</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NTIC spent $3,979,455 in fiscal 2020 in connection with its research and development activities, compared to $3,822,070 in fiscal 2019. NTIC anticipates that it will spend a total of between $3,900,000 and $4,100,000 in fiscal 2021 on research and development activities.</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NTIC incurred a net loss attributable to NTIC of $(1,337,709), or $(0.15) per diluted common share, for fiscal 2020, compared to net income attributable to NTIC of $5,209,622, or $0.55 per diluted common share, for fiscal 2019. NTIC’s earnings were significantly affected by the COVID-19 pandemic during fiscal 2020 and NTIC anticipates that its earnings will continue to be significantly adversely affected by the COVID-19 pandemic during fiscal 2021. Additionally, NTIC recorded a tax valuation allowance of approximately $1,600,000 against its U.S. net deferred tax asset, which had an adverse impact on its earnings for fiscal 2020. For more information regarding this tax valuation allowance, see “</w:t>
      </w:r>
      <w:r>
        <w:rPr>
          <w:rFonts w:ascii="Arial" w:cs="Arial" w:eastAsia="Arial" w:hAnsi="Arial"/>
          <w:sz w:val="16"/>
          <w:szCs w:val="16"/>
          <w:i w:val="1"/>
          <w:iCs w:val="1"/>
          <w:color w:val="auto"/>
        </w:rPr>
        <w:t>Part II. Item 8. 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 – 14. Income Taxes</w:t>
      </w:r>
      <w:r>
        <w:rPr>
          <w:rFonts w:ascii="Arial" w:cs="Arial" w:eastAsia="Arial" w:hAnsi="Arial"/>
          <w:sz w:val="16"/>
          <w:szCs w:val="16"/>
          <w:color w:val="auto"/>
        </w:rPr>
        <w:t>” of this report. NTIC anticipates that its quarterly net income or loss will continue to remain subject to significant volatility</w:t>
      </w:r>
    </w:p>
    <w:p>
      <w:pPr>
        <w:spacing w:after="0" w:line="4"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primarily due to the financial performance of its subsidiaries and joint ventures, sales of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into the oil and gas industry, and sales of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bioplastics products, which fluctuate more on a quarterly basis than the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business.</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NTIC’s working capital, defined as current assets less current liabilities, was $27,104,746 at August 31, 2020, including $6,403,032 in cash and cash equivalents and $5,544,722 in available for sale securities, compared to $25,460,569 at August 31, 2019, including $5,856,758 in cash and cash equivalents and $3,565,258 in available for sale securities.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April 23, 2020, NTIC announced the temporary suspension of its quarterly cash dividend pending the impact of the COVID-19 pandemic on NTIC. Accordingly, NTIC did not declare a cash dividend during the quarters ended May 31, 2020 and August 31, 2020. Prior to this suspension, NTIC’s Board of Directors declared a cash dividend of $0.065 per share during its first and second quarters of fiscal 2020. During fiscal 2019, NTIC’s Board of Directors declared four quarterly cash dividends of $0.06 per share each. The length of the Company’s suspension of its quarterly cash dividend is currently unknown, and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w:t>
      </w:r>
    </w:p>
    <w:p>
      <w:pPr>
        <w:jc w:val="both"/>
        <w:ind w:right="260"/>
        <w:spacing w:after="0" w:line="227" w:lineRule="auto"/>
        <w:rPr>
          <w:sz w:val="20"/>
          <w:szCs w:val="20"/>
          <w:color w:val="auto"/>
        </w:rPr>
      </w:pPr>
      <w:r>
        <w:rPr>
          <w:rFonts w:ascii="Arial" w:cs="Arial" w:eastAsia="Arial" w:hAnsi="Arial"/>
          <w:sz w:val="18"/>
          <w:szCs w:val="18"/>
          <w:color w:val="auto"/>
        </w:rPr>
        <w:t>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and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spacing w:after="0" w:line="20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Net Sales, To Joint Ventures</w:t>
      </w:r>
      <w:r>
        <w:rPr>
          <w:rFonts w:ascii="Arial" w:cs="Arial" w:eastAsia="Arial" w:hAnsi="Arial"/>
          <w:sz w:val="16"/>
          <w:szCs w:val="16"/>
          <w:color w:val="auto"/>
        </w:rPr>
        <w:t>. Net sales, to joint ventures represents net sales by NTIC to NTIC’s joint ventures, but not sales by NTIC either directly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 users or to distributors or sales by NTIC’s joint ventures. NTIC’s revenue recognition policy for sales to its joint ventures is the same as NTIC’s policy for sales to unaffiliated customers. NTIC recognizes revenue from the sale of its products to joint ventures primarily upon shipment of the products.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spacing w:after="0" w:line="291" w:lineRule="auto"/>
        <w:rPr>
          <w:sz w:val="20"/>
          <w:szCs w:val="20"/>
          <w:color w:val="auto"/>
        </w:rPr>
      </w:pPr>
      <w:r>
        <w:rPr>
          <w:rFonts w:ascii="Arial" w:cs="Arial" w:eastAsia="Arial" w:hAnsi="Arial"/>
          <w:sz w:val="16"/>
          <w:szCs w:val="16"/>
          <w:b w:val="1"/>
          <w:bCs w:val="1"/>
          <w:i w:val="1"/>
          <w:iCs w:val="1"/>
          <w:color w:val="auto"/>
        </w:rPr>
        <w:t>Cost of Goods Sold</w:t>
      </w:r>
      <w:r>
        <w:rPr>
          <w:rFonts w:ascii="Arial" w:cs="Arial" w:eastAsia="Arial" w:hAnsi="Arial"/>
          <w:sz w:val="16"/>
          <w:szCs w:val="16"/>
          <w:color w:val="auto"/>
        </w:rPr>
        <w:t>. Most of NTIC’s products are manufactured by third parties, and its cost of goods sold for those products consists primarily of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invoiced by its third-party vendors. For the portion of products that NTIC manufactures, NTIC’s cost of goods sold for those products consists primarily of</w:t>
      </w:r>
    </w:p>
    <w:p>
      <w:pPr>
        <w:jc w:val="both"/>
        <w:ind w:right="40"/>
        <w:spacing w:after="0" w:line="221" w:lineRule="auto"/>
        <w:rPr>
          <w:sz w:val="20"/>
          <w:szCs w:val="20"/>
          <w:color w:val="auto"/>
        </w:rPr>
      </w:pPr>
      <w:r>
        <w:rPr>
          <w:rFonts w:ascii="Arial" w:cs="Arial" w:eastAsia="Arial" w:hAnsi="Arial"/>
          <w:sz w:val="17"/>
          <w:szCs w:val="17"/>
          <w:color w:val="auto"/>
        </w:rPr>
        <w:t>direct labor, allocated manufacturing overhead, raw materials, and components. NTIC’s margins on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each joint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6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Fees for Services Provided to Joint Ventures</w:t>
      </w:r>
      <w:r>
        <w:rPr>
          <w:rFonts w:ascii="Arial" w:cs="Arial" w:eastAsia="Arial" w:hAnsi="Arial"/>
          <w:sz w:val="17"/>
          <w:szCs w:val="17"/>
          <w:color w:val="auto"/>
        </w:rPr>
        <w:t>. NTIC provides certain services to its joint ventures, including consulting, legal, travel, insurance, technical,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is described, amounts are earned when product is shipped from joint venture facilities, at which point a sale is deemed to have occurred and results in obligation of the joint venture to pay the royalty and recognition of the fee by the Company.</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consist primarily of salaries and benefits and other costs for NTIC’s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 accounting, stock-based compensation, finance, legal, information technology, and human resources functions.</w:t>
      </w:r>
    </w:p>
    <w:p>
      <w:pPr>
        <w:spacing w:after="0" w:line="146"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color w:val="auto"/>
        </w:rPr>
        <w:t>. Interest expense results primarily from interest associated with any borrowings under NTIC’s line of credit with PNC Bank.</w:t>
      </w:r>
    </w:p>
    <w:p>
      <w:pPr>
        <w:spacing w:after="0" w:line="23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Income tax expense includes federal income taxes, foreign withholding taxes, income tax of consolidated entities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to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2020 and fiscal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Fiscal 2020</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2019</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Net Sales</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  45,666,045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53,142,583</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(7,476,538)</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1,972,646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2,607,554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(634,908)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31,609,274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37,970,244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(6,360,970)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4,270,327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7,225,518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(2,955,191)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4,612,885</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5,727,579</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(1,114,694)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10,656,689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10,968,592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(311,903)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8,688,309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9,349,559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(661,250)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3,979,455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3,822,070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157,385</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87"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decreased 14.5% to $47,638,691 during fiscal 2020 compared to $55,750,137 during fiscal 2019. NTIC’s</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net sales to unaffiliated customers excluding NTIC’s joint ventures decreased 14.1% to $45,666,045 during fiscal 2020 compared to $53,142,583 during fiscal 2019. Net sales to joint ventures decreased 24.3% to $1,972,646 in fiscal 2020 compared to fiscal 2019. These decreases were primarily a result of reduced demand globally as a result of the COVID-19 pandemic. NTIC anticipates that the COVID-19 pandemic will continue to significantly adversely affect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during fiscal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2020 and fiscal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34"/>
        </w:trPr>
        <w:tc>
          <w:tcPr>
            <w:tcW w:w="5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Fiscal 2019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7"/>
        </w:trPr>
        <w:tc>
          <w:tcPr>
            <w:tcW w:w="54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Total 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34,474,535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38,174,712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(3,700,177)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546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Total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sales</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13,164,156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17,575,425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(4,411,269)</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47,638,691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55,750,137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(8,111,446)</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During fiscal 2020, 72.4%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9.7% to $34,474,535 compared to $38,174,712 during fiscal 2019.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 demand for</w:t>
      </w:r>
    </w:p>
    <w:p>
      <w:pPr>
        <w:ind w:right="8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 segments to which NTIC sells its products, including the automotive, oil and gas, agriculture, and mining markets in particular. This decrease was primarily a result of reduced demand globally as a result of the COVID-19</w:t>
      </w:r>
    </w:p>
    <w:p>
      <w:pPr>
        <w:spacing w:after="0" w:line="2" w:lineRule="exact"/>
        <w:rPr>
          <w:sz w:val="20"/>
          <w:szCs w:val="20"/>
          <w:color w:val="auto"/>
        </w:rPr>
      </w:pPr>
    </w:p>
    <w:p>
      <w:pPr>
        <w:ind w:right="180"/>
        <w:spacing w:after="0" w:line="209" w:lineRule="auto"/>
        <w:rPr>
          <w:sz w:val="20"/>
          <w:szCs w:val="20"/>
          <w:color w:val="auto"/>
        </w:rPr>
      </w:pPr>
      <w:r>
        <w:rPr>
          <w:rFonts w:ascii="Arial" w:cs="Arial" w:eastAsia="Arial" w:hAnsi="Arial"/>
          <w:sz w:val="18"/>
          <w:szCs w:val="18"/>
          <w:color w:val="auto"/>
        </w:rPr>
        <w:t>pandemic. NTIC anticipates that the COVID-19 pandemic will continue to significantly adversely affect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during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for fiscal 2020 and fiscal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5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Fiscal 2019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6"/>
        </w:trPr>
        <w:tc>
          <w:tcPr>
            <w:tcW w:w="54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industrial 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29,719,015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32,839,875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(3,120,860)</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57"/>
        </w:trPr>
        <w:tc>
          <w:tcPr>
            <w:tcW w:w="5460" w:type="dxa"/>
            <w:vAlign w:val="bottom"/>
          </w:tcPr>
          <w:p>
            <w:pPr>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venture net sales</w:t>
            </w:r>
          </w:p>
        </w:tc>
        <w:tc>
          <w:tcPr>
            <w:tcW w:w="16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1,972,646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2,607,554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(634,908)</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0"/>
        </w:trPr>
        <w:tc>
          <w:tcPr>
            <w:tcW w:w="54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oil &amp; gas net sales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2,782,874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2,727,283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55,591</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5460" w:type="dxa"/>
            <w:vAlign w:val="bottom"/>
          </w:tcPr>
          <w:p>
            <w:pPr>
              <w:ind w:left="180"/>
              <w:spacing w:after="0" w:line="263" w:lineRule="exact"/>
              <w:rPr>
                <w:sz w:val="20"/>
                <w:szCs w:val="20"/>
                <w:color w:val="auto"/>
              </w:rPr>
            </w:pPr>
            <w:r>
              <w:rPr>
                <w:rFonts w:ascii="Arial" w:cs="Arial" w:eastAsia="Arial" w:hAnsi="Arial"/>
                <w:sz w:val="18"/>
                <w:szCs w:val="18"/>
                <w:color w:val="auto"/>
              </w:rPr>
              <w:t>Total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34,474,535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38,174,712</w:t>
            </w:r>
          </w:p>
        </w:tc>
        <w:tc>
          <w:tcPr>
            <w:tcW w:w="12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(3,700,177)</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NTIC’s total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sales decreased during fiscal 2020 compared to fiscal 2019 primarily due to overall decreased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 and services in North America, partially offset by increased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products and services. NTIC’s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 and services for fiscal 2020 were adversely affected by reduced demand globally as a result of the COVID-19 pandemic.</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ind w:right="200"/>
        <w:spacing w:after="0" w:line="232" w:lineRule="auto"/>
        <w:rPr>
          <w:sz w:val="20"/>
          <w:szCs w:val="20"/>
          <w:color w:val="auto"/>
        </w:rPr>
      </w:pPr>
      <w:r>
        <w:rPr>
          <w:rFonts w:ascii="Arial" w:cs="Arial" w:eastAsia="Arial" w:hAnsi="Arial"/>
          <w:sz w:val="18"/>
          <w:szCs w:val="18"/>
          <w:color w:val="auto"/>
        </w:rPr>
        <w:t>Demand for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decreased significantly beginning in February 2020 largely as a result of the COVID-19 pandemic and will likely have a significant adverse effect on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during fiscal 2021.</w:t>
      </w:r>
    </w:p>
    <w:p>
      <w:pPr>
        <w:spacing w:after="0" w:line="84" w:lineRule="exact"/>
        <w:rPr>
          <w:sz w:val="20"/>
          <w:szCs w:val="20"/>
          <w:color w:val="auto"/>
        </w:rPr>
      </w:pPr>
    </w:p>
    <w:p>
      <w:pPr>
        <w:ind w:right="140"/>
        <w:spacing w:after="0" w:line="227"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net sales increased 2.0% during fiscal 2020 compared to fiscal 2019 primarily as a result of new opportunities with new customers, partially offset by reduced demand as a result of the COVID-19 pandemic. The pandemic’s impact on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business was primarily due to significantly lower oil prices and travel restrictions, which inhibited NTIC’s ability to travel to customer sites in order to install solutions.</w:t>
      </w:r>
    </w:p>
    <w:p>
      <w:pPr>
        <w:ind w:right="40"/>
        <w:spacing w:after="0" w:line="244" w:lineRule="auto"/>
        <w:rPr>
          <w:sz w:val="20"/>
          <w:szCs w:val="20"/>
          <w:color w:val="auto"/>
        </w:rPr>
      </w:pPr>
      <w:r>
        <w:rPr>
          <w:rFonts w:ascii="Arial" w:cs="Arial" w:eastAsia="Arial" w:hAnsi="Arial"/>
          <w:sz w:val="17"/>
          <w:szCs w:val="17"/>
          <w:color w:val="auto"/>
        </w:rPr>
        <w:t>NTIC expects its oil and gas sales will continue to be impacted for the duration of the pandemic. NTIC also anticipates that its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20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During fiscal 2020, 27.6% of NTIC’s consolidated net sales were derived from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compared to 31.5% during fiscal 2019.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decreased 25.1% to $13,164,156 during fiscal 2020 compared to $17,575,425 during fiscal 2019. This decrease was primarily due to a decrease in finished product sales in North America and finished product sales at NTIC’s majority-owned subsidiary in India, Natur-Tec India Private Limited (Natur-Tec India), and decreased demand globally as a result of the COVID-19 pandemic. The COVID pandemic has adversely impacted demand from across the apparel industry, as well as many large users of bioplastics, including college campuses, stadiums, arenas, restaurants, and corporate office complexes. NTIC currently expects these customers will be some of the last businesses to re-open, and accordingly, anticipates that the COVID-19 pandemic will continue to significantly adversely affect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during fiscal 2021.</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decreased 16.8% in fiscal 2020 compared to fiscal 2019 primarily as a result of the decrease in net sales,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Cost of goods sold as a percentage of net sales decreased to 66.4% during fiscal 2020 compared to 68.1% during fiscal 2019 primarily due</w:t>
      </w:r>
    </w:p>
    <w:p>
      <w:pPr>
        <w:ind w:right="400"/>
        <w:spacing w:after="0" w:line="228" w:lineRule="auto"/>
        <w:rPr>
          <w:sz w:val="20"/>
          <w:szCs w:val="20"/>
          <w:color w:val="auto"/>
        </w:rPr>
      </w:pPr>
      <w:r>
        <w:rPr>
          <w:rFonts w:ascii="Arial" w:cs="Arial" w:eastAsia="Arial" w:hAnsi="Arial"/>
          <w:sz w:val="18"/>
          <w:szCs w:val="18"/>
          <w:color w:val="auto"/>
        </w:rPr>
        <w:t>to an increased percentage of product sales from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oil and gas products, which have higher gross margins than NTIC’s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industrial products and services or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Equity in Income from Joint Ventures</w:t>
      </w:r>
      <w:r>
        <w:rPr>
          <w:rFonts w:ascii="Arial" w:cs="Arial" w:eastAsia="Arial" w:hAnsi="Arial"/>
          <w:sz w:val="18"/>
          <w:szCs w:val="18"/>
          <w:color w:val="auto"/>
        </w:rPr>
        <w:t>. NTIC’s equity in income from joint ventures decreased 40.9% to $4,270,327 during fiscal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$7,225,518 during fiscal 2019. This decrease was primarily a result of decreased profitability of the joint ventures during fiscal 2020 compared to fiscal 2019 and which fluctuates based on net sales. Of the total equity in income from joint ventures, NTIC had equity in income from joint ventures of $2,622,423 attributable to EXCOR during fiscal 2020 compared to $5,415,362 attributable to EXCOR during fiscal 2019. NTIC had equity in income of all other joint ventures of $1,647,904 during fiscal 2020 compared to $1,810,156 during fiscal 2019.</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$4,612,885 during fiscal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$5,727,579 during fiscal 2019, representing a decrease of 19.5%, or $1,114,694. Fee income for services provided to joint ventures is traditionally a function of the sales made by NTIC’s joint ventures. Total net sales of NTIC’s joint ventures decreased $27,605,373 to $87,030,062 during fiscal 2020 compared to $114,635,435 during fiscal 2019, representing a decrease of 24.1%. Net sales of NTIC’s joint ventures are not included in NTIC’s product sales and are not included in NTIC’s consolidated financial statements. Of the total fee income for services provided to joint ventures, fees of $843,752 were attributable to EXCOR during fiscal 2020 compared to $852,526 attributable to EXCOR during fiscal 2019. These decreases are primarily the result of decreased global demand for NTIC’s products as a result of the COVID-19 pandemic. NTIC anticipates that net sales of its joint ventures and accordingly its equity in income from its joint ventures will continue to be adversely affected by the COVID-19 pandemic during fiscal 2021.</w:t>
      </w:r>
    </w:p>
    <w:p>
      <w:pPr>
        <w:spacing w:after="0" w:line="16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decreased 2.8% in fiscal 2020 compared to fiscal 2019 due primarily to decreased travel expenses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due to work from home arrangements necessitated by the COVID-19 pandemic. Selling expenses as a percentage of net sales increased to 22.4% for fiscal 2020 compared to 19.7% in fiscal 2019 primarily due to the decrease in net sales, as previously described.</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43" w:name="page44"/>
    <w:bookmarkEnd w:id="43"/>
    <w:p>
      <w:pPr>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decreased 7.1% in fiscal 2020 compared to fiscal 2019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travel expenses and other expenses due to work from home arrangements necessitated by the COVID-19 pandemic, partially offset by approximately $170,000 expense due to a loss on disposal of certain fixed assets and patents. As a percentage of net sales, general and administrative expenses increased to 18.2% for fiscal 2020 from 16.8% for fiscal 2019 primarily to the decrease in net sales, as previously described.</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4.1% in fiscal 2020 compared to fiscal 2019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personnel and development efforts, partially offset by decreased travel expenses and other expenses due to work from home arrangements necessitated by the COVID-19 pandemic.</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$167,733 in fiscal 2020 compared to $78,257 in fiscal 2019 due primarily to volatile earnings on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sale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$16,034 in fiscal 2020 compared to $13,567 in fiscal 2019.</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incurred a profit before income tax expense of $1,739,875 for fiscal 2020 compared to income before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$6,657,459 for fiscal 2019.</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$2,674,635 during fiscal 2020 compared to $841,837 during fiscal 2019 for an effective tax rate of 153.7%</w:t>
      </w:r>
      <w:r>
        <w:rPr>
          <w:rFonts w:ascii="Arial" w:cs="Arial" w:eastAsia="Arial" w:hAnsi="Arial"/>
          <w:sz w:val="18"/>
          <w:szCs w:val="18"/>
          <w:i w:val="1"/>
          <w:iCs w:val="1"/>
          <w:color w:val="auto"/>
        </w:rPr>
        <w:t xml:space="preserve"> </w:t>
      </w:r>
      <w:r>
        <w:rPr>
          <w:rFonts w:ascii="Arial" w:cs="Arial" w:eastAsia="Arial" w:hAnsi="Arial"/>
          <w:sz w:val="18"/>
          <w:szCs w:val="18"/>
          <w:color w:val="auto"/>
        </w:rPr>
        <w:t>and 12.7%, respectively. Income tax expense during fiscal 2020 includes $1,626,251 related to the impact of a tax valuation allowance recorded with respect to the Company’s domestic deferred tax assets during fiscal 2020.</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Net (Loss) Income Attributable to NTIC</w:t>
      </w:r>
      <w:r>
        <w:rPr>
          <w:rFonts w:ascii="Arial" w:cs="Arial" w:eastAsia="Arial" w:hAnsi="Arial"/>
          <w:sz w:val="17"/>
          <w:szCs w:val="17"/>
          <w:color w:val="auto"/>
        </w:rPr>
        <w:t>. Net (loss) income attributable to NTIC decreased to a loss of $(1,337,709), or $(0.15) per diluted common share,</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2020 compared to income of $5,209,622, or $0.55 per diluted common share, for fiscal 2019, a decrease of $6,547,334 or $0.70 per diluted share. This decrease was primarily the result of the increase in the income tax expense noted above and decrease in net sales and resulting gross profit and income from joint venture operations during fiscal 2020 compared to fiscal 2019 due to the impact of the COVID-19 pandemic.</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anticipates that its earnings will be significantly adversely affected by the COVID-19 pandemic throughout fiscal 2021 and that its quarterly net income or loss will continue to remain subject to significant volatility primarily due to the financial performance of its subsidiaries and joint ventures, sales</w:t>
      </w:r>
    </w:p>
    <w:p>
      <w:pPr>
        <w:jc w:val="both"/>
        <w:ind w:right="180"/>
        <w:spacing w:after="0" w:line="228" w:lineRule="auto"/>
        <w:rPr>
          <w:sz w:val="20"/>
          <w:szCs w:val="20"/>
          <w:color w:val="auto"/>
        </w:rPr>
      </w:pPr>
      <w:r>
        <w:rPr>
          <w:rFonts w:ascii="Arial" w:cs="Arial" w:eastAsia="Arial" w:hAnsi="Arial"/>
          <w:sz w:val="18"/>
          <w:szCs w:val="18"/>
          <w:color w:val="auto"/>
        </w:rPr>
        <w:t>of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into the oil and gas industry, and sales of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bioplastics products, which fluctuate more on a quarterly basis than the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business.</w:t>
      </w:r>
    </w:p>
    <w:p>
      <w:pPr>
        <w:spacing w:after="0" w:line="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Other Comprehensive Income – Foreign Currency Translations Adjustment</w:t>
      </w:r>
      <w:r>
        <w:rPr>
          <w:rFonts w:ascii="Arial" w:cs="Arial" w:eastAsia="Arial" w:hAnsi="Arial"/>
          <w:sz w:val="17"/>
          <w:szCs w:val="17"/>
          <w:color w:val="auto"/>
        </w:rPr>
        <w:t>. The changes in the foreign currency translations adjustment were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 of the U.S. dollar compared to the Euro and other foreign currencies during fiscal 2020 compared to fiscal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i w:val="1"/>
          <w:iCs w:val="1"/>
          <w:color w:val="auto"/>
        </w:rPr>
        <w:t>Sources of Cash and Working Capital</w:t>
      </w:r>
      <w:r>
        <w:rPr>
          <w:rFonts w:ascii="Arial" w:cs="Arial" w:eastAsia="Arial" w:hAnsi="Arial"/>
          <w:sz w:val="16"/>
          <w:szCs w:val="16"/>
          <w:color w:val="auto"/>
        </w:rPr>
        <w:t>. As of August 31, 2020, NTIC’s working capital, defined as current assets less current liabilities, was $27,104,746,</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$6,403,032 in cash and cash equivalents and $5,544,722 in available for sale securities, compared to working capital of $25,460,569, including $5,856,758 in cash and cash equivalents and $3,565,258 in available for sale securities, as of August 31, 2019. These increases are primarily the result of the suspension of NTIC’s quarterly cash dividend payments beginning with the third quarter of fiscal 2020, the increase of dividends received from joint ventures, the collection of outstanding receivables and the decrease in operating expenses during fiscal 2020 compared to fiscal 2019.</w:t>
      </w:r>
    </w:p>
    <w:p>
      <w:pPr>
        <w:spacing w:after="0" w:line="16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August 31, 2020,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December 16, 2019, the Company and PNC Bank extended the maturity date of the line of credit from January 7, 2020 to January 7, 2021.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44" w:name="page45"/>
    <w:bookmarkEnd w:id="44"/>
    <w:p>
      <w:pPr>
        <w:jc w:val="both"/>
        <w:ind w:right="20"/>
        <w:spacing w:after="0" w:line="263" w:lineRule="auto"/>
        <w:rPr>
          <w:sz w:val="20"/>
          <w:szCs w:val="20"/>
          <w:color w:val="auto"/>
        </w:rPr>
      </w:pPr>
      <w:r>
        <w:rPr>
          <w:rFonts w:ascii="Arial" w:cs="Arial" w:eastAsia="Arial" w:hAnsi="Arial"/>
          <w:sz w:val="18"/>
          <w:szCs w:val="18"/>
          <w:color w:val="auto"/>
        </w:rPr>
        <w:t>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2020, NTIC was in compliance with all debt covenants.</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if NTIC’s Board of Directors decides to reinstate them, and any stock repurchases for at least the next 12 months. During fiscal 2021, NTIC expects to continue to invest directly and through its use of working capital in NTIC China, Zerust Mexico, NTI Europe, research and</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development, marketing efforts, resources for the application of its corrosion prevention technology in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Uses of Cash and Cash Flow. </w:t>
      </w:r>
      <w:r>
        <w:rPr>
          <w:rFonts w:ascii="Arial" w:cs="Arial" w:eastAsia="Arial" w:hAnsi="Arial"/>
          <w:sz w:val="16"/>
          <w:szCs w:val="16"/>
          <w:color w:val="auto"/>
        </w:rPr>
        <w:t>Net cash provided by operating activities during fiscal 2020 was $4,912,070 which resulted principally from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joint ventures, stock-based compensation, depreciation, amortization and deferred income taxes, partially offset by NTIC’s net loss, equity in income from joint ventures, and an offset by a decrease in accrued liabilities. Net cash provided by operating activities during fiscal 2019 was $5,477,022, which resulted principally from NTIC’s net income, dividends received from joint ventures, stock-based compensation, depreciation, amortization, and an increase in accounts payable, partially offset by NTIC’s equity in income from joint ventures, an increase in inventory and a decrease in accrued liabilities.</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5" w:name="page46"/>
    <w:bookmarkEnd w:id="45"/>
    <w:p>
      <w:pPr>
        <w:ind w:right="20"/>
        <w:spacing w:after="0" w:line="290" w:lineRule="auto"/>
        <w:rPr>
          <w:sz w:val="20"/>
          <w:szCs w:val="20"/>
          <w:color w:val="auto"/>
        </w:rPr>
      </w:pPr>
      <w:r>
        <w:rPr>
          <w:rFonts w:ascii="Arial" w:cs="Arial" w:eastAsia="Arial" w:hAnsi="Arial"/>
          <w:sz w:val="16"/>
          <w:szCs w:val="16"/>
          <w:color w:val="auto"/>
        </w:rPr>
        <w:t>NTIC experienced a decrease in trade receivables and an increase in inventory as of August 31, 2020 compared to August 31, 2019. Trade receivables excluding joint ventures as of August 31, 2020 decreased $1,707,306 compared to August 31, 2019, primarily related to the timing of collections and the decrease in sales. Outstanding trade receivables excluding joint ventures balances as of August 31, 2020 decreased by an average of 3 days to an average of 65 days from balances outstanding from these customers as of August 31, 2019. Outstanding trade receivables from joint ventures as of August 31, 2020 decreased $348,573 compared to August 31, 2019 primarily due to the timing of payments. Outstanding balances from trade receivables from joint ventures decreased by an average of 27 days as of August 31, 2020 to an average of 88 days from an average of 115 days from balances outstanding from these customers compared to August 31, 2019. The average days outstanding of trade receivables from joint ventures as of August 31, 2020 were primarily due to the receivable balances at NTIC’s joint ventures in United States and India.</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Outstanding receivables for services provided to joint ventures as of August 31, 2020 decreased $340,714 compared to August 31, 2019, and the average days to pay decreased from an average of 81 days to an average of 73 days, compared to August 31, 2019.</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investing activities during fiscal 2020 was $2,784,682, which was primarily the result of the purchase of available for sale securities, purchases of property and equipment and investments in patents, partially offset by proceeds from the sale of available for sale securities and the sale of property and equipment. Net cash used in investing activities during fiscal 2019 was $1,339,921, which was primarily the result of the purchase of available for sale securities, purchases of property and equipment and investments in patents, partially offset by proceeds from the sale of available for sale securities.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financing activities for fiscal 2020 was $1,518,005, which resulted from dividends paid on NTIC common stock and a dividend paid to a non-controlling interest, partially offset by proceeds from NTIC’s employee stock purchase plan. Net cash used in financing activities for fiscal 2019 was $2,393,664, which resulted from dividends paid on NTIC common stock and a dividend paid to a non-controlling interest, partially offset by an investment by a non-controlling interest and proceeds from NTIC’s employee stock purchase plan.</w:t>
      </w:r>
    </w:p>
    <w:p>
      <w:pPr>
        <w:spacing w:after="0" w:line="18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As of August 31, 2020, up to $2,640,548 in shares of NTIC common stock remained available for repurchase under NTIC’s stock repurchase program. No shares of NTIC common stock were repurchased during fiscal 2020 or fiscal 2019.</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During fiscal 2020, NTIC’s Board of Directors declared cash dividends on the following dates in the following amounts to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of the Company’s common stock as of the following record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22, 2019</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$0.065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6, 2019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22, 2020</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$0.065</w:t>
            </w: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5, 2020</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April 23, 2020, NTIC announced the temporary suspension of its quarterly cash dividend pending clarity on COVID-19 pandemic. Therefore, NTIC’s Board of Directors did not declare a cash dividend during the quarter ended May 31, 2020 or the quarter ended August 31, 2020.</w:t>
      </w:r>
    </w:p>
    <w:p>
      <w:pPr>
        <w:spacing w:after="0" w:line="14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Stock Split</w:t>
      </w:r>
      <w:r>
        <w:rPr>
          <w:rFonts w:ascii="Arial" w:cs="Arial" w:eastAsia="Arial" w:hAnsi="Arial"/>
          <w:sz w:val="18"/>
          <w:szCs w:val="18"/>
          <w:color w:val="auto"/>
        </w:rPr>
        <w:t>. On June 3, 2019, NTIC’s Board of Directors declared a two-for-one stock split of NTIC’s common stock effected in the form of a 100%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distributed on June 28, 2019 to record holders as of June 17, 2019. As a result of this action, approximately 4.5 million shares were issued to stockholders of record as of June 17, 2019. The par value of the common stock remains at $0.02 per share, and, accordingly, approximately $90,900 was transferred from additional paid-in capital to common stock. Net income and dividends declared per share and weighted average shares outstanding presented in this report reflect the 100 percent stock dividend. The two-for-one stock split is reflected in the share amounts in all periods presented in this report.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jc w:val="both"/>
        <w:ind w:right="180"/>
        <w:spacing w:after="0" w:line="263"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$711,412 on capital expenditures during fiscal 2020, which related primarily to the purchase of new</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NTIC expects to spend an aggregate of approximately $600,000 to $900,000 on capital expenditures during fiscal 2021, which it expects will relate primarily to the purchase of new equipment.</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Set forth below is information concerning NTIC’s known contractual obligations as of August 31, 2020 that are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by year starting with the twelve months ending August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1"/>
        </w:trPr>
        <w:tc>
          <w:tcPr>
            <w:tcW w:w="3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Less than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More than</w:t>
            </w:r>
          </w:p>
        </w:tc>
      </w:tr>
      <w:tr>
        <w:trPr>
          <w:trHeight w:val="234"/>
        </w:trPr>
        <w:tc>
          <w:tcPr>
            <w:tcW w:w="35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Contractual Obligations</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1-3 Years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3-5 Years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 Years</w:t>
            </w: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Rent obligations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386,345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196"/>
        </w:trPr>
        <w:tc>
          <w:tcPr>
            <w:tcW w:w="3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674,689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386,345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288,344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Inflation in the United States and abroad historically has had little effect on NTIC. Although NTIC’s business historically has not been seasonal, NTIC believes there is now some seasonality in its business. NTIC believes its net sales in the second fiscal quarter were adversely affected by the long Chinese New Year, which slowdown was extended in an effort to combat the spread of COVID-19, the North American holiday season, and overall less corrosion taking place at lower winter temperatures worldwide.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2020, NTIC had no borrowings under the line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ind w:right="120"/>
        <w:spacing w:after="0" w:line="250" w:lineRule="auto"/>
        <w:rPr>
          <w:sz w:val="20"/>
          <w:szCs w:val="20"/>
          <w:color w:val="auto"/>
        </w:rPr>
      </w:pPr>
      <w:r>
        <w:rPr>
          <w:rFonts w:ascii="Arial" w:cs="Arial" w:eastAsia="Arial" w:hAnsi="Arial"/>
          <w:sz w:val="17"/>
          <w:szCs w:val="17"/>
          <w:color w:val="auto"/>
        </w:rPr>
        <w:t>NTIC established its joint venture network approximately 30 years ago as a method to increase its worldwide distribution network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NTIC participates, either directly or indirectly, in 19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wholly-owned subsidiaries, Northern Technologies Holding Company, LLC, NTIC (Shanghai) Co., Ltd., NTIC Europe GmbH and ZERUST-EXCOR MEXICO, S. de R.L. de C.V., NTIC’s majority-owned subsidiary in Brazil, Zerust Prevenção de Corrosão S.A., NTIC’s majority-owned holding company, NTI Asean LLC, and NTIC’s majority-owned subsidiary in India, Natur-Tec India Private Limited, Natur-Tec Lanka, Zerust Singapore Pte Ltd (Zerust Singapore) and Zerust Vietnam Co. Ltd (Zerust Vietnam). NTIC’s consolidated financial statements do not include the accounts of any of its joint ventures.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at Carrying Value</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the Company’s revenue is contracted with customers through one-time purchase orders and short-term contracts, the Company does have long-term arrangements with certain customers. Revenue from all customers is recognized when a performance obligation is satisfied by transferring control of a distinct good or service to a customer. The transaction price for the Company’s products is the invoiced amount. Revenue is recognized when transfer of control occurs as defined by the terms in the customer agreement, generally upon shipment of product.</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the Company.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 terms of net 30 days to unaffiliated customers. Payment terms for NTIC’s joint ventures also are determined based on credit risk; however, additional consideration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Loss)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(loss) income.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NTIC (excluding NTIC China, Zerust Brazil, Natur-Tec India, Natur-Tec Lanka, NTI Asean, Zerust Singapore, Zerust Vietnam, Zerust Mexico,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NTIC’s inventories consist primarily of production materials and finished goods. NTIC purchases production materials and finished goods based on forecasted demand and records inventory at the lower of cost or net realizable value.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income tax assets in the future in excess of their net recorded amount, NTIC makes an adjustment to the deferred tax asset valuation allowance, which would reduce the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1" w:name="page52"/>
    <w:bookmarkEnd w:id="51"/>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2020, NTIC had no borrowings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30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8300" w:type="dxa"/>
            <w:vAlign w:val="bottom"/>
          </w:tcPr>
          <w:p>
            <w:pPr>
              <w:ind w:left="2360"/>
              <w:spacing w:after="0"/>
              <w:rPr>
                <w:sz w:val="20"/>
                <w:szCs w:val="20"/>
                <w:color w:val="auto"/>
              </w:rPr>
            </w:pPr>
            <w:r>
              <w:rPr>
                <w:rFonts w:ascii="Arial" w:cs="Arial" w:eastAsia="Arial" w:hAnsi="Arial"/>
                <w:sz w:val="18"/>
                <w:szCs w:val="18"/>
                <w:b w:val="1"/>
                <w:bCs w:val="1"/>
                <w:color w:val="auto"/>
              </w:rPr>
              <w:t>INDEX TO CONSOLIDATED FINANCIAL STATEMENTS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220" w:type="dxa"/>
            <w:vAlign w:val="bottom"/>
            <w:gridSpan w:val="2"/>
          </w:tcPr>
          <w:p>
            <w:pPr>
              <w:spacing w:after="0"/>
              <w:rPr>
                <w:sz w:val="20"/>
                <w:szCs w:val="20"/>
                <w:color w:val="auto"/>
              </w:rPr>
            </w:pPr>
            <w:r>
              <w:rPr>
                <w:rFonts w:ascii="Arial" w:cs="Arial" w:eastAsia="Arial" w:hAnsi="Arial"/>
                <w:sz w:val="18"/>
                <w:szCs w:val="18"/>
                <w:color w:val="auto"/>
              </w:rPr>
              <w:t>The following items are included herein:</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9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20" w:type="dxa"/>
            <w:vAlign w:val="bottom"/>
          </w:tcPr>
          <w:p>
            <w:pPr>
              <w:spacing w:after="0"/>
              <w:rPr>
                <w:sz w:val="24"/>
                <w:szCs w:val="24"/>
                <w:color w:val="auto"/>
              </w:rPr>
            </w:pPr>
          </w:p>
        </w:tc>
      </w:tr>
      <w:tr>
        <w:trPr>
          <w:trHeight w:val="479"/>
        </w:trPr>
        <w:tc>
          <w:tcPr>
            <w:tcW w:w="922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Report of Independent Registered Public Accounting Firm</w:t>
              </w:r>
            </w:hyperlink>
          </w:p>
        </w:tc>
        <w:tc>
          <w:tcPr>
            <w:tcW w:w="1640" w:type="dxa"/>
            <w:vAlign w:val="bottom"/>
            <w:gridSpan w:val="2"/>
          </w:tcPr>
          <w:p>
            <w:pPr>
              <w:jc w:val="center"/>
              <w:ind w:left="1170"/>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50</w:t>
              </w:r>
            </w:hyperlink>
          </w:p>
        </w:tc>
        <w:tc>
          <w:tcPr>
            <w:tcW w:w="20" w:type="dxa"/>
            <w:vAlign w:val="bottom"/>
          </w:tcPr>
          <w:p>
            <w:pPr>
              <w:spacing w:after="0"/>
              <w:rPr>
                <w:sz w:val="24"/>
                <w:szCs w:val="24"/>
                <w:color w:val="auto"/>
              </w:rPr>
            </w:pPr>
          </w:p>
        </w:tc>
      </w:tr>
      <w:tr>
        <w:trPr>
          <w:trHeight w:val="216"/>
        </w:trPr>
        <w:tc>
          <w:tcPr>
            <w:tcW w:w="9220" w:type="dxa"/>
            <w:vAlign w:val="bottom"/>
            <w:gridSpan w:val="2"/>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Balance Sheets as of August 31, 2020 and 2019</w:t>
              </w:r>
            </w:hyperlink>
          </w:p>
        </w:tc>
        <w:tc>
          <w:tcPr>
            <w:tcW w:w="1640" w:type="dxa"/>
            <w:vAlign w:val="bottom"/>
            <w:gridSpan w:val="2"/>
          </w:tcPr>
          <w:p>
            <w:pPr>
              <w:jc w:val="center"/>
              <w:ind w:left="117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51</w:t>
              </w:r>
            </w:hyperlink>
          </w:p>
        </w:tc>
        <w:tc>
          <w:tcPr>
            <w:tcW w:w="20" w:type="dxa"/>
            <w:vAlign w:val="bottom"/>
          </w:tcPr>
          <w:p>
            <w:pPr>
              <w:spacing w:after="0"/>
              <w:rPr>
                <w:sz w:val="18"/>
                <w:szCs w:val="18"/>
                <w:color w:val="auto"/>
              </w:rPr>
            </w:pPr>
          </w:p>
        </w:tc>
      </w:tr>
      <w:tr>
        <w:trPr>
          <w:trHeight w:val="216"/>
        </w:trPr>
        <w:tc>
          <w:tcPr>
            <w:tcW w:w="9220" w:type="dxa"/>
            <w:vAlign w:val="bottom"/>
            <w:gridSpan w:val="2"/>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Operations for the years ended August 31, 2020 and 2019</w:t>
              </w:r>
            </w:hyperlink>
          </w:p>
        </w:tc>
        <w:tc>
          <w:tcPr>
            <w:tcW w:w="1640" w:type="dxa"/>
            <w:vAlign w:val="bottom"/>
            <w:gridSpan w:val="2"/>
          </w:tcPr>
          <w:p>
            <w:pPr>
              <w:jc w:val="center"/>
              <w:ind w:left="1170"/>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52</w:t>
              </w:r>
            </w:hyperlink>
          </w:p>
        </w:tc>
        <w:tc>
          <w:tcPr>
            <w:tcW w:w="20" w:type="dxa"/>
            <w:vAlign w:val="bottom"/>
          </w:tcPr>
          <w:p>
            <w:pPr>
              <w:spacing w:after="0"/>
              <w:rPr>
                <w:sz w:val="18"/>
                <w:szCs w:val="18"/>
                <w:color w:val="auto"/>
              </w:rPr>
            </w:pPr>
          </w:p>
        </w:tc>
      </w:tr>
      <w:tr>
        <w:trPr>
          <w:trHeight w:val="216"/>
        </w:trPr>
        <w:tc>
          <w:tcPr>
            <w:tcW w:w="9220" w:type="dxa"/>
            <w:vAlign w:val="bottom"/>
            <w:gridSpan w:val="2"/>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Consolidated Statements of Comprehensive (Loss) Income for the years ended August 31, 2020 and 2019</w:t>
              </w:r>
            </w:hyperlink>
          </w:p>
        </w:tc>
        <w:tc>
          <w:tcPr>
            <w:tcW w:w="1640" w:type="dxa"/>
            <w:vAlign w:val="bottom"/>
            <w:gridSpan w:val="2"/>
          </w:tcPr>
          <w:p>
            <w:pPr>
              <w:jc w:val="center"/>
              <w:ind w:left="11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53</w:t>
              </w:r>
            </w:hyperlink>
          </w:p>
        </w:tc>
        <w:tc>
          <w:tcPr>
            <w:tcW w:w="20" w:type="dxa"/>
            <w:vAlign w:val="bottom"/>
          </w:tcPr>
          <w:p>
            <w:pPr>
              <w:spacing w:after="0"/>
              <w:rPr>
                <w:sz w:val="18"/>
                <w:szCs w:val="18"/>
                <w:color w:val="auto"/>
              </w:rPr>
            </w:pPr>
          </w:p>
        </w:tc>
      </w:tr>
      <w:tr>
        <w:trPr>
          <w:trHeight w:val="216"/>
        </w:trPr>
        <w:tc>
          <w:tcPr>
            <w:tcW w:w="922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Consolidated Statements of Equity for the years ended August 31, 2020 and 2019</w:t>
              </w:r>
            </w:hyperlink>
          </w:p>
        </w:tc>
        <w:tc>
          <w:tcPr>
            <w:tcW w:w="1640" w:type="dxa"/>
            <w:vAlign w:val="bottom"/>
            <w:gridSpan w:val="2"/>
          </w:tcPr>
          <w:p>
            <w:pPr>
              <w:jc w:val="center"/>
              <w:ind w:left="1170"/>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54</w:t>
              </w:r>
            </w:hyperlink>
          </w:p>
        </w:tc>
        <w:tc>
          <w:tcPr>
            <w:tcW w:w="20" w:type="dxa"/>
            <w:vAlign w:val="bottom"/>
          </w:tcPr>
          <w:p>
            <w:pPr>
              <w:spacing w:after="0"/>
              <w:rPr>
                <w:sz w:val="18"/>
                <w:szCs w:val="18"/>
                <w:color w:val="auto"/>
              </w:rPr>
            </w:pPr>
          </w:p>
        </w:tc>
      </w:tr>
      <w:tr>
        <w:trPr>
          <w:trHeight w:val="216"/>
        </w:trPr>
        <w:tc>
          <w:tcPr>
            <w:tcW w:w="9220" w:type="dxa"/>
            <w:vAlign w:val="bottom"/>
            <w:gridSpan w:val="2"/>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Statements of Cash Flows for the years ended August 31, 2020 and 2019</w:t>
              </w:r>
            </w:hyperlink>
          </w:p>
        </w:tc>
        <w:tc>
          <w:tcPr>
            <w:tcW w:w="1640" w:type="dxa"/>
            <w:vAlign w:val="bottom"/>
            <w:gridSpan w:val="2"/>
          </w:tcPr>
          <w:p>
            <w:pPr>
              <w:jc w:val="center"/>
              <w:ind w:left="1170"/>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55</w:t>
              </w:r>
            </w:hyperlink>
          </w:p>
        </w:tc>
        <w:tc>
          <w:tcPr>
            <w:tcW w:w="20" w:type="dxa"/>
            <w:vAlign w:val="bottom"/>
          </w:tcPr>
          <w:p>
            <w:pPr>
              <w:spacing w:after="0"/>
              <w:rPr>
                <w:sz w:val="18"/>
                <w:szCs w:val="18"/>
                <w:color w:val="auto"/>
              </w:rPr>
            </w:pPr>
          </w:p>
        </w:tc>
      </w:tr>
      <w:tr>
        <w:trPr>
          <w:trHeight w:val="230"/>
        </w:trPr>
        <w:tc>
          <w:tcPr>
            <w:tcW w:w="922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Notes to Consolidated Financial Statements</w:t>
              </w:r>
            </w:hyperlink>
          </w:p>
        </w:tc>
        <w:tc>
          <w:tcPr>
            <w:tcW w:w="1660" w:type="dxa"/>
            <w:vAlign w:val="bottom"/>
            <w:gridSpan w:val="3"/>
          </w:tcPr>
          <w:p>
            <w:pPr>
              <w:jc w:val="center"/>
              <w:ind w:left="1150"/>
              <w:spacing w:after="0"/>
              <w:rPr>
                <w:rFonts w:ascii="Arial" w:cs="Arial" w:eastAsia="Arial" w:hAnsi="Arial"/>
                <w:sz w:val="18"/>
                <w:szCs w:val="18"/>
                <w:u w:val="single" w:color="auto"/>
                <w:color w:val="0000EE"/>
                <w:w w:val="91"/>
              </w:rPr>
            </w:pPr>
            <w:hyperlink w:anchor="page60">
              <w:r>
                <w:rPr>
                  <w:rFonts w:ascii="Arial" w:cs="Arial" w:eastAsia="Arial" w:hAnsi="Arial"/>
                  <w:sz w:val="18"/>
                  <w:szCs w:val="18"/>
                  <w:u w:val="single" w:color="auto"/>
                  <w:color w:val="0000EE"/>
                  <w:w w:val="91"/>
                </w:rPr>
                <w:t>56-76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80"/>
          </w:cols>
          <w:pgMar w:left="320" w:top="796" w:right="699" w:bottom="1440" w:gutter="0" w:footer="0" w:header="0"/>
        </w:sectPr>
      </w:pPr>
    </w:p>
    <w:bookmarkStart w:id="53" w:name="page54"/>
    <w:bookmarkEnd w:id="5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Northern Technologies International Corporation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(the "Company") as of August 31, 2020 and 2019, the related consolidated statements of operations, comprehensive income (loss), equity, and cash flows, for each of the two years in the period ended August 31, 2020, and the related notes (collectively referred to as the "consolidated financial statements"). In our opinion, the consolidated financial statements present fairly, in all material respects, the financial position of the Company as of August 31, 2020 and 2019, and the results of its operations and its cash flows for each of the two years in the period ended August 31, 2020,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 (formerly known as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6,403,032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5,856,758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5,544,722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3,565,258</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2"/>
        </w:trPr>
        <w:tc>
          <w:tcPr>
            <w:tcW w:w="8000" w:type="dxa"/>
            <w:vAlign w:val="bottom"/>
          </w:tcPr>
          <w:p>
            <w:pPr>
              <w:ind w:left="540"/>
              <w:spacing w:after="0" w:line="201" w:lineRule="exact"/>
              <w:rPr>
                <w:sz w:val="20"/>
                <w:szCs w:val="20"/>
                <w:color w:val="auto"/>
              </w:rPr>
            </w:pPr>
            <w:r>
              <w:rPr>
                <w:rFonts w:ascii="Arial" w:cs="Arial" w:eastAsia="Arial" w:hAnsi="Arial"/>
                <w:sz w:val="18"/>
                <w:szCs w:val="18"/>
                <w:color w:val="auto"/>
                <w:w w:val="97"/>
              </w:rPr>
              <w:t>Trade excluding joint ventures, less allowance for doubtful accounts of $90,000 as of August 31,</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8000" w:type="dxa"/>
            <w:vAlign w:val="bottom"/>
          </w:tcPr>
          <w:p>
            <w:pPr>
              <w:ind w:left="720"/>
              <w:spacing w:after="0"/>
              <w:rPr>
                <w:sz w:val="20"/>
                <w:szCs w:val="20"/>
                <w:color w:val="auto"/>
              </w:rPr>
            </w:pPr>
            <w:r>
              <w:rPr>
                <w:rFonts w:ascii="Arial" w:cs="Arial" w:eastAsia="Arial" w:hAnsi="Arial"/>
                <w:sz w:val="18"/>
                <w:szCs w:val="18"/>
                <w:color w:val="auto"/>
              </w:rPr>
              <w:t>2020 and $65,000 as of August 31, 2019</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8,072,212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9,779,518</w:t>
            </w: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Trade joint ventures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824,473</w:t>
            </w: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927,286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1,268,000</w:t>
            </w: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457,018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10,961,796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10,488,728</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797,495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1,062,609</w:t>
            </w:r>
          </w:p>
        </w:tc>
      </w:tr>
      <w:tr>
        <w:trPr>
          <w:trHeight w:val="209"/>
        </w:trPr>
        <w:tc>
          <w:tcPr>
            <w:tcW w:w="80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33,202,350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33,302,362</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7,110,789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7,358,159</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in joint ventures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Patents and trademarks,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lease right of use asset</w:t>
      </w:r>
    </w:p>
    <w:p>
      <w:pPr>
        <w:spacing w:after="0" w:line="32" w:lineRule="exact"/>
        <w:rPr>
          <w:sz w:val="20"/>
          <w:szCs w:val="20"/>
          <w:color w:val="auto"/>
        </w:rPr>
      </w:pPr>
    </w:p>
    <w:p>
      <w:pPr>
        <w:jc w:val="right"/>
        <w:ind w:right="5480"/>
        <w:spacing w:after="0"/>
        <w:rPr>
          <w:sz w:val="20"/>
          <w:szCs w:val="20"/>
          <w:color w:val="auto"/>
        </w:rPr>
      </w:pPr>
      <w:r>
        <w:rPr>
          <w:rFonts w:ascii="Arial" w:cs="Arial" w:eastAsia="Arial" w:hAnsi="Arial"/>
          <w:sz w:val="18"/>
          <w:szCs w:val="18"/>
          <w:color w:val="auto"/>
        </w:rPr>
        <w:t>Total other assets</w:t>
      </w:r>
    </w:p>
    <w:p>
      <w:pPr>
        <w:spacing w:after="0" w:line="23"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24,090,826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24,207,339</w:t>
            </w:r>
          </w:p>
        </w:tc>
      </w:tr>
      <w:tr>
        <w:trPr>
          <w:trHeight w:val="216"/>
        </w:trPr>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209,729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1,634,258</w:t>
            </w:r>
          </w:p>
        </w:tc>
      </w:tr>
      <w:tr>
        <w:trPr>
          <w:trHeight w:val="229"/>
        </w:trPr>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802,006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1,008,969</w:t>
            </w:r>
          </w:p>
        </w:tc>
      </w:tr>
      <w:tr>
        <w:trPr>
          <w:trHeight w:val="230"/>
        </w:trPr>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658,788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25,761,349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26,850,566</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66,074,488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67,511,087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-882650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-607695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3,205,241</w:t>
            </w:r>
          </w:p>
        </w:tc>
        <w:tc>
          <w:tcPr>
            <w:tcW w:w="10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4,505,531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310,922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6,759</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Payroll and related benefits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1,314,978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1,857,971</w:t>
            </w: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880,118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1,471,532</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386,345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6,097,604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7,841,793</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Operating lease, less current portion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272,443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272,443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15)</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$0.02 par value per share; authorized 15,000,000 shares as of August 31, 2020 and</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August 31, 2019; issued and outstanding 9,099,990 and 9,086,816, respectively</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17,415,043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16,013,338</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42,472,810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44,992,719</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(4,593,178)</w:t>
            </w:r>
          </w:p>
        </w:tc>
      </w:tr>
      <w:tr>
        <w:trPr>
          <w:trHeight w:val="209"/>
        </w:trPr>
        <w:tc>
          <w:tcPr>
            <w:tcW w:w="8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56,659,415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56,594,615</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3,045,026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3,074,679</w:t>
            </w:r>
          </w:p>
        </w:tc>
      </w:tr>
      <w:tr>
        <w:trPr>
          <w:trHeight w:val="209"/>
        </w:trPr>
        <w:tc>
          <w:tcPr>
            <w:tcW w:w="8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59,704,441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59,669,294</w:t>
            </w:r>
          </w:p>
        </w:tc>
      </w:tr>
      <w:tr>
        <w:trPr>
          <w:trHeight w:val="223"/>
        </w:trPr>
        <w:tc>
          <w:tcPr>
            <w:tcW w:w="80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66,074,488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67,511,087</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sales, excluding joint ventures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45,666,045</w:t>
            </w:r>
          </w:p>
        </w:tc>
        <w:tc>
          <w:tcPr>
            <w:tcW w:w="10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53,142,583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2,607,554</w:t>
            </w:r>
          </w:p>
        </w:tc>
        <w:tc>
          <w:tcPr>
            <w:tcW w:w="0" w:type="dxa"/>
            <w:vAlign w:val="bottom"/>
          </w:tcPr>
          <w:p>
            <w:pPr>
              <w:spacing w:after="0"/>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47,638,691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55,750,137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31,609,274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37,970,244</w:t>
            </w:r>
          </w:p>
        </w:tc>
        <w:tc>
          <w:tcPr>
            <w:tcW w:w="0" w:type="dxa"/>
            <w:vAlign w:val="bottom"/>
          </w:tcPr>
          <w:p>
            <w:pPr>
              <w:spacing w:after="0"/>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16,029,417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17,779,893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from joint ventures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4,270,327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7,225,518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Fees for services provided to joint ventures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4,612,885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5,727,579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joint venture operations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8,883,212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12,953,097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10,656,689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10,968,592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8,688,309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9,349,559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3,979,455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3,822,070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23,324,453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24,140,221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1,588,176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6,592,769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78,257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1,739,875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6,657,459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2,674,635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841,837</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(934,760)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5,815,622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402,949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0"/>
                <w:szCs w:val="20"/>
                <w:color w:val="auto"/>
              </w:rPr>
            </w:pPr>
            <w:r>
              <w:rPr>
                <w:rFonts w:ascii="Arial" w:cs="Arial" w:eastAsia="Arial" w:hAnsi="Arial"/>
                <w:sz w:val="18"/>
                <w:szCs w:val="18"/>
                <w:color w:val="auto"/>
              </w:rPr>
              <w:t>NET (LOSS) INCOME ATTRIBUTABLE TO NTIC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(1,337,709)</w:t>
            </w:r>
          </w:p>
        </w:tc>
        <w:tc>
          <w:tcPr>
            <w:tcW w:w="100" w:type="dxa"/>
            <w:vAlign w:val="bottom"/>
          </w:tcPr>
          <w:p>
            <w:pPr>
              <w:spacing w:after="0"/>
              <w:rPr>
                <w:sz w:val="24"/>
                <w:szCs w:val="24"/>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5,209,622</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INCOME ATTRIBUTABLE TO NTIC PER COMMON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9,096,981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9,085,584</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9,096,981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9,415,974</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Borders>
              <w:bottom w:val="single" w:sz="8" w:color="auto"/>
            </w:tcBorders>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(934,760)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5,815,622</w:t>
            </w: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 FOREIGN CURRENCY TRANSLATION</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ADJUSTMENT</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1,150,138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(1,003,643)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215,378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4,811,979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LOSS ATTRIBUTABLE TO NON-CONTROLLING INTERESTS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(598,336)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COMPREHENSIVE (LOSS) INCOME ATTRIBUTABLE TO NTIC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(154,969)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4,213,643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960"/>
              <w:spacing w:after="0"/>
              <w:rPr>
                <w:sz w:val="20"/>
                <w:szCs w:val="20"/>
                <w:color w:val="auto"/>
              </w:rPr>
            </w:pPr>
            <w:r>
              <w:rPr>
                <w:rFonts w:ascii="Arial" w:cs="Arial" w:eastAsia="Arial" w:hAnsi="Arial"/>
                <w:sz w:val="18"/>
                <w:szCs w:val="18"/>
                <w:color w:val="auto"/>
              </w:rPr>
              <w:t>See notes to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8"/>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r>
      <w:tr>
        <w:trPr>
          <w:trHeight w:val="234"/>
        </w:trPr>
        <w:tc>
          <w:tcPr>
            <w:tcW w:w="334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Paid-in</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Controlling</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Earnings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0"/>
              </w:rPr>
              <w:t>Loss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r>
      <w:tr>
        <w:trPr>
          <w:trHeight w:val="236"/>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9,082,606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181,652</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14,528,951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41,963,341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(3,597,199)</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2,742,309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55,819,054</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8"/>
              </w:rPr>
              <w:t>Stock issued for employee stock purchase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4,210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52,462</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52,546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1,431,925</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1,431,925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134,034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134,034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(2,180,244)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(2,180,244)</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5,209,622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606,000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5,815,622</w:t>
            </w:r>
          </w:p>
        </w:tc>
      </w:tr>
      <w:tr>
        <w:trPr>
          <w:trHeight w:val="229"/>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(995,979)</w:t>
            </w: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(1,003,643)</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2019</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9,086,816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$16,013,338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$44,992,719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(4,593,178)</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$ 3,074,679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$59,669,294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6,823</w:t>
            </w: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 issued for employee stock purchase</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64,068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64,195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1,337,774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1,337,774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(1,182,200)</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402,949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(934,760)</w:t>
            </w:r>
          </w:p>
        </w:tc>
      </w:tr>
      <w:tr>
        <w:trPr>
          <w:trHeight w:val="229"/>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1,182,740</w:t>
            </w: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(32,602)</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1,150,138</w:t>
            </w:r>
          </w:p>
        </w:tc>
      </w:tr>
      <w:tr>
        <w:trPr>
          <w:trHeight w:val="22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AUGUST 31, 2020</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9,099,990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$17,415,043</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$42,472,810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(3,410,438)</w:t>
            </w:r>
          </w:p>
        </w:tc>
        <w:tc>
          <w:tcPr>
            <w:tcW w:w="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6"/>
              </w:rPr>
              <w:t>$ 3,045,026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$59,704,441</w:t>
            </w:r>
          </w:p>
        </w:tc>
      </w:tr>
      <w:tr>
        <w:trPr>
          <w:trHeight w:val="20"/>
        </w:trPr>
        <w:tc>
          <w:tcPr>
            <w:tcW w:w="3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AUGUST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(934,760)</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5,815,622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1,337,774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1,431,925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836,601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841,236</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231,624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261,724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allowance for doubtful accounts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Equity in income from joint ventures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(4,270,327)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(7,225,518)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received from joint ventures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5,672,099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5,039,041</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Loss (gain) on disposal of property and patents</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173,810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1,424,529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(89,637)</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Trade, excluding joint ventures</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1,680,611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(50,315)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joint ventures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(62,967)</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Fees for services provided to joint ventures</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340,714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89,255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(189,226)</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(435,712)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(1,486,833)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744,323</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682,786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payable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(222,952)</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4,912,070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5,477,022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(3,365,146)</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2,020,536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3,100,000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(960,339)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 in patents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(114,436)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(1,339,921)</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Dividend received by non-controlling interest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by non-controlling interest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134,034</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Dividends paid on NTIC common stock</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(1,182,200)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(2,180,244)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(2,393,664)</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(49,702)</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546,274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1,693,735</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5,856,758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4,163,023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6,403,032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5,856,758</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3960"/>
              <w:spacing w:after="0"/>
              <w:rPr>
                <w:sz w:val="20"/>
                <w:szCs w:val="20"/>
                <w:color w:val="auto"/>
              </w:rPr>
            </w:pPr>
            <w:r>
              <w:rPr>
                <w:rFonts w:ascii="Arial" w:cs="Arial" w:eastAsia="Arial" w:hAnsi="Arial"/>
                <w:sz w:val="18"/>
                <w:szCs w:val="18"/>
                <w:color w:val="auto"/>
              </w:rPr>
              <w:t>See notes to consolidated financial statements.</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60" w:type="dxa"/>
            <w:vAlign w:val="bottom"/>
          </w:tcPr>
          <w:p>
            <w:pPr>
              <w:ind w:left="554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0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its Subsidiaries (collectively, the Company) develop and market proprietary</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environmentally beneficial products and services in over 60 countries either directly or via a network of joint ventures, independent distributors, and agents. The Company’s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 Company has been selling its proprietary</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certified</w:t>
      </w:r>
    </w:p>
    <w:p>
      <w:pPr>
        <w:ind w:right="100"/>
        <w:spacing w:after="0" w:line="221"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 These products are intended to reduce the Company’s customers’ carbon footprint and provide environmentally sound disposal options. The Company’s two operating segments are ZERUST and Natur-Tec.</w:t>
      </w:r>
    </w:p>
    <w:p>
      <w:pPr>
        <w:spacing w:after="0" w:line="202"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Company participates, either directly or indirectly, in 19 active joint venture arrangements in North America, Europe, and Asia. Each of these joint ventures generally manufactures and markets products in the geographic territory to which it is assigned. While most of the Company’s joint ventures</w:t>
      </w:r>
    </w:p>
    <w:p>
      <w:pPr>
        <w:ind w:right="340"/>
        <w:spacing w:after="0" w:line="227" w:lineRule="auto"/>
        <w:rPr>
          <w:sz w:val="20"/>
          <w:szCs w:val="20"/>
          <w:color w:val="auto"/>
        </w:rPr>
      </w:pPr>
      <w:r>
        <w:rPr>
          <w:rFonts w:ascii="Arial" w:cs="Arial" w:eastAsia="Arial" w:hAnsi="Arial"/>
          <w:sz w:val="18"/>
          <w:szCs w:val="18"/>
          <w:color w:val="auto"/>
        </w:rPr>
        <w:t>exclusively sell rust and corrosion inhibiting products, some of the joint ventures also sell the Company’s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Impact of COVID-19 Pandemic </w:t>
      </w:r>
      <w:r>
        <w:rPr>
          <w:rFonts w:ascii="Arial" w:cs="Arial" w:eastAsia="Arial" w:hAnsi="Arial"/>
          <w:sz w:val="18"/>
          <w:szCs w:val="18"/>
          <w:color w:val="auto"/>
        </w:rPr>
        <w:t>– In March 2020, the World Health Organization declared the novel coronavirus (COVID-19) outbreak a global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and is expected to continue into fiscal 2021.</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NTIC evaluates its voting and variable interests in entities on a qualitative and quantitative basis. NTIC consolidates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ZERUST-EXCOR MEXICO, S. de R.L. de C.V (Zerust Mexico), NTIC Europe GmbH (NTI Europe),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Zerust Singapore Pte Ltd (Zerust Singapore) and Zerust Vietnam Co. Ltd (Zerust Vietnam). NTIC’s consolidated financial statements do not include the accounts of any of its joint ventures.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75% of Natur-Tec India, 75% of Natur Tec Lanka, 85% of Zerust Brazil, 60% of NTI Asean, 60% of</w:t>
      </w:r>
      <w:r>
        <w:rPr>
          <w:rFonts w:ascii="Arial" w:cs="Arial" w:eastAsia="Arial" w:hAnsi="Arial"/>
          <w:sz w:val="18"/>
          <w:szCs w:val="18"/>
          <w:i w:val="1"/>
          <w:iCs w:val="1"/>
          <w:color w:val="auto"/>
        </w:rPr>
        <w:t xml:space="preserve"> </w:t>
      </w:r>
      <w:r>
        <w:rPr>
          <w:rFonts w:ascii="Arial" w:cs="Arial" w:eastAsia="Arial" w:hAnsi="Arial"/>
          <w:sz w:val="18"/>
          <w:szCs w:val="18"/>
          <w:color w:val="auto"/>
        </w:rPr>
        <w:t>Zerust Singapore Pte Ltd, and 60% of Zerust Vietnam Co. Ltd. The remaining ownership of the consolidated entities are accounted for as non-controlling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spacing w:after="0" w:line="18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 The Company includes net sales to its joint ventures and net sales to unaffiliated customers as separate line items on its consolidated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operations. There are no sales originating from the Company’s joint ventures included in the amount, as the Company’s investments in its joint ventures are accounted for using the equity method.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ind w:right="60"/>
        <w:spacing w:after="0" w:line="279" w:lineRule="auto"/>
        <w:rPr>
          <w:sz w:val="20"/>
          <w:szCs w:val="20"/>
          <w:color w:val="auto"/>
        </w:rPr>
      </w:pPr>
      <w:r>
        <w:rPr>
          <w:rFonts w:ascii="Arial" w:cs="Arial" w:eastAsia="Arial" w:hAnsi="Arial"/>
          <w:sz w:val="17"/>
          <w:szCs w:val="17"/>
          <w:color w:val="auto"/>
        </w:rPr>
        <w:t xml:space="preserve">In May 2014, the Financial Accounting Standards Board (FASB) issued guidance creating Accounting Standards Codification (ASC) Section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w:t>
      </w:r>
      <w:r>
        <w:rPr>
          <w:rFonts w:ascii="Arial" w:cs="Arial" w:eastAsia="Arial" w:hAnsi="Arial"/>
          <w:sz w:val="17"/>
          <w:szCs w:val="17"/>
          <w:color w:val="auto"/>
        </w:rPr>
        <w:t>(ASC 606), which establishes a comprehensive new model for the recognition of revenue from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This model is based on the core principle that revenue should be recognized to depict the transfer of promised goods or services to customers in an amount that reflects the consideration to which the entity expects to be entitled in exchange for those goods or services.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1, 2018, the Company adopted ASC 606 for all customer contracts using the modified retrospective method. To determine revenue recognition for arrangements within the scope of ASC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adoption of ASC 606 did not impact the previously reported financial statements in any prior period or result in a cumulative effect adjustment to retained earnings. Therefore, the adoption of the standard did not impact the Company’s revenue recognition process. 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Company’s significant accounting policies as a result of adopting ASC 606 are discussed below.</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measured based on consideration specified in the contract with a customer, adjusted for any applicable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7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timing of revenue recognition, billing, and cash collections results in accounts receivable on the consolidated balance sheet.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 A performance obligation is a promise in a contract to transfer a distinct good or service to the customer. A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w:t>
      </w:r>
    </w:p>
    <w:p>
      <w:pPr>
        <w:spacing w:after="0" w:line="2" w:lineRule="exact"/>
        <w:rPr>
          <w:sz w:val="20"/>
          <w:szCs w:val="20"/>
          <w:color w:val="auto"/>
        </w:rPr>
      </w:pPr>
    </w:p>
    <w:p>
      <w:pPr>
        <w:ind w:right="2920"/>
        <w:spacing w:after="0" w:line="260" w:lineRule="auto"/>
        <w:rPr>
          <w:sz w:val="20"/>
          <w:szCs w:val="20"/>
          <w:color w:val="auto"/>
        </w:rPr>
      </w:pPr>
      <w:r>
        <w:rPr>
          <w:rFonts w:ascii="Arial" w:cs="Arial" w:eastAsia="Arial" w:hAnsi="Arial"/>
          <w:sz w:val="18"/>
          <w:szCs w:val="18"/>
          <w:color w:val="auto"/>
        </w:rPr>
        <w:t>service consultants work directly with the end users of NTIC’s ZERUST® rust and corrosion inhibiting products to analyze their specific needs and develop systems to meet their performance requirements.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ind w:right="100"/>
        <w:spacing w:after="0" w:line="263" w:lineRule="auto"/>
        <w:rPr>
          <w:sz w:val="20"/>
          <w:szCs w:val="20"/>
          <w:color w:val="auto"/>
        </w:rPr>
      </w:pPr>
      <w:r>
        <w:rPr>
          <w:rFonts w:ascii="Arial" w:cs="Arial" w:eastAsia="Arial" w:hAnsi="Arial"/>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8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7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84"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i w:val="1"/>
          <w:iCs w:val="1"/>
          <w:color w:val="auto"/>
        </w:rPr>
        <w:t xml:space="preserve">Sales Commissions </w:t>
      </w:r>
      <w:r>
        <w:rPr>
          <w:rFonts w:ascii="Arial" w:cs="Arial" w:eastAsia="Arial" w:hAnsi="Arial"/>
          <w:sz w:val="16"/>
          <w:szCs w:val="16"/>
          <w:color w:val="auto"/>
        </w:rPr>
        <w:t>– Sales commissions paid to sales representatives are eligible for capitalization, as they are incremental costs that would not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Product Warranty </w:t>
      </w:r>
      <w:r>
        <w:rPr>
          <w:rFonts w:ascii="Arial" w:cs="Arial" w:eastAsia="Arial" w:hAnsi="Arial"/>
          <w:sz w:val="17"/>
          <w:szCs w:val="17"/>
          <w:color w:val="auto"/>
        </w:rPr>
        <w:t>– The Company offers warranties on various products and services. These warranties are assurance type warranties that are not sold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6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International Revenue </w:t>
      </w:r>
      <w:r>
        <w:rPr>
          <w:rFonts w:ascii="Arial" w:cs="Arial" w:eastAsia="Arial" w:hAnsi="Arial"/>
          <w:sz w:val="17"/>
          <w:szCs w:val="17"/>
          <w:color w:val="auto"/>
        </w:rPr>
        <w:t>– The Company markets its products to numerous countries in North America, Europe, Latin America, Asia, and other parts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See Note 11, Segment and Geographical Information, for information regarding revenue disaggregation by geography.</w:t>
      </w:r>
    </w:p>
    <w:p>
      <w:pPr>
        <w:spacing w:after="0" w:line="14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Trade Receivables </w:t>
      </w:r>
      <w:r>
        <w:rPr>
          <w:rFonts w:ascii="Arial" w:cs="Arial" w:eastAsia="Arial" w:hAnsi="Arial"/>
          <w:sz w:val="16"/>
          <w:szCs w:val="16"/>
          <w:color w:val="auto"/>
        </w:rPr>
        <w:t>– Payment terms for the Company’s unaffiliated customers are determined based on credit risk and vary by customer.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$90,000 as of August 31, 2020 and $65,000 as of August 31, 2019.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ind w:right="100"/>
        <w:spacing w:after="0" w:line="293" w:lineRule="auto"/>
        <w:rPr>
          <w:sz w:val="20"/>
          <w:szCs w:val="20"/>
          <w:color w:val="auto"/>
        </w:rPr>
      </w:pPr>
      <w:r>
        <w:rPr>
          <w:rFonts w:ascii="Arial" w:cs="Arial" w:eastAsia="Arial" w:hAnsi="Arial"/>
          <w:sz w:val="16"/>
          <w:szCs w:val="16"/>
          <w:i w:val="1"/>
          <w:iCs w:val="1"/>
          <w:color w:val="auto"/>
        </w:rPr>
        <w:t xml:space="preserve">Trade Receivables from Joint Ventures </w:t>
      </w:r>
      <w:r>
        <w:rPr>
          <w:rFonts w:ascii="Arial" w:cs="Arial" w:eastAsia="Arial" w:hAnsi="Arial"/>
          <w:sz w:val="16"/>
          <w:szCs w:val="16"/>
          <w:color w:val="auto"/>
        </w:rPr>
        <w:t>– Trade receivables from joint ventures arise from sales of products the Company makes to its joint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terms for the Company’s joint ventures also are determined based on credit risk; however, additional consideration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that an allowance for doubtful accounts related to its joint venture receivables was not necessary as of August 31, 2020 or 2019.</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Fees for Services Provided to Joint Ventures – </w:t>
      </w:r>
      <w:r>
        <w:rPr>
          <w:rFonts w:ascii="Arial" w:cs="Arial" w:eastAsia="Arial" w:hAnsi="Arial"/>
          <w:sz w:val="16"/>
          <w:szCs w:val="16"/>
          <w:color w:val="auto"/>
        </w:rPr>
        <w:t>The Company provides services to its joint ventures including consulting, legal, travel, insurance,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when purchased, which are readily convertible into known amounts of cash. The Company maintains its cash in high quality financial institutions. The balances, at times, may exceed federally insured limits.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net realizable value.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ectPr>
          <w:pgSz w:w="11900" w:h="16838" w:orient="portrait"/>
          <w:cols w:equalWidth="0" w:num="1">
            <w:col w:w="11240"/>
          </w:cols>
          <w:pgMar w:left="320" w:top="800" w:right="339" w:bottom="1440" w:gutter="0" w:footer="0" w:header="0"/>
        </w:sectPr>
      </w:pPr>
    </w:p>
    <w:p>
      <w:pPr>
        <w:spacing w:after="0" w:line="197"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Buildings and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5-30 years</w:t>
      </w:r>
    </w:p>
    <w:p>
      <w:pPr>
        <w:spacing w:after="0" w:line="59" w:lineRule="exact"/>
        <w:rPr>
          <w:sz w:val="20"/>
          <w:szCs w:val="20"/>
          <w:color w:val="auto"/>
        </w:rPr>
      </w:pPr>
    </w:p>
    <w:p>
      <w:pPr>
        <w:sectPr>
          <w:pgSz w:w="11900" w:h="16838" w:orient="portrait"/>
          <w:cols w:equalWidth="0" w:num="2">
            <w:col w:w="5360" w:space="720"/>
            <w:col w:w="5160"/>
          </w:cols>
          <w:pgMar w:left="320" w:top="800" w:right="339" w:bottom="1440" w:gutter="0" w:footer="0" w:header="0"/>
          <w:type w:val="continuous"/>
        </w:sectPr>
      </w:pPr>
    </w:p>
    <w:p>
      <w:pPr>
        <w:ind w:left="2820"/>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3-10 years</w:t>
      </w:r>
    </w:p>
    <w:p>
      <w:pPr>
        <w:spacing w:after="0" w:line="200" w:lineRule="exact"/>
        <w:rPr>
          <w:sz w:val="20"/>
          <w:szCs w:val="20"/>
          <w:color w:val="auto"/>
        </w:rPr>
      </w:pPr>
    </w:p>
    <w:p>
      <w:pPr>
        <w:sectPr>
          <w:pgSz w:w="11900" w:h="16838" w:orient="portrait"/>
          <w:cols w:equalWidth="0" w:num="2">
            <w:col w:w="5360" w:space="720"/>
            <w:col w:w="5160"/>
          </w:cols>
          <w:pgMar w:left="320" w:top="800" w:right="339" w:bottom="1440" w:gutter="0" w:footer="0" w:header="0"/>
          <w:type w:val="continuous"/>
        </w:sectPr>
      </w:pP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Patents and Trademarks </w:t>
      </w:r>
      <w:r>
        <w:rPr>
          <w:rFonts w:ascii="Arial" w:cs="Arial" w:eastAsia="Arial" w:hAnsi="Arial"/>
          <w:sz w:val="17"/>
          <w:szCs w:val="17"/>
          <w:color w:val="auto"/>
        </w:rPr>
        <w:t>– Patents and trademarks, including acquisition costs, are stated at cost, less accumulated amortization. Amortization is computed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Investments in Joint Ventures </w:t>
      </w:r>
      <w:r>
        <w:rPr>
          <w:rFonts w:ascii="Arial" w:cs="Arial" w:eastAsia="Arial" w:hAnsi="Arial"/>
          <w:sz w:val="16"/>
          <w:szCs w:val="16"/>
          <w:color w:val="auto"/>
        </w:rPr>
        <w:t>– Investments in the Company’s joint ventures are accounted for using the equity method.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2020 and 2019. The Company considers any of its joint ventures to be significant and discloses entity specific financial information if the joint venture’s income or assets make up more than 20% of the Company’s total assets or income.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63" w:name="page64"/>
    <w:bookmarkEnd w:id="63"/>
    <w:p>
      <w:pPr>
        <w:ind w:right="540"/>
        <w:spacing w:after="0" w:line="277" w:lineRule="auto"/>
        <w:rPr>
          <w:sz w:val="20"/>
          <w:szCs w:val="20"/>
          <w:color w:val="auto"/>
        </w:rPr>
      </w:pPr>
      <w:r>
        <w:rPr>
          <w:rFonts w:ascii="Arial" w:cs="Arial" w:eastAsia="Arial" w:hAnsi="Arial"/>
          <w:sz w:val="18"/>
          <w:szCs w:val="18"/>
          <w:color w:val="auto"/>
        </w:rPr>
        <w:t>The Company classifies distributions received from its joint ventures based on the nature of the distributions, generally, in operating activities on the consolidated statements of cash flows.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asset and liability method of accounting for income taxes, which requires the recognition of deferred tax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(Loss)) </w:t>
      </w:r>
      <w:r>
        <w:rPr>
          <w:rFonts w:ascii="Arial" w:cs="Arial" w:eastAsia="Arial" w:hAnsi="Arial"/>
          <w:sz w:val="18"/>
          <w:szCs w:val="18"/>
          <w:color w:val="auto"/>
        </w:rPr>
        <w:t>– The functional currency of NTIC China, Zerust Brazil, Natur-Tec</w:t>
      </w:r>
      <w:r>
        <w:rPr>
          <w:rFonts w:ascii="Arial" w:cs="Arial" w:eastAsia="Arial" w:hAnsi="Arial"/>
          <w:sz w:val="18"/>
          <w:szCs w:val="18"/>
          <w:i w:val="1"/>
          <w:iCs w:val="1"/>
          <w:color w:val="auto"/>
        </w:rPr>
        <w:t xml:space="preserve"> </w:t>
      </w:r>
      <w:r>
        <w:rPr>
          <w:rFonts w:ascii="Arial" w:cs="Arial" w:eastAsia="Arial" w:hAnsi="Arial"/>
          <w:sz w:val="18"/>
          <w:szCs w:val="18"/>
          <w:color w:val="auto"/>
        </w:rPr>
        <w:t>India, Natur Tec Lanka, Zerust Mexico, Zerust Singapore, Zerust Vietnam,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jc w:val="both"/>
        <w:ind w:right="240"/>
        <w:spacing w:after="0" w:line="279" w:lineRule="auto"/>
        <w:rPr>
          <w:sz w:val="20"/>
          <w:szCs w:val="20"/>
          <w:color w:val="auto"/>
        </w:rPr>
      </w:pPr>
      <w:r>
        <w:rPr>
          <w:rFonts w:ascii="Arial" w:cs="Arial" w:eastAsia="Arial" w:hAnsi="Arial"/>
          <w:sz w:val="17"/>
          <w:szCs w:val="17"/>
          <w:color w:val="auto"/>
        </w:rPr>
        <w:t>The Company (excluding NTIC China, Zerust Brazil, Natur-Tec India, Natur Tec Lanka, Zerust Singapore, Zerust Vietnam,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value of cash and cash equivalents, available for sale securities, short-term accounts and notes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notes payable, trade accounts payables, and other accrued expenses approximate fair value because of the short maturity of those instruments.</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records costs related to shipping and handling in cost of goods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The Company issues authorized but unissued shares of common stock upon the exercise of stock options.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Stock Split </w:t>
      </w:r>
      <w:r>
        <w:rPr>
          <w:rFonts w:ascii="Arial" w:cs="Arial" w:eastAsia="Arial" w:hAnsi="Arial"/>
          <w:sz w:val="18"/>
          <w:szCs w:val="18"/>
          <w:color w:val="auto"/>
        </w:rPr>
        <w:t>– On June 3, 2019, NTIC’s Board of Directors declared a two-for-one stock split of NTIC’s common stock effected in the form of a 100%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distributed on June 28, 2019 to record holders as of June 17, 2019. Earnings and dividends declared per share and weighted average shares outstanding are presented in this report after the effect of the 100 percent stock dividend. The two-for-one stock split is retroactively reflected in the share amounts in all periods presented in this report.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The Company has evaluated events occurring after the date of the consolidated financial statements for events requiring disclosure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consolidated financial statements in conformity with accounting principles generally accepted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3"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The guidance in ASU 2016-02 supersedes the lease recognition requirements in the Accounting Standards Codification (ASC) Topic 840, Leases. ASU 2016-02 requires an entity to recognize assets and liabilities arising from a lease for both financing and operating leases, along with additional qualitative and quantitative disclosures. This standard became effective for the Company on September 1, 2019.</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which will allow a reclassification from accumulated other comprehensive income to retained 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was adopted by the Company commencing with first quarter of the Company’s fiscal year 2020, and it did not have any impact on its consolidated financial statements.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5" w:name="page66"/>
    <w:bookmarkEnd w:id="65"/>
    <w:p>
      <w:pPr>
        <w:ind w:right="300"/>
        <w:spacing w:after="0" w:line="277" w:lineRule="auto"/>
        <w:rPr>
          <w:sz w:val="20"/>
          <w:szCs w:val="20"/>
          <w:color w:val="auto"/>
        </w:rPr>
      </w:pPr>
      <w:r>
        <w:rPr>
          <w:rFonts w:ascii="Arial" w:cs="Arial" w:eastAsia="Arial" w:hAnsi="Arial"/>
          <w:sz w:val="18"/>
          <w:szCs w:val="18"/>
          <w:color w:val="auto"/>
        </w:rPr>
        <w:t>The FASB has subsequently issued the following amendments to ASU 2016-02, which have the same effective date and transition date of September 1, 2019, and which are collectively referred to as the new leasing standards:</w:t>
      </w:r>
    </w:p>
    <w:p>
      <w:pPr>
        <w:spacing w:after="0" w:line="170" w:lineRule="exact"/>
        <w:rPr>
          <w:sz w:val="20"/>
          <w:szCs w:val="20"/>
          <w:color w:val="auto"/>
        </w:rPr>
      </w:pPr>
    </w:p>
    <w:p>
      <w:pPr>
        <w:ind w:left="660" w:right="1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ASU No. 2018-01, Leases (Topic 842): Land Easement Practical Expedient for Transition to Topic 842, which permits an entity to elect an optional transition practical expedient to not evaluate under Topic 842 land easements that existed or expired prior to adoption of Topic 842 and that were not previously accounted for as leases under the prior standard, ASC 840, Leases.</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ASU No. 2018-10, Codification Improvements to Topic 842, Leases, which amends certain narrow aspects of the guidance issued in ASU 2016-02.</w:t>
      </w:r>
    </w:p>
    <w:p>
      <w:pPr>
        <w:spacing w:after="0" w:line="170"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ASU No. 2018-11, Leases (Topic 842): Targeted Improvements,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65"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ASU No. 2018-20, Narrow-Scope Improvements for Lessors, which contains certain narrow scope improvements to the guidance issued in ASU 2016-02.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and disclosures required by this new standard are contained in Note 15, titled “Commitments and Contingencies.”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adopted the new leasing standards on September 1, 2019, using a modified retrospective transition approach to be applied to leases existing as of, or entered into after, September 1, 2019; and, consequently, financial information will not be updated and the disclosures required under Topic 842 will not be provided for dates and periods prior to September 1, 2019. The Company has reviewed its existing lease contracts and the impact of the new leasing standards on its consolidated results of operations, financial position and disclosures. Upon adoption of the new leasing standards, the Company recognized a lease liability and related right-of-use asset on its consolidated balance sheet of approximately $600,000 as of September 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2016, the FASB issued ASU No. 2016-13, Measurement of Credit Losses on Financial Instruments,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3.</w:t>
            </w:r>
          </w:p>
        </w:tc>
        <w:tc>
          <w:tcPr>
            <w:tcW w:w="474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 2020</w:t>
            </w:r>
          </w:p>
        </w:tc>
        <w:tc>
          <w:tcPr>
            <w:tcW w:w="16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31, 2019</w:t>
            </w:r>
          </w:p>
        </w:tc>
      </w:tr>
      <w:tr>
        <w:trPr>
          <w:trHeight w:val="209"/>
        </w:trPr>
        <w:tc>
          <w:tcPr>
            <w:tcW w:w="46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3,866,791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1,980,816</w:t>
            </w:r>
          </w:p>
        </w:tc>
      </w:tr>
      <w:tr>
        <w:trPr>
          <w:trHeight w:val="230"/>
        </w:trPr>
        <w:tc>
          <w:tcPr>
            <w:tcW w:w="460" w:type="dxa"/>
            <w:vAlign w:val="bottom"/>
          </w:tcPr>
          <w:p>
            <w:pPr>
              <w:spacing w:after="0"/>
              <w:rPr>
                <w:sz w:val="19"/>
                <w:szCs w:val="19"/>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7,095,006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8,507,912</w:t>
            </w:r>
          </w:p>
        </w:tc>
      </w:tr>
      <w:tr>
        <w:trPr>
          <w:trHeight w:val="223"/>
        </w:trPr>
        <w:tc>
          <w:tcPr>
            <w:tcW w:w="46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10,961,796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10,488,728</w:t>
            </w:r>
          </w:p>
        </w:tc>
      </w:tr>
      <w:tr>
        <w:trPr>
          <w:trHeight w:val="20"/>
        </w:trPr>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 2020</w:t>
            </w:r>
          </w:p>
        </w:tc>
        <w:tc>
          <w:tcPr>
            <w:tcW w:w="16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31, 2019</w:t>
            </w:r>
          </w:p>
        </w:tc>
      </w:tr>
      <w:tr>
        <w:trPr>
          <w:trHeight w:val="210"/>
        </w:trPr>
        <w:tc>
          <w:tcPr>
            <w:tcW w:w="4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8,167,783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7,749,980</w:t>
            </w:r>
          </w:p>
        </w:tc>
      </w:tr>
      <w:tr>
        <w:trPr>
          <w:trHeight w:val="229"/>
        </w:trPr>
        <w:tc>
          <w:tcPr>
            <w:tcW w:w="46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4,940,912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4,903,664</w:t>
            </w:r>
          </w:p>
        </w:tc>
      </w:tr>
      <w:tr>
        <w:trPr>
          <w:trHeight w:val="210"/>
        </w:trPr>
        <w:tc>
          <w:tcPr>
            <w:tcW w:w="4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13,419,060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12,964,009</w:t>
            </w:r>
          </w:p>
        </w:tc>
      </w:tr>
      <w:tr>
        <w:trPr>
          <w:trHeight w:val="229"/>
        </w:trPr>
        <w:tc>
          <w:tcPr>
            <w:tcW w:w="46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(6,308,271)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(5,605,850)</w:t>
            </w:r>
          </w:p>
        </w:tc>
      </w:tr>
      <w:tr>
        <w:trPr>
          <w:trHeight w:val="223"/>
        </w:trPr>
        <w:tc>
          <w:tcPr>
            <w:tcW w:w="4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7,110,789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7,358,159</w:t>
            </w:r>
          </w:p>
        </w:tc>
      </w:tr>
      <w:tr>
        <w:trPr>
          <w:trHeight w:val="20"/>
        </w:trPr>
        <w:tc>
          <w:tcPr>
            <w:tcW w:w="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5.   PATENTS AND TRADEMARKS, NET</w:t>
            </w: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 2020</w:t>
            </w:r>
          </w:p>
        </w:tc>
        <w:tc>
          <w:tcPr>
            <w:tcW w:w="16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August 31, 2019</w:t>
            </w:r>
          </w:p>
        </w:tc>
      </w:tr>
      <w:tr>
        <w:trPr>
          <w:trHeight w:val="210"/>
        </w:trPr>
        <w:tc>
          <w:tcPr>
            <w:tcW w:w="46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2,907,852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2,938,876</w:t>
            </w:r>
          </w:p>
        </w:tc>
      </w:tr>
      <w:tr>
        <w:trPr>
          <w:trHeight w:val="229"/>
        </w:trPr>
        <w:tc>
          <w:tcPr>
            <w:tcW w:w="460" w:type="dxa"/>
            <w:vAlign w:val="bottom"/>
          </w:tcPr>
          <w:p>
            <w:pPr>
              <w:spacing w:after="0"/>
              <w:rPr>
                <w:sz w:val="19"/>
                <w:szCs w:val="19"/>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(2,105,846)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(1,929,907)</w:t>
            </w:r>
          </w:p>
        </w:tc>
      </w:tr>
      <w:tr>
        <w:trPr>
          <w:trHeight w:val="223"/>
        </w:trPr>
        <w:tc>
          <w:tcPr>
            <w:tcW w:w="46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802,006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1,008,969</w:t>
            </w:r>
          </w:p>
        </w:tc>
      </w:tr>
      <w:tr>
        <w:trPr>
          <w:trHeight w:val="20"/>
        </w:trPr>
        <w:tc>
          <w:tcPr>
            <w:tcW w:w="4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was $231,624 and $261,724 for the years ended August 31, 2020 and 2019, respectively. Amortization expense is estimated to be $200,000 in each of the next four fiscal years.</w:t>
      </w:r>
    </w:p>
    <w:p>
      <w:pPr>
        <w:spacing w:after="0" w:line="18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on sales recorded that remain on the balance sheet from the Company to its joint ventures and from joint ventures to other joint ventures have been eliminated for financial reporting purposes.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7" w:name="page68"/>
    <w:bookmarkEnd w:id="67"/>
    <w:p>
      <w:pPr>
        <w:ind w:right="20"/>
        <w:spacing w:after="0" w:line="257" w:lineRule="auto"/>
        <w:rPr>
          <w:sz w:val="20"/>
          <w:szCs w:val="20"/>
          <w:color w:val="auto"/>
        </w:rPr>
      </w:pPr>
      <w:r>
        <w:rPr>
          <w:rFonts w:ascii="Arial" w:cs="Arial" w:eastAsia="Arial" w:hAnsi="Arial"/>
          <w:sz w:val="18"/>
          <w:szCs w:val="18"/>
          <w:color w:val="auto"/>
        </w:rPr>
        <w:t>The Company considers the Company’s joint venture in Germany, Excor Korrosionsschutz – Technologien und Produkte GmbH (EXCOR) and the following other joint ventures in France, Finland, India and Thailand, respectively, to be individually significant to the Company’s consolidated assets and income as of August 31, 2020: ACOBAL SAS, ZERUST OY, HARITA-NTI LTD and ZERUST SPECIALTY TECH CO. LTD. Financial information from the audited and unaudited financial statements of EXCOR and the Company’s joint ventures in France, Finland, India and Thailand, as well as all the Company’s other joint ventures, are summarized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 August 31, 2020</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FRANCE</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FINLAND</w:t>
            </w:r>
          </w:p>
        </w:tc>
        <w:tc>
          <w:tcPr>
            <w:tcW w:w="2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INDIA</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THAILAND</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  55,825,418</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  25,742,619</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4,099,160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1,955,879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4,010,855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4,022,399</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$ 15,994,506</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60,295,587</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28,449,772</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4,873,484</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2,261,147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4,242,660</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4,055,451</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16,413,073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11,002,867</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2,424,565</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2,073,710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1,007,529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993,332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4,088,235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365,274</w:t>
            </w: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332,275</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48,927,446</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26,025,207</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2,799,774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1,845,651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3,202,132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3,062,119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11,992,563</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Northern Technologies</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3"/>
              </w:rPr>
              <w:t>International Corporation’s share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of joint ventures’ equity</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24,090,826</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13,012,606</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1,399,887</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1,603,013</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1,531,060</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5,621,446</w:t>
            </w: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International Corporation’s share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joint ventures’ undistributed</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21,855,747</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12,981,701</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1,399,887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902,814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738,191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1,429,060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4,404,094</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Fiscal Year Ended August 31, 2020</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FRANCE</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FINLAND</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INDIA</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THAILAND</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  87,030,062</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  32,546,402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8,133,294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3,088,865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5,481,303</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6,471,831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$ 31,308,367</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39,532,750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18,739,471</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3,061,433</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1,916,001</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2,498,196</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2,046,478</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11,271,171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8,545,473</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5,266,541</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473,137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419,728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697,349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503,884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1,184,834</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Northern Technologies</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3"/>
              </w:rPr>
              <w:t>International Corporation’s share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of equity in income of joint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ventures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4,270,327</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2,622,423</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237,490</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209,972</w:t>
            </w: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349,218</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253,192</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598,032</w:t>
            </w: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Corporation’s</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received from joint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5,672,099</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4,675,850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325,635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261,220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160,074</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249,320</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8"/>
              </w:rPr>
              <w:t>As of August 31, 2019</w:t>
            </w:r>
          </w:p>
        </w:tc>
        <w:tc>
          <w:tcPr>
            <w:tcW w:w="114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59,162,834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29,139,787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30,023,047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63,326,703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31,666,841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31,659,862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14,145,499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3,573,160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10,572,339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20,797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49,160,407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28,093,681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21,066,726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24,207,339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14,046,842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10,160,497</w:t>
            </w: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 undistributed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22,178,126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14,015,937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8,162,189</w:t>
            </w: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7"/>
          </w:tcPr>
          <w:p>
            <w:pPr>
              <w:jc w:val="right"/>
              <w:ind w:right="710"/>
              <w:spacing w:after="0"/>
              <w:rPr>
                <w:sz w:val="20"/>
                <w:szCs w:val="20"/>
                <w:color w:val="auto"/>
              </w:rPr>
            </w:pPr>
            <w:r>
              <w:rPr>
                <w:rFonts w:ascii="Arial" w:cs="Arial" w:eastAsia="Arial" w:hAnsi="Arial"/>
                <w:sz w:val="18"/>
                <w:szCs w:val="18"/>
                <w:b w:val="1"/>
                <w:bCs w:val="1"/>
                <w:color w:val="auto"/>
              </w:rPr>
              <w:t>Fiscal Year Ended August 31, 2019</w:t>
            </w:r>
          </w:p>
        </w:tc>
      </w:tr>
      <w:tr>
        <w:trPr>
          <w:trHeight w:val="223"/>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114,635,435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47,015,841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67,619,594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51,312,013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25,622,261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25,689,752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14,688,999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10,827,448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3,861,551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w w:val="94"/>
              </w:rPr>
              <w:t>Northern Technologies International Corporation’s share of equity in income of joint ventures</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7,225,518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5,415,362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1,810,156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8"/>
              </w:rPr>
              <w:t>Northern Technologies International Corporation’s dividends received from joint ventures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5,039,041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3,345,600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1,693,441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fiscal 2020 or fiscal 2019.</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revolving line of credit with PNC Bank, National Association (PNC Bank) of $3,000,000. No amounts were outstanding under the line of credit as of both August 31, 2020 and 2019.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2020, the Company was in compliance with all debt covenants.</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August 31, 2020 and 2019 with PNC Bank. The availability of advances under the line of credit will be reduced by the face amount of any letter of credit issued and outstanding (whether or not drawn) under the revolving credit facility.</w:t>
      </w:r>
    </w:p>
    <w:p>
      <w:pPr>
        <w:spacing w:after="0" w:line="1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December 16, 2019, the Company and PNC Bank extended the maturity date of the line of credit from January 7, 2020 to January 7, 2021. All other terms of the line of credit and the loan agreement and other documents evidencing the line of credit remain the same.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August 31, 2020, the Company had $88,831 of letters of credit with JP Morgan Chase Bank that are performance based and set to expire between 2020 and 2022.</w:t>
      </w:r>
    </w:p>
    <w:p>
      <w:pPr>
        <w:spacing w:after="0" w:line="16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2020, the Company’s Board of Directors declared cash dividends on the following dates in the following amounts to holders of record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the following record dates: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Declaration Date</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0"/>
              </w:rPr>
              <w:t>Record Date</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30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October 22, 2019</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$0.065</w:t>
            </w:r>
          </w:p>
        </w:tc>
        <w:tc>
          <w:tcPr>
            <w:tcW w:w="29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November 6, 2019</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3020" w:type="dxa"/>
            <w:vAlign w:val="bottom"/>
          </w:tcPr>
          <w:p>
            <w:pPr>
              <w:jc w:val="center"/>
              <w:ind w:right="90"/>
              <w:spacing w:after="0"/>
              <w:rPr>
                <w:sz w:val="20"/>
                <w:szCs w:val="20"/>
                <w:color w:val="auto"/>
              </w:rPr>
            </w:pPr>
            <w:r>
              <w:rPr>
                <w:rFonts w:ascii="Arial" w:cs="Arial" w:eastAsia="Arial" w:hAnsi="Arial"/>
                <w:sz w:val="18"/>
                <w:szCs w:val="18"/>
                <w:color w:val="auto"/>
                <w:w w:val="89"/>
              </w:rPr>
              <w:t>January 22, 2020</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$0.065</w:t>
            </w:r>
          </w:p>
        </w:tc>
        <w:tc>
          <w:tcPr>
            <w:tcW w:w="2960" w:type="dxa"/>
            <w:vAlign w:val="bottom"/>
          </w:tcPr>
          <w:p>
            <w:pPr>
              <w:jc w:val="center"/>
              <w:ind w:left="110"/>
              <w:spacing w:after="0"/>
              <w:rPr>
                <w:sz w:val="20"/>
                <w:szCs w:val="20"/>
                <w:color w:val="auto"/>
              </w:rPr>
            </w:pPr>
            <w:r>
              <w:rPr>
                <w:rFonts w:ascii="Arial" w:cs="Arial" w:eastAsia="Arial" w:hAnsi="Arial"/>
                <w:sz w:val="18"/>
                <w:szCs w:val="18"/>
                <w:color w:val="auto"/>
                <w:w w:val="90"/>
              </w:rPr>
              <w:t>February 5, 2020</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April 23, 2020, the Company announced the temporary suspension of its quarterly cash dividend pending clarity on the COVID-19 pandemic.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did not declare a cash dividend during the quarter ended May 31, 2020 or August 31,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the Company’s Board of Directors declared cash dividends on the following dates in the following amounts to holders of record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the following record dates: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Declaration Date</w:t>
            </w:r>
          </w:p>
        </w:tc>
        <w:tc>
          <w:tcPr>
            <w:tcW w:w="20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4"/>
              </w:rPr>
              <w:t>Amount</w:t>
            </w:r>
          </w:p>
        </w:tc>
        <w:tc>
          <w:tcPr>
            <w:tcW w:w="34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0"/>
              </w:rPr>
              <w:t>Record Date</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30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October 24, 2018</w:t>
            </w:r>
          </w:p>
        </w:tc>
        <w:tc>
          <w:tcPr>
            <w:tcW w:w="20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3"/>
              </w:rPr>
              <w:t>$0.06</w:t>
            </w:r>
          </w:p>
        </w:tc>
        <w:tc>
          <w:tcPr>
            <w:tcW w:w="34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November 7, 2018</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21, 2018</w:t>
            </w:r>
          </w:p>
        </w:tc>
      </w:tr>
      <w:tr>
        <w:trPr>
          <w:trHeight w:val="216"/>
        </w:trPr>
        <w:tc>
          <w:tcPr>
            <w:tcW w:w="3020" w:type="dxa"/>
            <w:vAlign w:val="bottom"/>
          </w:tcPr>
          <w:p>
            <w:pPr>
              <w:jc w:val="center"/>
              <w:ind w:right="90"/>
              <w:spacing w:after="0"/>
              <w:rPr>
                <w:sz w:val="20"/>
                <w:szCs w:val="20"/>
                <w:color w:val="auto"/>
              </w:rPr>
            </w:pPr>
            <w:r>
              <w:rPr>
                <w:rFonts w:ascii="Arial" w:cs="Arial" w:eastAsia="Arial" w:hAnsi="Arial"/>
                <w:sz w:val="18"/>
                <w:szCs w:val="18"/>
                <w:color w:val="auto"/>
                <w:w w:val="89"/>
              </w:rPr>
              <w:t>January 23, 2019</w:t>
            </w:r>
          </w:p>
        </w:tc>
        <w:tc>
          <w:tcPr>
            <w:tcW w:w="2060" w:type="dxa"/>
            <w:vAlign w:val="bottom"/>
          </w:tcPr>
          <w:p>
            <w:pPr>
              <w:jc w:val="center"/>
              <w:ind w:left="430"/>
              <w:spacing w:after="0"/>
              <w:rPr>
                <w:sz w:val="20"/>
                <w:szCs w:val="20"/>
                <w:color w:val="auto"/>
              </w:rPr>
            </w:pPr>
            <w:r>
              <w:rPr>
                <w:rFonts w:ascii="Arial" w:cs="Arial" w:eastAsia="Arial" w:hAnsi="Arial"/>
                <w:sz w:val="18"/>
                <w:szCs w:val="18"/>
                <w:color w:val="auto"/>
                <w:w w:val="93"/>
              </w:rPr>
              <w:t>$0.06</w:t>
            </w:r>
          </w:p>
        </w:tc>
        <w:tc>
          <w:tcPr>
            <w:tcW w:w="3400" w:type="dxa"/>
            <w:vAlign w:val="bottom"/>
          </w:tcPr>
          <w:p>
            <w:pPr>
              <w:jc w:val="center"/>
              <w:ind w:left="550"/>
              <w:spacing w:after="0"/>
              <w:rPr>
                <w:sz w:val="20"/>
                <w:szCs w:val="20"/>
                <w:color w:val="auto"/>
              </w:rPr>
            </w:pPr>
            <w:r>
              <w:rPr>
                <w:rFonts w:ascii="Arial" w:cs="Arial" w:eastAsia="Arial" w:hAnsi="Arial"/>
                <w:sz w:val="18"/>
                <w:szCs w:val="18"/>
                <w:color w:val="auto"/>
                <w:w w:val="90"/>
              </w:rPr>
              <w:t>February 6, 2019</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16"/>
        </w:trPr>
        <w:tc>
          <w:tcPr>
            <w:tcW w:w="30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April 25, 2019</w:t>
            </w:r>
          </w:p>
        </w:tc>
        <w:tc>
          <w:tcPr>
            <w:tcW w:w="20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3"/>
              </w:rPr>
              <w:t>$0.06</w:t>
            </w:r>
          </w:p>
        </w:tc>
        <w:tc>
          <w:tcPr>
            <w:tcW w:w="34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2"/>
              </w:rPr>
              <w:t>May 9, 2019</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2019</w:t>
            </w:r>
          </w:p>
        </w:tc>
      </w:tr>
      <w:tr>
        <w:trPr>
          <w:trHeight w:val="230"/>
        </w:trPr>
        <w:tc>
          <w:tcPr>
            <w:tcW w:w="3020" w:type="dxa"/>
            <w:vAlign w:val="bottom"/>
          </w:tcPr>
          <w:p>
            <w:pPr>
              <w:jc w:val="center"/>
              <w:ind w:right="90"/>
              <w:spacing w:after="0"/>
              <w:rPr>
                <w:sz w:val="20"/>
                <w:szCs w:val="20"/>
                <w:color w:val="auto"/>
              </w:rPr>
            </w:pPr>
            <w:r>
              <w:rPr>
                <w:rFonts w:ascii="Arial" w:cs="Arial" w:eastAsia="Arial" w:hAnsi="Arial"/>
                <w:sz w:val="18"/>
                <w:szCs w:val="18"/>
                <w:color w:val="auto"/>
                <w:w w:val="89"/>
              </w:rPr>
              <w:t>July 24, 2019</w:t>
            </w:r>
          </w:p>
        </w:tc>
        <w:tc>
          <w:tcPr>
            <w:tcW w:w="2060" w:type="dxa"/>
            <w:vAlign w:val="bottom"/>
          </w:tcPr>
          <w:p>
            <w:pPr>
              <w:jc w:val="center"/>
              <w:ind w:left="430"/>
              <w:spacing w:after="0"/>
              <w:rPr>
                <w:sz w:val="20"/>
                <w:szCs w:val="20"/>
                <w:color w:val="auto"/>
              </w:rPr>
            </w:pPr>
            <w:r>
              <w:rPr>
                <w:rFonts w:ascii="Arial" w:cs="Arial" w:eastAsia="Arial" w:hAnsi="Arial"/>
                <w:sz w:val="18"/>
                <w:szCs w:val="18"/>
                <w:color w:val="auto"/>
                <w:w w:val="93"/>
              </w:rPr>
              <w:t>$0.06</w:t>
            </w:r>
          </w:p>
        </w:tc>
        <w:tc>
          <w:tcPr>
            <w:tcW w:w="3400" w:type="dxa"/>
            <w:vAlign w:val="bottom"/>
          </w:tcPr>
          <w:p>
            <w:pPr>
              <w:jc w:val="center"/>
              <w:ind w:left="570"/>
              <w:spacing w:after="0"/>
              <w:rPr>
                <w:sz w:val="20"/>
                <w:szCs w:val="20"/>
                <w:color w:val="auto"/>
              </w:rPr>
            </w:pPr>
            <w:r>
              <w:rPr>
                <w:rFonts w:ascii="Arial" w:cs="Arial" w:eastAsia="Arial" w:hAnsi="Arial"/>
                <w:sz w:val="18"/>
                <w:szCs w:val="18"/>
                <w:color w:val="auto"/>
                <w:w w:val="90"/>
              </w:rPr>
              <w:t>August 7, 2019</w:t>
            </w:r>
          </w:p>
        </w:tc>
        <w:tc>
          <w:tcPr>
            <w:tcW w:w="2760" w:type="dxa"/>
            <w:vAlign w:val="bottom"/>
          </w:tcPr>
          <w:p>
            <w:pPr>
              <w:jc w:val="center"/>
              <w:spacing w:after="0"/>
              <w:rPr>
                <w:sz w:val="20"/>
                <w:szCs w:val="20"/>
                <w:color w:val="auto"/>
              </w:rPr>
            </w:pPr>
            <w:r>
              <w:rPr>
                <w:rFonts w:ascii="Arial" w:cs="Arial" w:eastAsia="Arial" w:hAnsi="Arial"/>
                <w:sz w:val="18"/>
                <w:szCs w:val="18"/>
                <w:color w:val="auto"/>
                <w:w w:val="91"/>
              </w:rPr>
              <w:t>August 21, 2019</w:t>
            </w:r>
          </w:p>
        </w:tc>
      </w:tr>
      <w:tr>
        <w:trPr>
          <w:trHeight w:val="526"/>
        </w:trPr>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0" w:type="dxa"/>
            <w:vAlign w:val="bottom"/>
          </w:tcPr>
          <w:p>
            <w:pPr>
              <w:jc w:val="right"/>
              <w:ind w:right="2670"/>
              <w:spacing w:after="0"/>
              <w:rPr>
                <w:sz w:val="20"/>
                <w:szCs w:val="20"/>
                <w:color w:val="auto"/>
              </w:rPr>
            </w:pPr>
            <w:r>
              <w:rPr>
                <w:rFonts w:ascii="Arial" w:cs="Arial" w:eastAsia="Arial" w:hAnsi="Arial"/>
                <w:sz w:val="18"/>
                <w:szCs w:val="18"/>
                <w:color w:val="auto"/>
              </w:rPr>
              <w:t>65</w:t>
            </w:r>
          </w:p>
        </w:tc>
        <w:tc>
          <w:tcPr>
            <w:tcW w:w="2760" w:type="dxa"/>
            <w:vAlign w:val="bottom"/>
          </w:tcPr>
          <w:p>
            <w:pPr>
              <w:spacing w:after="0"/>
              <w:rPr>
                <w:sz w:val="24"/>
                <w:szCs w:val="24"/>
                <w:color w:val="auto"/>
              </w:rPr>
            </w:pPr>
          </w:p>
        </w:tc>
      </w:tr>
      <w:tr>
        <w:trPr>
          <w:trHeight w:val="68"/>
        </w:trPr>
        <w:tc>
          <w:tcPr>
            <w:tcW w:w="302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c>
          <w:tcPr>
            <w:tcW w:w="27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69" w:name="page70"/>
    <w:bookmarkEnd w:id="69"/>
    <w:p>
      <w:pPr>
        <w:ind w:right="40"/>
        <w:spacing w:after="0" w:line="259" w:lineRule="auto"/>
        <w:rPr>
          <w:sz w:val="20"/>
          <w:szCs w:val="20"/>
          <w:color w:val="auto"/>
        </w:rPr>
      </w:pPr>
      <w:r>
        <w:rPr>
          <w:rFonts w:ascii="Arial" w:cs="Arial" w:eastAsia="Arial" w:hAnsi="Arial"/>
          <w:sz w:val="18"/>
          <w:szCs w:val="18"/>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2020, up to $2,640,548 in shares of common stock remained available for repurchase under the stock repurchase program.</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fiscal 2020, the Company did not repurchase or retire any shares of its common stock. During fiscal 2020, stock options to purchase an aggregate of 11,974 shares of common stock were exercised at a weighted average exercise price of $5.13 per share; some of the options were exercised on a cashless basis, resulting in the net issuance of 6,823 shares of common stock.</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fiscal 2019, the Company did not repurchase or retire any shares of its common stock. During fiscal 2019, no stock options to purchase shares of common stock were exercised.</w:t>
      </w:r>
    </w:p>
    <w:p>
      <w:pPr>
        <w:spacing w:after="0" w:line="16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net (loss) income per common share is computed by dividing net (loss) income by the weighted average number of common shares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income per share assumes the exercise of stock options using the treasury stock method, if dilutive.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fiscal 2020 and fiscal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August 31, 2020</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August 31, 2019</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NTIC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5,209,622</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Basic-weighted shares outstanding</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9,096,981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9,085,584</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330,390</w:t>
            </w:r>
          </w:p>
        </w:tc>
      </w:tr>
      <w:tr>
        <w:trPr>
          <w:trHeight w:val="263"/>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9,096,981</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9,415,974</w:t>
            </w:r>
          </w:p>
        </w:tc>
      </w:tr>
      <w:tr>
        <w:trPr>
          <w:trHeight w:val="196"/>
        </w:trPr>
        <w:tc>
          <w:tcPr>
            <w:tcW w:w="6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Basic net (loss)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2020 were options outstanding to purchase 1,127,968 shares of common stock due to the net loss for the period. Excluded from the computation of diluted net income per share as of August 31, 2019 were options outstanding to purchase 141,768 shares of common stock.</w:t>
      </w:r>
    </w:p>
    <w:p>
      <w:pPr>
        <w:spacing w:after="0" w:line="160"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has three stock-based compensation plans under which stock options or other stock-based awards have been granted: the Northern Technologies International Corporation 2019 Stock Incentive Plan (the 2019 Plan), which was approved by stockholders at the 2019 annual meeting of stockholders, the Northern Technologies International Corporation Amended and Restated 2007 Stock Incentive Plan (the 2007 Plan) and the Northern Technologies International Corporation Employee Stock Purchase Plan (the ESPP). The 2019 Plan replaced the 2007 Plan with respect to future grants; and, therefore, no further awards may be made under the 2007 Plan. The Compensation Committee of the Board of Directors and the Board of Directors administer these plans.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0" w:name="page71"/>
    <w:bookmarkEnd w:id="70"/>
    <w:p>
      <w:pPr>
        <w:ind w:right="40"/>
        <w:spacing w:after="0" w:line="289" w:lineRule="auto"/>
        <w:rPr>
          <w:sz w:val="20"/>
          <w:szCs w:val="20"/>
          <w:color w:val="auto"/>
        </w:rPr>
      </w:pPr>
      <w:r>
        <w:rPr>
          <w:rFonts w:ascii="Arial" w:cs="Arial" w:eastAsia="Arial" w:hAnsi="Arial"/>
          <w:sz w:val="16"/>
          <w:szCs w:val="16"/>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During the fiscal years ended August 31, 2020 and 2019, the Company granted stock options under the 2019 Plan to purchase an aggregate of 300,770 and 141,767 shares of its common stock to various employees and directors, respectively. As of August 31, 2020, 499,230 shares of common stock remained available under the 2019 Plan.</w:t>
      </w:r>
    </w:p>
    <w:p>
      <w:pPr>
        <w:spacing w:after="0" w:line="1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2,754 and 2,462 shares on March 1, 2020 and 2019, respectively, and 3,597 and 1,748 shares on September 1, 2019 and 2018, respectively, under the ESPP. As of August 31, 2020, 84,693 shares of common stock remained available for sale under the ESPP.</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option grants is determined at the date of grant using the Black-Scholes option pricing model with the assumptions listed below. The volatility factor used in the Black-Scholes option pricing model is based on historical stock price fluctuations, and the risk-free interest rate is based on U.S. treasury rates appropriate for the expected term. Dividend yield and expected volatility are estimated using historical amounts that are anticipated to be consistent with current values. Expected life of the option is based on the life of the option agreements. Based on these valuations, the Company recognized compensation expense of $1,337,774 and $1,431,925 during fiscal 2020 and fiscal 2019, respectively, related to the options that vested during such time. As of August 31, 2020, the total compensation cost for non-vested options not yet recognized on the Company’s consolidated statements of operations was $20,834, which is expected to be recognized during fiscal 2021, based on outstanding options as of August 31, 2020. Future option grants will impact the compensation expense recognized. Stock-based compensation expense is included in general and administrative expense on the consolidated statements of operations.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b w:val="1"/>
                <w:bCs w:val="1"/>
                <w:color w:val="auto"/>
              </w:rPr>
              <w:t>Fiscal Year 2020</w:t>
            </w:r>
          </w:p>
        </w:tc>
        <w:tc>
          <w:tcPr>
            <w:tcW w:w="2620" w:type="dxa"/>
            <w:vAlign w:val="bottom"/>
            <w:gridSpan w:val="4"/>
          </w:tcPr>
          <w:p>
            <w:pPr>
              <w:ind w:left="120"/>
              <w:spacing w:after="0"/>
              <w:rPr>
                <w:sz w:val="20"/>
                <w:szCs w:val="20"/>
                <w:color w:val="auto"/>
              </w:rPr>
            </w:pPr>
            <w:r>
              <w:rPr>
                <w:rFonts w:ascii="Arial" w:cs="Arial" w:eastAsia="Arial" w:hAnsi="Arial"/>
                <w:sz w:val="18"/>
                <w:szCs w:val="18"/>
                <w:b w:val="1"/>
                <w:bCs w:val="1"/>
                <w:color w:val="auto"/>
              </w:rPr>
              <w:t>Fiscal Year 2019</w:t>
            </w:r>
          </w:p>
        </w:tc>
      </w:tr>
      <w:tr>
        <w:trPr>
          <w:trHeight w:val="210"/>
        </w:trPr>
        <w:tc>
          <w:tcPr>
            <w:tcW w:w="114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1.32%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45.2%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45.8%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2.75%</w:t>
            </w:r>
          </w:p>
        </w:tc>
        <w:tc>
          <w:tcPr>
            <w:tcW w:w="1120" w:type="dxa"/>
            <w:vAlign w:val="bottom"/>
          </w:tcPr>
          <w:p>
            <w:pPr>
              <w:spacing w:after="0"/>
              <w:rPr>
                <w:sz w:val="20"/>
                <w:szCs w:val="20"/>
                <w:color w:val="auto"/>
              </w:rPr>
            </w:pPr>
          </w:p>
        </w:tc>
      </w:tr>
      <w:tr>
        <w:trPr>
          <w:trHeight w:val="418"/>
        </w:trPr>
        <w:tc>
          <w:tcPr>
            <w:tcW w:w="514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was as follows:</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Weighted Average</w:t>
            </w:r>
          </w:p>
        </w:tc>
        <w:tc>
          <w:tcPr>
            <w:tcW w:w="10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Shares (#)</w:t>
            </w:r>
          </w:p>
        </w:tc>
        <w:tc>
          <w:tcPr>
            <w:tcW w:w="15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Intrinsic Value</w:t>
            </w:r>
          </w:p>
        </w:tc>
      </w:tr>
      <w:tr>
        <w:trPr>
          <w:trHeight w:val="210"/>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August 31, 2018</w:t>
            </w:r>
          </w:p>
        </w:tc>
        <w:tc>
          <w:tcPr>
            <w:tcW w:w="1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697,406</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2760" w:type="dxa"/>
            <w:vAlign w:val="bottom"/>
            <w:gridSpan w:val="3"/>
          </w:tcPr>
          <w:p>
            <w:pPr>
              <w:jc w:val="right"/>
              <w:ind w:right="30"/>
              <w:spacing w:after="0"/>
              <w:rPr>
                <w:sz w:val="20"/>
                <w:szCs w:val="20"/>
                <w:color w:val="auto"/>
              </w:rPr>
            </w:pPr>
            <w:r>
              <w:rPr>
                <w:rFonts w:ascii="Arial" w:cs="Arial" w:eastAsia="Arial" w:hAnsi="Arial"/>
                <w:sz w:val="18"/>
                <w:szCs w:val="18"/>
                <w:color w:val="auto"/>
              </w:rPr>
              <w:t>141,767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Options terminated</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0"/>
        </w:trPr>
        <w:tc>
          <w:tcPr>
            <w:tcW w:w="114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Outstanding at August 31, 2019</w:t>
            </w:r>
          </w:p>
        </w:tc>
        <w:tc>
          <w:tcPr>
            <w:tcW w:w="2760" w:type="dxa"/>
            <w:vAlign w:val="bottom"/>
            <w:gridSpan w:val="3"/>
          </w:tcPr>
          <w:p>
            <w:pPr>
              <w:jc w:val="right"/>
              <w:ind w:right="30"/>
              <w:spacing w:after="0"/>
              <w:rPr>
                <w:sz w:val="20"/>
                <w:szCs w:val="20"/>
                <w:color w:val="auto"/>
              </w:rPr>
            </w:pPr>
            <w:r>
              <w:rPr>
                <w:rFonts w:ascii="Arial" w:cs="Arial" w:eastAsia="Arial" w:hAnsi="Arial"/>
                <w:sz w:val="18"/>
                <w:szCs w:val="18"/>
                <w:color w:val="auto"/>
              </w:rPr>
              <w:t>839,173</w:t>
            </w: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2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300,770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Options exercised</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terminated</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60"/>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67</w:t>
            </w:r>
          </w:p>
        </w:tc>
        <w:tc>
          <w:tcPr>
            <w:tcW w:w="7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1140" w:type="dxa"/>
            <w:vAlign w:val="bottom"/>
            <w:shd w:val="clear" w:color="auto" w:fill="000000"/>
          </w:tcPr>
          <w:p>
            <w:pPr>
              <w:spacing w:after="0"/>
              <w:rPr>
                <w:sz w:val="5"/>
                <w:szCs w:val="5"/>
                <w:color w:val="auto"/>
              </w:rPr>
            </w:pPr>
          </w:p>
        </w:tc>
        <w:tc>
          <w:tcPr>
            <w:tcW w:w="40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00"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63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w:t>
            </w:r>
          </w:p>
        </w:tc>
        <w:tc>
          <w:tcPr>
            <w:tcW w:w="1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Exercise Price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Intrinsic Value</w:t>
            </w:r>
          </w:p>
        </w:tc>
      </w:tr>
      <w:tr>
        <w:trPr>
          <w:trHeight w:val="209"/>
        </w:trPr>
        <w:tc>
          <w:tcPr>
            <w:tcW w:w="6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August 31, 2020</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1,127,968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1,091,425</w:t>
            </w:r>
          </w:p>
        </w:tc>
      </w:tr>
      <w:tr>
        <w:trPr>
          <w:trHeight w:val="20"/>
        </w:trPr>
        <w:tc>
          <w:tcPr>
            <w:tcW w:w="6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August 31, 2020</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1,091,425</w:t>
            </w:r>
          </w:p>
        </w:tc>
      </w:tr>
      <w:tr>
        <w:trPr>
          <w:trHeight w:val="20"/>
        </w:trPr>
        <w:tc>
          <w:tcPr>
            <w:tcW w:w="6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weighted average per share fair value of options granted during fiscal 2020 and fiscal 2019 was $9.63 and $9.02, respectively. The weighted average remaining contractual life of the options outstanding and exercisable as of August 31, 2020 was 6.02 years and 5.90 years, respectively.</w:t>
      </w:r>
    </w:p>
    <w:p>
      <w:pPr>
        <w:spacing w:after="0" w:line="142"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Company’s chief operating decision maker is its Chief Executive Officer. The Company’s business is organized into two reportable segments: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Natur-Tec</w:t>
      </w:r>
      <w:r>
        <w:rPr>
          <w:rFonts w:ascii="Arial" w:cs="Arial" w:eastAsia="Arial" w:hAnsi="Arial"/>
          <w:sz w:val="29"/>
          <w:szCs w:val="29"/>
          <w:color w:val="auto"/>
          <w:vertAlign w:val="superscript"/>
        </w:rPr>
        <w:t>®</w:t>
      </w:r>
      <w:r>
        <w:rPr>
          <w:rFonts w:ascii="Arial" w:cs="Arial" w:eastAsia="Arial" w:hAnsi="Arial"/>
          <w:sz w:val="18"/>
          <w:szCs w:val="18"/>
          <w:color w:val="auto"/>
        </w:rPr>
        <w:t>. The Company has been selling its proprietary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The following tables present the Company’s business segment information:</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Fiscal 2020</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Fiscal 2019</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2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10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34,474,535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38,174,712</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520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net sales</w:t>
            </w:r>
          </w:p>
        </w:tc>
        <w:tc>
          <w:tcPr>
            <w:tcW w:w="8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13,164,156</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17,575,425</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47,638,691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55,750,137</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sets forth the Company’s cost of goods sold by segment:</w:t>
            </w: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Fiscal 2020</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Fiscal 2019</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ZERUST®</w:t>
            </w:r>
          </w:p>
        </w:tc>
        <w:tc>
          <w:tcPr>
            <w:tcW w:w="10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18,717,684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21,505,335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10,168,051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13,691,038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2,723,539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2,773,871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cost of goods sold</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31,609,274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37,970,244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All joint venture operations, including equity in income, fees for services, and related dividends, are related to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Geographic Information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Net sales by geographic location for fiscal 2020 and fiscal 2019 were as follows: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Fiscal Year Ended August 31,</w:t>
            </w:r>
          </w:p>
        </w:tc>
      </w:tr>
      <w:tr>
        <w:trPr>
          <w:trHeight w:val="223"/>
        </w:trPr>
        <w:tc>
          <w:tcPr>
            <w:tcW w:w="1140" w:type="dxa"/>
            <w:vAlign w:val="bottom"/>
          </w:tcPr>
          <w:p>
            <w:pPr>
              <w:spacing w:after="0"/>
              <w:rPr>
                <w:sz w:val="19"/>
                <w:szCs w:val="19"/>
                <w:color w:val="auto"/>
              </w:rPr>
            </w:pPr>
          </w:p>
        </w:tc>
        <w:tc>
          <w:tcPr>
            <w:tcW w:w="58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11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20,218,213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24,560,459</w:t>
            </w:r>
          </w:p>
        </w:tc>
      </w:tr>
      <w:tr>
        <w:trPr>
          <w:trHeight w:val="216"/>
        </w:trPr>
        <w:tc>
          <w:tcPr>
            <w:tcW w:w="11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Outside the U.S.A. to:</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Joint ventures in which the Company is a shareholder directly and indirectly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2,607,554</w:t>
            </w:r>
          </w:p>
        </w:tc>
      </w:tr>
      <w:tr>
        <w:trPr>
          <w:trHeight w:val="229"/>
        </w:trPr>
        <w:tc>
          <w:tcPr>
            <w:tcW w:w="1140" w:type="dxa"/>
            <w:vAlign w:val="bottom"/>
          </w:tcPr>
          <w:p>
            <w:pPr>
              <w:spacing w:after="0"/>
              <w:rPr>
                <w:sz w:val="19"/>
                <w:szCs w:val="19"/>
                <w:color w:val="auto"/>
              </w:rPr>
            </w:pPr>
          </w:p>
        </w:tc>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25,447,832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28,582,124</w:t>
            </w:r>
          </w:p>
        </w:tc>
      </w:tr>
      <w:tr>
        <w:trPr>
          <w:trHeight w:val="223"/>
        </w:trPr>
        <w:tc>
          <w:tcPr>
            <w:tcW w:w="114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47,638,691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55,750,137</w:t>
            </w:r>
          </w:p>
        </w:tc>
      </w:tr>
      <w:tr>
        <w:trPr>
          <w:trHeight w:val="20"/>
        </w:trPr>
        <w:tc>
          <w:tcPr>
            <w:tcW w:w="11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respectively, were as follows: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4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Fiscal 2020</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Fiscal 2019</w:t>
            </w: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852,526</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Japan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628,889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748,489</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704,942</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Sweden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372,017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589,654</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418,334</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France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310,661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430,537</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345,798</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South Korea</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266,703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346,244</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281,295</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255,121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319,671</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350,172</w:t>
            </w:r>
          </w:p>
        </w:tc>
      </w:tr>
      <w:tr>
        <w:trPr>
          <w:trHeight w:val="229"/>
        </w:trPr>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276,709</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339,917</w:t>
            </w:r>
          </w:p>
        </w:tc>
      </w:tr>
      <w:tr>
        <w:trPr>
          <w:trHeight w:val="223"/>
        </w:trPr>
        <w:tc>
          <w:tcPr>
            <w:tcW w:w="24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4,612,885</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5,727,579</w:t>
            </w:r>
          </w:p>
        </w:tc>
      </w:tr>
      <w:tr>
        <w:trPr>
          <w:trHeight w:val="20"/>
        </w:trPr>
        <w:tc>
          <w:tcPr>
            <w:tcW w:w="2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details on geographical information regarding equity in income from 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distribution of total long-lived assets and net sales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At August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At August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2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178,087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6,561,868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6,842,910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80" w:type="dxa"/>
            <w:vAlign w:val="bottom"/>
          </w:tcPr>
          <w:p>
            <w:pPr>
              <w:ind w:left="360"/>
              <w:spacing w:after="0"/>
              <w:rPr>
                <w:sz w:val="20"/>
                <w:szCs w:val="20"/>
                <w:color w:val="auto"/>
              </w:rPr>
            </w:pPr>
            <w:r>
              <w:rPr>
                <w:rFonts w:ascii="Arial" w:cs="Arial" w:eastAsia="Arial" w:hAnsi="Arial"/>
                <w:sz w:val="18"/>
                <w:szCs w:val="18"/>
                <w:color w:val="auto"/>
              </w:rPr>
              <w:t>Total long-lived assets</w:t>
            </w:r>
          </w:p>
        </w:tc>
        <w:tc>
          <w:tcPr>
            <w:tcW w:w="2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7,110,789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7,358,159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40" w:type="dxa"/>
            <w:vAlign w:val="bottom"/>
            <w:vMerge w:val="restart"/>
          </w:tcPr>
          <w:p>
            <w:pPr>
              <w:jc w:val="right"/>
              <w:ind w:right="1350"/>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40" w:type="dxa"/>
            <w:vAlign w:val="bottom"/>
            <w:shd w:val="clear" w:color="auto" w:fill="000000"/>
          </w:tcPr>
          <w:p>
            <w:pPr>
              <w:spacing w:after="0"/>
              <w:rPr>
                <w:sz w:val="5"/>
                <w:szCs w:val="5"/>
                <w:color w:val="auto"/>
              </w:rPr>
            </w:pPr>
          </w:p>
        </w:tc>
        <w:tc>
          <w:tcPr>
            <w:tcW w:w="318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73" w:name="page74"/>
    <w:bookmarkEnd w:id="73"/>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Fiscal Year Ended</w:t>
            </w:r>
          </w:p>
        </w:tc>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90"/>
              </w:rPr>
              <w:t>Fiscal Year Ended</w:t>
            </w:r>
          </w:p>
        </w:tc>
      </w:tr>
      <w:tr>
        <w:trPr>
          <w:trHeight w:val="234"/>
        </w:trPr>
        <w:tc>
          <w:tcPr>
            <w:tcW w:w="6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August 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August 31, 2019</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13,409,770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13,030,298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2,753,930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3,151,509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5,655,797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8,109,468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5,600,982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6,898,403</w:t>
            </w: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20,218,212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24,560,459</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47,638,691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55,750,137</w:t>
            </w: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Long-lived assets located in China, Brazil, Germany, and India consist of property and equipment. These assets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w:t>
      </w:r>
    </w:p>
    <w:p>
      <w:pPr>
        <w:spacing w:after="0" w:line="166"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$234,534 and $228,605 for fiscal 2020 and fiscal 2019, respectively.</w:t>
      </w:r>
    </w:p>
    <w:p>
      <w:pPr>
        <w:spacing w:after="0" w:line="180"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both fiscal 2020 and fiscal 2019, the Company made consulting payments of $144,000 to Bioplastic Polymers LLC, an entity owned by Ramani Narayan, Ph.D., a director of the Company.</w:t>
      </w:r>
    </w:p>
    <w:p>
      <w:pPr>
        <w:spacing w:after="0" w:line="166"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2020 and 2019 was approximately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Fiscal Year Ended August 31,</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1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1,226,000</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902,000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Deferred: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State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6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1,425,000</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2,674,000</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842,000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vMerge w:val="restart"/>
          </w:tcPr>
          <w:p>
            <w:pPr>
              <w:jc w:val="right"/>
              <w:ind w:right="130"/>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26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4" w:name="page75"/>
    <w:bookmarkEnd w:id="74"/>
    <w:p>
      <w:pPr>
        <w:ind w:right="10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of 21.0% with the provisions for income taxes for the fiscal years ended August 31, 2020 and 2019 were approximately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Fiscal Year Ended August 31,</w:t>
            </w:r>
          </w:p>
        </w:tc>
      </w:tr>
      <w:tr>
        <w:trPr>
          <w:trHeight w:val="223"/>
        </w:trPr>
        <w:tc>
          <w:tcPr>
            <w:tcW w:w="8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Tax effect of foreign operations</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672,000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Deemed repatriation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2,797,000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r>
      <w:tr>
        <w:trPr>
          <w:trHeight w:val="22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(103,000)</w:t>
            </w:r>
          </w:p>
        </w:tc>
      </w:tr>
      <w:tr>
        <w:trPr>
          <w:trHeight w:val="223"/>
        </w:trPr>
        <w:tc>
          <w:tcPr>
            <w:tcW w:w="8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2,674,000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842,000</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not provided U.S. income taxes or foreign withholding taxes with respect to its portion of the cumulative undistributed earnings of certain foreign subsidiaries and joint ventures that are essentially permanent in duration. As a result of the 2017 tax law changes, U.S. federal income taxes on dividends received from the Company’s foreign subsidiaries and joint ventures after December 31, 2017 have been generally eliminated. However, the Company continues to be subject to foreign withholding taxes upon repatriation of any undistributed earnings that are not essentially permanent in duration. The Company recorded a tax benefit of approximately $76,000 and tax expense of approximately $4,000 during fiscal 2020 and fiscal 2019, respectively, representing changes in the deferred tax liability for foreign withholding taxes to be paid with respect to the portion of the cumulative undistributed earnings of foreign subsidiaries and joint ventures that the Company determined were not essentially permanent in duration.</w:t>
      </w:r>
    </w:p>
    <w:p>
      <w:pPr>
        <w:spacing w:after="0" w:line="166"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2020 and 2019 was approximately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August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153,400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Inventory costs</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60,900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Lease liability</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147,500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581,200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688,400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397,300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299,300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5,790,500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5,790,500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credit and loss carryforwards</w:t>
            </w:r>
          </w:p>
        </w:tc>
        <w:tc>
          <w:tcPr>
            <w:tcW w:w="3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4,824,200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3,631,700</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12,053,100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10,663,900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3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(11,561,700)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(8,764,300)</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after valuation allowance</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491,400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1,899,600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(111,900)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w:t>
            </w: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(153,400)</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3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(265,300)</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209,800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1,634,300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340" w:type="dxa"/>
            <w:vAlign w:val="bottom"/>
            <w:vMerge w:val="restart"/>
          </w:tcPr>
          <w:p>
            <w:pPr>
              <w:jc w:val="right"/>
              <w:ind w:right="2190"/>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6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75" w:name="page76"/>
    <w:bookmarkEnd w:id="75"/>
    <w:p>
      <w:pPr>
        <w:ind w:right="200"/>
        <w:spacing w:after="0" w:line="273" w:lineRule="auto"/>
        <w:rPr>
          <w:sz w:val="20"/>
          <w:szCs w:val="20"/>
          <w:color w:val="auto"/>
        </w:rPr>
      </w:pPr>
      <w:r>
        <w:rPr>
          <w:rFonts w:ascii="Arial" w:cs="Arial" w:eastAsia="Arial" w:hAnsi="Arial"/>
          <w:sz w:val="17"/>
          <w:szCs w:val="17"/>
          <w:color w:val="auto"/>
        </w:rPr>
        <w:t>As of August 31, 2020, the Company had foreign tax credit carryforwards of approximately $5,790,500, which will begin to expire if not utilized prior to August 31, 2021. In addition, the Company had federal and state tax credit carryforwards of $3,312,400 as of August 31, 2020 which began to expire in fiscal 2021. These federal and state tax credit carryforwards consist primarily of federal and Minnesota research and development credit carryforwards. The Company also has a deferred tax asset of $1,260,600 for federal and state net operating loss carryforwards as of August 31, 2020. The federal net operating loss carryforward has an indefinite carryforward period. The Company has a deferred tax asset of $251,200 for foreign net operating loss carryforwards, $229,200 of which has an indefinite carryforward period.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records a tax valuation allowance to reduce deferred tax assets to the amount expected to be realized when it is more likely than not that some portion or all of its deferred tax assets will not be realized.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August 31, 2020, the Company determined based on all available evidence, including historical data and projections of future results, that it is more likely than not that its domestic deferred tax assets, including its foreign tax credit carryforward and federal and Minnesota research and development credit carryforwards will not be realized. The Company determined that its domestic deferred tax assets, including its federal and state net operating loss carryforwards, foreign tax credit carryforwards, and federal and Minnesota research and development credit carryforwards will not be realized due to the absence of objectively verifiable sources of taxable income. On the basis of this evaluation, the Company has recorded a valuation allowance of $11,561,700 as August 31, 2020 to recognize only the portion of the deferred tax assets that is more likely than not to be realized. The net deferred tax asset as of August 31, 2020 relates entirely to non-US deferred tax assets which are expected to be realized by offset of deferred tax liability for withholding tax on cumulative undistributed earnings in foreign subsidiaries and joint ventures that the Company determined were not essentially permanent.</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August 31, 2019, the Company determined it was still in a position that a full valuation allowance was not necessary and recorded a valuation allowance of $5,790,500 with respect to the foreign tax credit carryforwards and a valuation allowance of $2,973,800 with respect to federal and state tax credit carryforwards that was determined would not be utilized prior to expiration. The Company determined that its foreign tax credit carryforward would not be realized due to insufficient foreign source taxable income within the carryforward period and the fact that for ordering purposes the foreign tax credit carryforward is not allowed to be utilized until after any current year foreign tax credits are utilized. The Company determined that its federal and Minnesota research and development credit carryforwards would not be realized due to insufficient federal and Minnesota taxable income within the carryforward period after considering the foreign tax credit utilization. The change in the valuation allowance totaled $2,797,000 and $133,000 for the years ended August 31,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approximated unrecognized tax benefits:</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right="1500"/>
        <w:spacing w:after="0" w:line="291" w:lineRule="auto"/>
        <w:rPr>
          <w:sz w:val="20"/>
          <w:szCs w:val="20"/>
          <w:color w:val="auto"/>
        </w:rPr>
      </w:pPr>
      <w:r>
        <w:rPr>
          <w:rFonts w:ascii="Arial" w:cs="Arial" w:eastAsia="Arial" w:hAnsi="Arial"/>
          <w:sz w:val="16"/>
          <w:szCs w:val="16"/>
          <w:color w:val="auto"/>
        </w:rPr>
        <w:t>Gross unrecognized tax benefits – beginning balance Gross increases –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-281940</wp:posOffset>
            </wp:positionV>
            <wp:extent cx="570039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right="1720"/>
        <w:spacing w:after="0" w:line="341" w:lineRule="auto"/>
        <w:rPr>
          <w:sz w:val="20"/>
          <w:szCs w:val="20"/>
          <w:color w:val="auto"/>
        </w:rPr>
      </w:pPr>
      <w:r>
        <w:rPr>
          <w:rFonts w:ascii="Arial" w:cs="Arial" w:eastAsia="Arial" w:hAnsi="Arial"/>
          <w:sz w:val="16"/>
          <w:szCs w:val="16"/>
          <w:color w:val="auto"/>
        </w:rPr>
        <w:t>Gross increases – current period tax positions Gross unrecognized tax benefits – ending balance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Year Ended August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195"/>
        </w:trPr>
        <w:tc>
          <w:tcPr>
            <w:tcW w:w="20" w:type="dxa"/>
            <w:vAlign w:val="bottom"/>
          </w:tcPr>
          <w:p>
            <w:pPr>
              <w:spacing w:after="0"/>
              <w:rPr>
                <w:sz w:val="16"/>
                <w:szCs w:val="16"/>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248,000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242,000</w:t>
            </w: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278,200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248,000</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6440" w:space="720"/>
            <w:col w:w="4080"/>
          </w:cols>
          <w:pgMar w:left="320" w:top="800" w:right="339" w:bottom="1440" w:gutter="0" w:footer="0" w:header="0"/>
          <w:type w:val="continuous"/>
        </w:sectPr>
      </w:pPr>
    </w:p>
    <w:p>
      <w:pPr>
        <w:ind w:right="36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if recognized. It is not expected that the amount of unrecognized tax benefits will change significantly in the next 12 months.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2020 and August 31, 2019.</w:t>
      </w:r>
    </w:p>
    <w:p>
      <w:pPr>
        <w:spacing w:after="0" w:line="18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Company is subject to taxation in the United States and various states and foreign jurisdictions. With few exceptions, as of August 31, 2020, the Company is no longer subject to federal, state, local, or foreign examinations by tax authorities for years prior to August 31, 2017.</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76" w:name="page77"/>
    <w:bookmarkEnd w:id="76"/>
    <w:p>
      <w:pPr>
        <w:ind w:left="540" w:hanging="532"/>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currently has operating leases for various buildings, equipment and vehicles. These leases are under non-cancelable operating lease agreements with expiration dates between November 30, 2020 and June 30, 2024. The Company has the option to extend certain leases to five or ten-year term(s) and has the right of first refusal on any sale.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2"/>
          </w:tcPr>
          <w:p>
            <w:pPr>
              <w:spacing w:after="0"/>
              <w:rPr>
                <w:sz w:val="20"/>
                <w:szCs w:val="20"/>
                <w:color w:val="auto"/>
              </w:rPr>
            </w:pPr>
            <w:r>
              <w:rPr>
                <w:rFonts w:ascii="Arial" w:cs="Arial" w:eastAsia="Arial" w:hAnsi="Arial"/>
                <w:sz w:val="18"/>
                <w:szCs w:val="18"/>
                <w:i w:val="1"/>
                <w:iCs w:val="1"/>
                <w:color w:val="auto"/>
              </w:rPr>
              <w:t>Present Value of Leases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95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4"/>
                <w:szCs w:val="24"/>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August 31, 2020</w:t>
            </w:r>
          </w:p>
        </w:tc>
      </w:tr>
      <w:tr>
        <w:trPr>
          <w:trHeight w:val="209"/>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658,788</w:t>
            </w: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Lease liability, less current portion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386,345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272,443</w:t>
      </w:r>
    </w:p>
    <w:p>
      <w:pPr>
        <w:spacing w:after="0" w:line="35" w:lineRule="exact"/>
        <w:rPr>
          <w:sz w:val="20"/>
          <w:szCs w:val="20"/>
          <w:color w:val="auto"/>
        </w:rPr>
      </w:pPr>
    </w:p>
    <w:p>
      <w:pPr>
        <w:ind w:left="980" w:hanging="97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658,788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10629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40" w:space="720"/>
            <w:col w:w="1680"/>
          </w:cols>
          <w:pgMar w:left="320" w:top="796" w:right="339" w:bottom="1440" w:gutter="0" w:footer="0" w:header="0"/>
          <w:type w:val="continuous"/>
        </w:sectPr>
      </w:pPr>
    </w:p>
    <w:p>
      <w:pPr>
        <w:spacing w:after="0" w:line="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August 31, 2020, the weighted-average remaining lease term was 2.02 years. The Company’s lease agreements do not provide a readily determinable implicit rate nor is it available to the Company from its lessors. Instead, as of August 31, 2020, the Company estimates the weighted-average discount rate for its operating leases to be 2.31% to present value based on the incremental borrowing rate.</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Future minimum payments for the next five fiscal years and thereafter as of August 31, 2020 under these long-term operating leases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Fiscal 2021</w:t>
            </w:r>
          </w:p>
        </w:tc>
        <w:tc>
          <w:tcPr>
            <w:tcW w:w="53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386,345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Fiscal 2022</w:t>
            </w:r>
          </w:p>
        </w:tc>
        <w:tc>
          <w:tcPr>
            <w:tcW w:w="4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208,419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Fiscal 2023</w:t>
            </w:r>
          </w:p>
        </w:tc>
        <w:tc>
          <w:tcPr>
            <w:tcW w:w="4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59,993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Fiscal 2024</w:t>
            </w:r>
          </w:p>
        </w:tc>
        <w:tc>
          <w:tcPr>
            <w:tcW w:w="47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19,932</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674,689</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47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Present value of obligations under operating leases</w:t>
            </w:r>
          </w:p>
        </w:tc>
        <w:tc>
          <w:tcPr>
            <w:tcW w:w="4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658,788</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47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(386,345)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47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272,443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780" w:type="dxa"/>
            <w:vAlign w:val="bottom"/>
            <w:vMerge w:val="restart"/>
          </w:tcPr>
          <w:p>
            <w:pPr>
              <w:jc w:val="right"/>
              <w:ind w:right="3750"/>
              <w:spacing w:after="0"/>
              <w:rPr>
                <w:sz w:val="20"/>
                <w:szCs w:val="20"/>
                <w:color w:val="auto"/>
              </w:rPr>
            </w:pPr>
            <w:r>
              <w:rPr>
                <w:rFonts w:ascii="Arial" w:cs="Arial" w:eastAsia="Arial" w:hAnsi="Arial"/>
                <w:sz w:val="18"/>
                <w:szCs w:val="18"/>
                <w:color w:val="auto"/>
              </w:rPr>
              <w:t>73</w:t>
            </w: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780" w:type="dxa"/>
            <w:vAlign w:val="bottom"/>
            <w:shd w:val="clear" w:color="auto" w:fill="000000"/>
          </w:tcPr>
          <w:p>
            <w:pPr>
              <w:spacing w:after="0"/>
              <w:rPr>
                <w:sz w:val="5"/>
                <w:szCs w:val="5"/>
                <w:color w:val="auto"/>
              </w:rPr>
            </w:pPr>
          </w:p>
        </w:tc>
        <w:tc>
          <w:tcPr>
            <w:tcW w:w="47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77" w:name="page78"/>
    <w:bookmarkEnd w:id="77"/>
    <w:p>
      <w:pPr>
        <w:ind w:right="500"/>
        <w:spacing w:after="0" w:line="277" w:lineRule="auto"/>
        <w:rPr>
          <w:sz w:val="20"/>
          <w:szCs w:val="20"/>
          <w:color w:val="auto"/>
        </w:rPr>
      </w:pPr>
      <w:r>
        <w:rPr>
          <w:rFonts w:ascii="Arial" w:cs="Arial" w:eastAsia="Arial" w:hAnsi="Arial"/>
          <w:sz w:val="18"/>
          <w:szCs w:val="18"/>
          <w:color w:val="auto"/>
        </w:rPr>
        <w:t>The following table presents future minimum lease payments for the Company’s operating leases as of August 31, 2019 under ASC 840 and is being presented for comparative purposes:</w:t>
      </w:r>
    </w:p>
    <w:p>
      <w:pPr>
        <w:spacing w:after="0" w:line="185"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Fiscal 2020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286,723</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Fiscal 2021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241,035</w:t>
            </w: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107,522</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Total future minimum rent</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635,280</w:t>
            </w:r>
          </w:p>
        </w:tc>
      </w:tr>
      <w:tr>
        <w:trPr>
          <w:trHeight w:val="20"/>
        </w:trPr>
        <w:tc>
          <w:tcPr>
            <w:tcW w:w="3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these leases was approximately $131,840 for the year ended August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August 27, 2020, the Compensation Committee of the Board of Directors of the Company approved the material terms of an annual bonus plan for the Company’s executive officers as well as certain officers and employees for the fiscal year ending August 31, 2021. For fiscal 2021,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2021 compared to a pre-established target EBITOI for fiscal 2021,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were determined by the Company’s Board of Directors, upon recommendation of the Compensation Committee, after the completion of the Company’s consolidated financial statements for fiscal 2021.</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31, 2019, the Compensation Committee of the Board of Directors of the Company approved the material terms of an annual bonus plan for the Company’s executive officers as well as certain officers and employees for the fiscal year ending August 31, 2020. $1,300,000 was recognized for bonuses for the fiscal year ended August 31, 2020, $800,000 of the bonus is comprised of stock options granted to management on September 1, 2019 and $500,000 will be paid out in cash and profit sharing subsequent to year end. This is compared to $2,000,000 recognized for bonuses for the fiscal year ended August 31, 2019, $800,000 of the bonus comprised of stock options granted to management on September 1, 2018 and $1,200,000 was paid out in cash and profit sharing subsequent to year end.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Five joint ventures (consisting of the Company’s joint ventures in the United States, Indonesia, Philippines, Russia and India) accounted for 88.2% of the Company’s trade joint venture receivables as of August 31, 2020, and five joint ventures (consisting of the Company’s joint ventures in South Korea, Thailand, France, Germany and India) accounted for 69.6% of the Company’s trade joint venture receivables as of August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the Company is not able to reasonably estimate the amount of any recovery to NTI Asean, if any.</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2020, the amount of liability, if any, with respect to these matters, individually or in the aggregate, will not materially affect the Company’s consolidated results of operations, financial position, or cash flows.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8" w:name="page79"/>
    <w:bookmarkEnd w:id="78"/>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August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841,837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53,512</w:t>
            </w:r>
          </w:p>
        </w:tc>
        <w:tc>
          <w:tcPr>
            <w:tcW w:w="0" w:type="dxa"/>
            <w:vAlign w:val="bottom"/>
          </w:tcPr>
          <w:p>
            <w:pPr>
              <w:spacing w:after="0"/>
              <w:rPr>
                <w:sz w:val="1"/>
                <w:szCs w:val="1"/>
                <w:color w:val="auto"/>
              </w:rPr>
            </w:pPr>
          </w:p>
        </w:tc>
      </w:tr>
      <w:tr>
        <w:trPr>
          <w:trHeight w:val="432"/>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17.</w:t>
            </w:r>
          </w:p>
        </w:tc>
        <w:tc>
          <w:tcPr>
            <w:tcW w:w="67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 MEASUREMENTS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defined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are quoted prices in active markets for identical assets or liabilities.</w:t>
      </w:r>
    </w:p>
    <w:p>
      <w:pPr>
        <w:spacing w:after="0" w:line="23" w:lineRule="exact"/>
        <w:rPr>
          <w:sz w:val="20"/>
          <w:szCs w:val="20"/>
          <w:color w:val="auto"/>
        </w:rPr>
      </w:pPr>
    </w:p>
    <w:p>
      <w:pPr>
        <w:ind w:left="1140" w:right="280" w:hanging="809"/>
        <w:spacing w:after="0" w:line="281" w:lineRule="auto"/>
        <w:rPr>
          <w:sz w:val="20"/>
          <w:szCs w:val="20"/>
          <w:color w:val="auto"/>
        </w:rPr>
      </w:pPr>
      <w:r>
        <w:rPr>
          <w:rFonts w:ascii="Arial" w:cs="Arial" w:eastAsia="Arial" w:hAnsi="Arial"/>
          <w:sz w:val="16"/>
          <w:szCs w:val="16"/>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are unobservable for the asset or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gridSpan w:val="6"/>
          </w:tcPr>
          <w:p>
            <w:pPr>
              <w:ind w:left="1140"/>
              <w:spacing w:after="0"/>
              <w:rPr>
                <w:sz w:val="20"/>
                <w:szCs w:val="20"/>
                <w:color w:val="auto"/>
              </w:rPr>
            </w:pPr>
            <w:r>
              <w:rPr>
                <w:rFonts w:ascii="Arial" w:cs="Arial" w:eastAsia="Arial" w:hAnsi="Arial"/>
                <w:sz w:val="18"/>
                <w:szCs w:val="18"/>
                <w:b w:val="1"/>
                <w:bCs w:val="1"/>
                <w:color w:val="auto"/>
              </w:rPr>
              <w:t>Fair Value Measurements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Fair value as of</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left="830"/>
              <w:spacing w:after="0"/>
              <w:rPr>
                <w:sz w:val="20"/>
                <w:szCs w:val="20"/>
                <w:color w:val="auto"/>
              </w:rPr>
            </w:pPr>
            <w:r>
              <w:rPr>
                <w:rFonts w:ascii="Arial" w:cs="Arial" w:eastAsia="Arial" w:hAnsi="Arial"/>
                <w:sz w:val="18"/>
                <w:szCs w:val="18"/>
                <w:b w:val="1"/>
                <w:bCs w:val="1"/>
                <w:color w:val="auto"/>
                <w:w w:val="88"/>
              </w:rPr>
              <w:t>Using Inputs Considered as</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August 31, 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5,544,722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5,544,722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91"/>
              </w:rPr>
              <w:t>Fair Value Measurements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Fair value as of</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left="830"/>
              <w:spacing w:after="0"/>
              <w:rPr>
                <w:sz w:val="20"/>
                <w:szCs w:val="20"/>
                <w:color w:val="auto"/>
              </w:rPr>
            </w:pPr>
            <w:r>
              <w:rPr>
                <w:rFonts w:ascii="Arial" w:cs="Arial" w:eastAsia="Arial" w:hAnsi="Arial"/>
                <w:sz w:val="18"/>
                <w:szCs w:val="18"/>
                <w:b w:val="1"/>
                <w:bCs w:val="1"/>
                <w:color w:val="auto"/>
                <w:w w:val="88"/>
              </w:rPr>
              <w:t>Using Inputs Considered as</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August 31, 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3,565,258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3,565,258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available for sale securities. These are valued using quoted market prices in an active market.</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2020 or August 31, 2019. When a determination is made to classify an asset or liability within Level 3, the determination is based upon the significance of the unobservable inputs to the overall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right="320" w:firstLine="8"/>
        <w:spacing w:after="0" w:line="260"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Management, with the participation of NTIC’s President and Chief Executive Officer and Chief Financial Officer, evaluated the effectiveness of the Company’s internal control over financial reporting as of August 31, 2020.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2020.</w:t>
      </w:r>
    </w:p>
    <w:p>
      <w:pPr>
        <w:spacing w:after="0" w:line="3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2020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fourth quarter of fiscal 2020,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82" w:name="page83"/>
    <w:bookmarkEnd w:id="82"/>
    <w:p>
      <w:pPr>
        <w:ind w:left="1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color w:val="auto"/>
        </w:rPr>
        <w:t>The following table summarizes outstanding options and other awards under NTIC’s equity compensation plans as of August 31, 2020. NTIC’s equity compensation plans as of August 31, 2020 were the Northern Technologies International Corporation 2019 Stock Incentive Plan,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to NTIC’s directors in consideration for their services as directors of NTIC and an automatic annual grant of $10,000 in options to purchase shares of NTIC common stock to NTIC’s Chairman of the Board in consideration for his services as Chairman, in each case on the first day of each fiscal year, and automatic initial pro rata grants of $50,000 in options to purchase shares of NTIC common stock to NTIC’s new directors in consideration for their services as directors of NTIC on the first date of their appointment as directors, options and other awards granted in the future under the Northern Technologies International Corporation 2019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2007 Stock Incentive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 to</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 of</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Plans</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be Issued Upon Exercise</w:t>
            </w: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Outstanding Options,</w:t>
            </w: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Options, Warrants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 column</w:t>
            </w:r>
          </w:p>
        </w:tc>
      </w:tr>
      <w:tr>
        <w:trPr>
          <w:trHeight w:val="234"/>
        </w:trPr>
        <w:tc>
          <w:tcPr>
            <w:tcW w:w="100" w:type="dxa"/>
            <w:vAlign w:val="bottom"/>
          </w:tcPr>
          <w:p>
            <w:pPr>
              <w:spacing w:after="0"/>
              <w:rPr>
                <w:sz w:val="20"/>
                <w:szCs w:val="20"/>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2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and Rights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r>
      <w:tr>
        <w:trPr>
          <w:trHeight w:val="209"/>
        </w:trPr>
        <w:tc>
          <w:tcPr>
            <w:tcW w:w="1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1,127,968(1)(2)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583,923(3)</w:t>
            </w:r>
          </w:p>
        </w:tc>
      </w:tr>
      <w:tr>
        <w:trPr>
          <w:trHeight w:val="229"/>
        </w:trPr>
        <w:tc>
          <w:tcPr>
            <w:tcW w:w="10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1,127,968(1)(2)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583,923(3)</w:t>
            </w:r>
          </w:p>
        </w:tc>
      </w:tr>
      <w:tr>
        <w:trPr>
          <w:trHeight w:val="218"/>
        </w:trPr>
        <w:tc>
          <w:tcPr>
            <w:tcW w:w="5860" w:type="dxa"/>
            <w:vAlign w:val="bottom"/>
            <w:gridSpan w:val="2"/>
          </w:tcPr>
          <w:p>
            <w:pPr>
              <w:ind w:left="100"/>
              <w:spacing w:after="0"/>
              <w:rPr>
                <w:sz w:val="20"/>
                <w:szCs w:val="20"/>
                <w:color w:val="auto"/>
              </w:rPr>
            </w:pPr>
            <w:r>
              <w:rPr>
                <w:rFonts w:ascii="Arial" w:cs="Arial" w:eastAsia="Arial" w:hAnsi="Arial"/>
                <w:sz w:val="18"/>
                <w:szCs w:val="18"/>
                <w:color w:val="auto"/>
              </w:rPr>
              <w:t>_____________________</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-283210</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09" w:lineRule="exact"/>
        <w:rPr>
          <w:sz w:val="20"/>
          <w:szCs w:val="20"/>
          <w:color w:val="auto"/>
        </w:rPr>
      </w:pPr>
    </w:p>
    <w:p>
      <w:pPr>
        <w:ind w:left="480" w:right="100" w:hanging="372"/>
        <w:spacing w:after="0" w:line="259"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includes 827,198 shares of NTIC common stock issuable upon the exercise of stock options outstanding as of August 31, 2020 under the Northern Technologies International Corporation Amended and Restated 2007 Stock Incentive Plan and 300,770 shares of NTIC common stock issuable upon the exercise of stock options outstanding as of August 31, 2020 under the Northern Technologies International Corporation 2019 Stock Incentive Plan.</w:t>
      </w:r>
    </w:p>
    <w:p>
      <w:pPr>
        <w:spacing w:after="0" w:line="186" w:lineRule="exact"/>
        <w:rPr>
          <w:rFonts w:ascii="Arial" w:cs="Arial" w:eastAsia="Arial" w:hAnsi="Arial"/>
          <w:sz w:val="18"/>
          <w:szCs w:val="18"/>
          <w:color w:val="auto"/>
        </w:rPr>
      </w:pPr>
    </w:p>
    <w:p>
      <w:pPr>
        <w:ind w:left="480" w:right="100" w:hanging="372"/>
        <w:spacing w:after="0" w:line="257"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187" w:lineRule="exact"/>
        <w:rPr>
          <w:rFonts w:ascii="Arial" w:cs="Arial" w:eastAsia="Arial" w:hAnsi="Arial"/>
          <w:sz w:val="18"/>
          <w:szCs w:val="18"/>
          <w:color w:val="auto"/>
        </w:rPr>
      </w:pPr>
    </w:p>
    <w:p>
      <w:pPr>
        <w:ind w:left="480" w:right="240" w:hanging="372"/>
        <w:spacing w:after="0" w:line="263"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includes 499,230 shares available as of August 31, 2020 for future issuance under Northern Technologies International Corporation 2019 Stock Incentive Plan and 84,693 shares available at August 31, 2020 for future issuance under the Northern Technologies International Corporation Employee Stock Purchase Plan.</w:t>
      </w:r>
    </w:p>
    <w:p>
      <w:pPr>
        <w:spacing w:after="0" w:line="180" w:lineRule="exact"/>
        <w:rPr>
          <w:sz w:val="20"/>
          <w:szCs w:val="20"/>
          <w:color w:val="auto"/>
        </w:rPr>
      </w:pPr>
    </w:p>
    <w:p>
      <w:pPr>
        <w:ind w:left="100"/>
        <w:spacing w:after="0"/>
        <w:tabs>
          <w:tab w:leader="none" w:pos="13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left="100" w:right="300"/>
        <w:spacing w:after="0" w:line="263"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340"/>
          </w:cols>
          <w:pgMar w:left="220" w:top="796" w:right="339" w:bottom="1440" w:gutter="0" w:footer="0" w:header="0"/>
        </w:sectPr>
      </w:pPr>
    </w:p>
    <w:bookmarkStart w:id="83" w:name="page84"/>
    <w:bookmarkEnd w:id="83"/>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84" w:name="page85"/>
    <w:bookmarkEnd w:id="84"/>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7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574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40" w:type="dxa"/>
            <w:vAlign w:val="bottom"/>
            <w:gridSpan w:val="10"/>
          </w:tcPr>
          <w:p>
            <w:pPr>
              <w:jc w:val="center"/>
              <w:ind w:right="1140"/>
              <w:spacing w:after="0"/>
              <w:rPr>
                <w:sz w:val="20"/>
                <w:szCs w:val="20"/>
                <w:color w:val="auto"/>
              </w:rPr>
            </w:pPr>
            <w:r>
              <w:rPr>
                <w:rFonts w:ascii="Arial" w:cs="Arial" w:eastAsia="Arial" w:hAnsi="Arial"/>
                <w:sz w:val="18"/>
                <w:szCs w:val="18"/>
                <w:b w:val="1"/>
                <w:bCs w:val="1"/>
                <w:color w:val="auto"/>
                <w:w w:val="92"/>
              </w:rPr>
              <w:t>Method of Filing</w:t>
            </w: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14"/>
                <w:szCs w:val="14"/>
                <w:color w:val="auto"/>
              </w:rPr>
            </w:pPr>
          </w:p>
        </w:tc>
        <w:tc>
          <w:tcPr>
            <w:tcW w:w="54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Restated Certificate of Incorporation of Northern Technologies</w:t>
            </w:r>
          </w:p>
        </w:tc>
        <w:tc>
          <w:tcPr>
            <w:tcW w:w="3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0" w:type="dxa"/>
            <w:vAlign w:val="bottom"/>
            <w:tcBorders>
              <w:top w:val="single" w:sz="8" w:color="auto"/>
              <w:bottom w:val="single" w:sz="8" w:color="0000EE"/>
            </w:tcBorders>
            <w:gridSpan w:val="12"/>
          </w:tcPr>
          <w:p>
            <w:pPr>
              <w:jc w:val="center"/>
              <w:spacing w:after="0" w:line="169"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Incorporated by reference to Exhibit 3.1 to NTIC’s Quarterly</w:t>
              </w:r>
            </w:hyperlink>
          </w:p>
        </w:tc>
        <w:tc>
          <w:tcPr>
            <w:tcW w:w="40" w:type="dxa"/>
            <w:vAlign w:val="bottom"/>
            <w:tcBorders>
              <w:top w:val="single" w:sz="8" w:color="auto"/>
            </w:tcBorders>
            <w:gridSpan w:val="2"/>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57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International Corporation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Borders>
              <w:bottom w:val="single" w:sz="8" w:color="0000EE"/>
            </w:tcBorders>
            <w:gridSpan w:val="10"/>
          </w:tcPr>
          <w:p>
            <w:pPr>
              <w:jc w:val="cente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Report on Form 10-Q for the fiscal quarter ended February</w:t>
              </w:r>
            </w:hyperlink>
          </w:p>
        </w:tc>
        <w:tc>
          <w:tcPr>
            <w:tcW w:w="12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gridSpan w:val="10"/>
          </w:tcPr>
          <w:p>
            <w:pPr>
              <w:jc w:val="center"/>
              <w:ind w:right="1140"/>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28, 2009 (File No. 001-11038)</w:t>
              </w:r>
            </w:hyperlink>
          </w:p>
        </w:tc>
      </w:tr>
      <w:tr>
        <w:trPr>
          <w:trHeight w:val="20"/>
        </w:trPr>
        <w:tc>
          <w:tcPr>
            <w:tcW w:w="68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5"/>
              </w:rPr>
              <w:t>Certificate of Amendment to the Restated Certificate of Incorporation of</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gridSpan w:val="13"/>
          </w:tcPr>
          <w:p>
            <w:pPr>
              <w:jc w:val="center"/>
              <w:ind w:right="120"/>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to Exhibit 3.1 to NTIC’s Current</w:t>
              </w:r>
            </w:hyperlink>
          </w:p>
        </w:tc>
      </w:tr>
      <w:tr>
        <w:trPr>
          <w:trHeight w:val="196"/>
        </w:trPr>
        <w:tc>
          <w:tcPr>
            <w:tcW w:w="680" w:type="dxa"/>
            <w:vAlign w:val="bottom"/>
          </w:tcPr>
          <w:p>
            <w:pPr>
              <w:spacing w:after="0"/>
              <w:rPr>
                <w:sz w:val="17"/>
                <w:szCs w:val="17"/>
                <w:color w:val="auto"/>
              </w:rPr>
            </w:pPr>
          </w:p>
        </w:tc>
        <w:tc>
          <w:tcPr>
            <w:tcW w:w="5740" w:type="dxa"/>
            <w:vAlign w:val="bottom"/>
            <w:gridSpan w:val="2"/>
          </w:tcPr>
          <w:p>
            <w:pPr>
              <w:ind w:left="340"/>
              <w:spacing w:after="0" w:line="196" w:lineRule="exact"/>
              <w:rPr>
                <w:sz w:val="20"/>
                <w:szCs w:val="20"/>
                <w:color w:val="auto"/>
              </w:rPr>
            </w:pPr>
            <w:r>
              <w:rPr>
                <w:rFonts w:ascii="Arial" w:cs="Arial" w:eastAsia="Arial" w:hAnsi="Arial"/>
                <w:sz w:val="18"/>
                <w:szCs w:val="18"/>
                <w:color w:val="auto"/>
                <w:w w:val="92"/>
              </w:rPr>
              <w:t>Northern Technologies International Corporation dated January 16, 2018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7"/>
          </w:tcPr>
          <w:p>
            <w:pPr>
              <w:jc w:val="center"/>
              <w:ind w:right="20"/>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Report on Form 8-K as filed with the Securities and</w:t>
              </w:r>
            </w:hyperlink>
          </w:p>
        </w:tc>
        <w:tc>
          <w:tcPr>
            <w:tcW w:w="240" w:type="dxa"/>
            <w:vAlign w:val="bottom"/>
            <w:tcBorders>
              <w:top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Exchange Commission on January 16, 2018 (File No. 001-</w:t>
              </w:r>
            </w:hyperlink>
          </w:p>
        </w:tc>
        <w:tc>
          <w:tcPr>
            <w:tcW w:w="12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320" w:type="dxa"/>
            <w:vAlign w:val="bottom"/>
            <w:gridSpan w:val="8"/>
          </w:tcPr>
          <w:p>
            <w:pPr>
              <w:spacing w:after="0"/>
              <w:rPr>
                <w:sz w:val="17"/>
                <w:szCs w:val="17"/>
                <w:color w:val="auto"/>
              </w:rPr>
            </w:pPr>
          </w:p>
        </w:tc>
        <w:tc>
          <w:tcPr>
            <w:tcW w:w="540" w:type="dxa"/>
            <w:vAlign w:val="bottom"/>
            <w:tcBorders>
              <w:bottom w:val="single" w:sz="8" w:color="0000EE"/>
            </w:tcBorders>
            <w:gridSpan w:val="2"/>
          </w:tcPr>
          <w:p>
            <w:pPr>
              <w:jc w:val="center"/>
              <w:ind w:right="20"/>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11038)</w:t>
              </w:r>
            </w:hyperlink>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9"/>
              </w:rPr>
              <w:t>Certificate of Validation of the Certificate of Amendment to Restated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gridSpan w:val="13"/>
          </w:tcPr>
          <w:p>
            <w:pPr>
              <w:jc w:val="center"/>
              <w:ind w:right="120"/>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Incorporated by reference to Exhibit 3.1 to NTIC’s Current</w:t>
              </w:r>
            </w:hyperlink>
          </w:p>
        </w:tc>
      </w:tr>
      <w:tr>
        <w:trPr>
          <w:trHeight w:val="196"/>
        </w:trPr>
        <w:tc>
          <w:tcPr>
            <w:tcW w:w="680" w:type="dxa"/>
            <w:vAlign w:val="bottom"/>
          </w:tcPr>
          <w:p>
            <w:pPr>
              <w:spacing w:after="0"/>
              <w:rPr>
                <w:sz w:val="17"/>
                <w:szCs w:val="17"/>
                <w:color w:val="auto"/>
              </w:rPr>
            </w:pPr>
          </w:p>
        </w:tc>
        <w:tc>
          <w:tcPr>
            <w:tcW w:w="57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Certificate of Incorporation of Northern Technologies International</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7"/>
          </w:tcPr>
          <w:p>
            <w:pPr>
              <w:jc w:val="center"/>
              <w:ind w:right="20"/>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Report on Form 8-K as filed with the Securities and</w:t>
              </w:r>
            </w:hyperlink>
          </w:p>
        </w:tc>
        <w:tc>
          <w:tcPr>
            <w:tcW w:w="240" w:type="dxa"/>
            <w:vAlign w:val="bottom"/>
            <w:tcBorders>
              <w:top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7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Corporation dated January 18, 2019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EE"/>
            </w:tcBorders>
            <w:gridSpan w:val="9"/>
          </w:tcPr>
          <w:p>
            <w:pPr>
              <w:jc w:val="cente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Exchange Commission on January 25, 2019 (File No. 001-</w:t>
              </w:r>
            </w:hyperlink>
          </w:p>
        </w:tc>
        <w:tc>
          <w:tcPr>
            <w:tcW w:w="12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320" w:type="dxa"/>
            <w:vAlign w:val="bottom"/>
            <w:gridSpan w:val="8"/>
          </w:tcPr>
          <w:p>
            <w:pPr>
              <w:spacing w:after="0"/>
              <w:rPr>
                <w:sz w:val="17"/>
                <w:szCs w:val="17"/>
                <w:color w:val="auto"/>
              </w:rPr>
            </w:pPr>
          </w:p>
        </w:tc>
        <w:tc>
          <w:tcPr>
            <w:tcW w:w="540" w:type="dxa"/>
            <w:vAlign w:val="bottom"/>
            <w:tcBorders>
              <w:bottom w:val="single" w:sz="8" w:color="0000EE"/>
            </w:tcBorders>
            <w:gridSpan w:val="2"/>
          </w:tcPr>
          <w:p>
            <w:pPr>
              <w:jc w:val="center"/>
              <w:ind w:right="20"/>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11038)</w:t>
              </w:r>
            </w:hyperlink>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5"/>
              </w:rPr>
              <w:t>Amended and Restated Bylaws of Northern Technologies International</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gridSpan w:val="13"/>
          </w:tcPr>
          <w:p>
            <w:pPr>
              <w:jc w:val="center"/>
              <w:ind w:right="120"/>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to Exhibit 3.1 to NTIC’s Current</w:t>
              </w:r>
            </w:hyperlink>
          </w:p>
        </w:tc>
      </w:tr>
      <w:tr>
        <w:trPr>
          <w:trHeight w:val="196"/>
        </w:trPr>
        <w:tc>
          <w:tcPr>
            <w:tcW w:w="680" w:type="dxa"/>
            <w:vAlign w:val="bottom"/>
          </w:tcPr>
          <w:p>
            <w:pPr>
              <w:spacing w:after="0"/>
              <w:rPr>
                <w:sz w:val="17"/>
                <w:szCs w:val="17"/>
                <w:color w:val="auto"/>
              </w:rPr>
            </w:pPr>
          </w:p>
        </w:tc>
        <w:tc>
          <w:tcPr>
            <w:tcW w:w="57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Corporation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8"/>
          </w:tcPr>
          <w:p>
            <w:pPr>
              <w:jc w:val="center"/>
              <w:ind w:right="260"/>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Report on Form 8-K as filed with the Securities and</w:t>
              </w:r>
            </w:hyperlink>
          </w:p>
        </w:tc>
        <w:tc>
          <w:tcPr>
            <w:tcW w:w="120" w:type="dxa"/>
            <w:vAlign w:val="bottom"/>
            <w:gridSpan w:val="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EE"/>
            </w:tcBorders>
            <w:gridSpan w:val="14"/>
          </w:tcPr>
          <w:p>
            <w:pPr>
              <w:jc w:val="cente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Exchange Commission on November 24, 2008 (File No. 001-</w:t>
              </w:r>
            </w:hyperlink>
          </w:p>
        </w:tc>
        <w:tc>
          <w:tcPr>
            <w:tcW w:w="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320" w:type="dxa"/>
            <w:vAlign w:val="bottom"/>
            <w:gridSpan w:val="8"/>
          </w:tcPr>
          <w:p>
            <w:pPr>
              <w:spacing w:after="0"/>
              <w:rPr>
                <w:sz w:val="17"/>
                <w:szCs w:val="17"/>
                <w:color w:val="auto"/>
              </w:rPr>
            </w:pPr>
          </w:p>
        </w:tc>
        <w:tc>
          <w:tcPr>
            <w:tcW w:w="520" w:type="dxa"/>
            <w:vAlign w:val="bottom"/>
            <w:tcBorders>
              <w:bottom w:val="single" w:sz="8" w:color="0000EE"/>
            </w:tcBorders>
          </w:tcPr>
          <w:p>
            <w:pPr>
              <w:jc w:val="cente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11038)</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6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7"/>
              </w:rPr>
              <w:t>Specimen Stock Certificate Representing Common Stock of Northern</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11"/>
          </w:tcPr>
          <w:p>
            <w:pPr>
              <w:jc w:val="center"/>
              <w:ind w:right="380"/>
              <w:spacing w:after="0"/>
              <w:rPr>
                <w:sz w:val="20"/>
                <w:szCs w:val="20"/>
                <w:color w:val="auto"/>
              </w:rPr>
            </w:pPr>
            <w:r>
              <w:rPr>
                <w:rFonts w:ascii="Arial" w:cs="Arial" w:eastAsia="Arial" w:hAnsi="Arial"/>
                <w:sz w:val="18"/>
                <w:szCs w:val="18"/>
                <w:color w:val="auto"/>
                <w:w w:val="92"/>
              </w:rPr>
              <w:t>Incorporated by reference to Exhibit 4.1 to NTIC’s</w:t>
            </w:r>
          </w:p>
        </w:tc>
      </w:tr>
      <w:tr>
        <w:trPr>
          <w:trHeight w:val="216"/>
        </w:trPr>
        <w:tc>
          <w:tcPr>
            <w:tcW w:w="68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Technologies International Corporation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2"/>
          </w:tcPr>
          <w:p>
            <w:pPr>
              <w:jc w:val="center"/>
              <w:ind w:right="140"/>
              <w:spacing w:after="0"/>
              <w:rPr>
                <w:sz w:val="20"/>
                <w:szCs w:val="20"/>
                <w:color w:val="auto"/>
              </w:rPr>
            </w:pPr>
            <w:r>
              <w:rPr>
                <w:rFonts w:ascii="Arial" w:cs="Arial" w:eastAsia="Arial" w:hAnsi="Arial"/>
                <w:sz w:val="18"/>
                <w:szCs w:val="18"/>
                <w:color w:val="auto"/>
                <w:w w:val="91"/>
              </w:rPr>
              <w:t>Registration Statement on Form 10 (File No. 001-19331)</w:t>
            </w: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4"/>
          </w:tcPr>
          <w:p>
            <w:pPr>
              <w:jc w:val="center"/>
              <w:ind w:right="40"/>
              <w:spacing w:after="0"/>
              <w:rPr>
                <w:sz w:val="20"/>
                <w:szCs w:val="20"/>
                <w:color w:val="auto"/>
              </w:rPr>
            </w:pPr>
            <w:r>
              <w:rPr>
                <w:rFonts w:ascii="Arial" w:cs="Arial" w:eastAsia="Arial" w:hAnsi="Arial"/>
                <w:sz w:val="18"/>
                <w:szCs w:val="18"/>
                <w:color w:val="auto"/>
                <w:w w:val="91"/>
              </w:rPr>
              <w:t>(Filed on paper - hyperlink is not required pursuant to Rule</w:t>
            </w:r>
          </w:p>
        </w:tc>
      </w:tr>
      <w:tr>
        <w:trPr>
          <w:trHeight w:val="230"/>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40" w:type="dxa"/>
            <w:vAlign w:val="bottom"/>
            <w:gridSpan w:val="10"/>
          </w:tcPr>
          <w:p>
            <w:pPr>
              <w:jc w:val="center"/>
              <w:ind w:right="1140"/>
              <w:spacing w:after="0"/>
              <w:rPr>
                <w:sz w:val="20"/>
                <w:szCs w:val="20"/>
                <w:color w:val="auto"/>
              </w:rPr>
            </w:pPr>
            <w:r>
              <w:rPr>
                <w:rFonts w:ascii="Arial" w:cs="Arial" w:eastAsia="Arial" w:hAnsi="Arial"/>
                <w:sz w:val="18"/>
                <w:szCs w:val="18"/>
                <w:color w:val="auto"/>
                <w:w w:val="92"/>
              </w:rPr>
              <w:t>105 of Regulation S-T)</w:t>
            </w:r>
          </w:p>
        </w:tc>
      </w:tr>
      <w:tr>
        <w:trPr>
          <w:trHeight w:val="418"/>
        </w:trPr>
        <w:tc>
          <w:tcPr>
            <w:tcW w:w="6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7"/>
              </w:rPr>
              <w:t>Description of Common Stock of Northern Technologies International</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gridSpan w:val="10"/>
          </w:tcPr>
          <w:p>
            <w:pPr>
              <w:jc w:val="center"/>
              <w:ind w:right="1140"/>
              <w:spacing w:after="0"/>
              <w:rPr>
                <w:rFonts w:ascii="Arial" w:cs="Arial" w:eastAsia="Arial" w:hAnsi="Arial"/>
                <w:sz w:val="18"/>
                <w:szCs w:val="18"/>
                <w:u w:val="single" w:color="auto"/>
                <w:color w:val="0000EE"/>
                <w:w w:val="92"/>
              </w:rPr>
            </w:pPr>
            <w:hyperlink w:anchor="page91">
              <w:r>
                <w:rPr>
                  <w:rFonts w:ascii="Arial" w:cs="Arial" w:eastAsia="Arial" w:hAnsi="Arial"/>
                  <w:sz w:val="18"/>
                  <w:szCs w:val="18"/>
                  <w:u w:val="single" w:color="auto"/>
                  <w:color w:val="0000EE"/>
                  <w:w w:val="92"/>
                </w:rPr>
                <w:t>Filed herewith</w:t>
              </w:r>
            </w:hyperlink>
          </w:p>
        </w:tc>
      </w:tr>
      <w:tr>
        <w:trPr>
          <w:trHeight w:val="230"/>
        </w:trPr>
        <w:tc>
          <w:tcPr>
            <w:tcW w:w="680" w:type="dxa"/>
            <w:vAlign w:val="bottom"/>
          </w:tcPr>
          <w:p>
            <w:pPr>
              <w:spacing w:after="0"/>
              <w:rPr>
                <w:sz w:val="20"/>
                <w:szCs w:val="20"/>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Corporation</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83"/>
        </w:trPr>
        <w:tc>
          <w:tcPr>
            <w:tcW w:w="680" w:type="dxa"/>
            <w:vAlign w:val="bottom"/>
          </w:tcPr>
          <w:p>
            <w:pPr>
              <w:spacing w:after="0"/>
              <w:rPr>
                <w:sz w:val="24"/>
                <w:szCs w:val="24"/>
                <w:color w:val="auto"/>
              </w:rPr>
            </w:pPr>
          </w:p>
        </w:tc>
        <w:tc>
          <w:tcPr>
            <w:tcW w:w="5740" w:type="dxa"/>
            <w:vAlign w:val="bottom"/>
            <w:gridSpan w:val="2"/>
          </w:tcPr>
          <w:p>
            <w:pPr>
              <w:jc w:val="right"/>
              <w:ind w:right="61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6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54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85" w:name="page86"/>
    <w:bookmarkEnd w:id="85"/>
    <w:p>
      <w:pPr>
        <w:jc w:val="both"/>
        <w:ind w:left="840" w:right="140" w:hanging="831"/>
        <w:spacing w:after="0" w:line="277"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Northern Technologies International Corporation 2019 Stock Incentive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40" w:right="140" w:hanging="831"/>
        <w:spacing w:after="0" w:line="308"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Form of Incentive Stock Option Agreement for Northern Technologies International Corporation 2019 Stock Incentive Plan*</w:t>
      </w:r>
    </w:p>
    <w:p>
      <w:pPr>
        <w:spacing w:after="0" w:line="200" w:lineRule="exact"/>
        <w:rPr>
          <w:sz w:val="20"/>
          <w:szCs w:val="20"/>
          <w:color w:val="auto"/>
        </w:rPr>
      </w:pPr>
    </w:p>
    <w:p>
      <w:pPr>
        <w:spacing w:after="0" w:line="378" w:lineRule="exact"/>
        <w:rPr>
          <w:sz w:val="20"/>
          <w:szCs w:val="20"/>
          <w:color w:val="auto"/>
        </w:rPr>
      </w:pPr>
    </w:p>
    <w:p>
      <w:pPr>
        <w:ind w:left="840" w:right="380" w:hanging="831"/>
        <w:spacing w:after="0" w:line="342" w:lineRule="auto"/>
        <w:tabs>
          <w:tab w:leader="none" w:pos="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Non-Statutory Stock Option Agreement for Northern Technologies International Corporation 2019 Stock Incentive Plan*</w:t>
      </w:r>
    </w:p>
    <w:p>
      <w:pPr>
        <w:spacing w:after="0" w:line="200" w:lineRule="exact"/>
        <w:rPr>
          <w:sz w:val="20"/>
          <w:szCs w:val="20"/>
          <w:color w:val="auto"/>
        </w:rPr>
      </w:pPr>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Northern Technologies International Corporation Amended and Restated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2007 Stock Incentive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40" w:right="120" w:hanging="831"/>
        <w:spacing w:after="0" w:line="263" w:lineRule="auto"/>
        <w:tabs>
          <w:tab w:leader="none" w:pos="8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Incentive Stock Option Agreement for Northern Technologies International Corporation Amended and Restated 2007 Stock Incentive Plan*</w:t>
      </w:r>
    </w:p>
    <w:p>
      <w:pPr>
        <w:spacing w:after="0" w:line="400" w:lineRule="exact"/>
        <w:rPr>
          <w:sz w:val="20"/>
          <w:szCs w:val="20"/>
          <w:color w:val="auto"/>
        </w:rPr>
      </w:pPr>
    </w:p>
    <w:p>
      <w:pPr>
        <w:ind w:left="840" w:right="280" w:hanging="831"/>
        <w:spacing w:after="0" w:line="263" w:lineRule="auto"/>
        <w:tabs>
          <w:tab w:leader="none" w:pos="8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Non-Statutory Stock Option Agreement for Northern Technologies International Corporation Amended and Restated 2007 Stock Incentive Plan*</w:t>
      </w:r>
    </w:p>
    <w:p>
      <w:pPr>
        <w:spacing w:after="0" w:line="400" w:lineRule="exact"/>
        <w:rPr>
          <w:sz w:val="20"/>
          <w:szCs w:val="20"/>
          <w:color w:val="auto"/>
        </w:rPr>
      </w:pPr>
    </w:p>
    <w:p>
      <w:pPr>
        <w:ind w:left="840" w:right="120" w:hanging="831"/>
        <w:spacing w:after="0" w:line="263" w:lineRule="auto"/>
        <w:tabs>
          <w:tab w:leader="none" w:pos="8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Restricted Stock Agreement for Northern Technologies International Corporation Amended and Restated 2007 Stock Incentive Plan*</w:t>
      </w:r>
    </w:p>
    <w:p>
      <w:pPr>
        <w:spacing w:after="0" w:line="400" w:lineRule="exact"/>
        <w:rPr>
          <w:sz w:val="20"/>
          <w:szCs w:val="20"/>
          <w:color w:val="auto"/>
        </w:rPr>
      </w:pPr>
    </w:p>
    <w:p>
      <w:pPr>
        <w:ind w:left="840" w:right="480" w:hanging="831"/>
        <w:spacing w:after="0" w:line="277" w:lineRule="auto"/>
        <w:tabs>
          <w:tab w:leader="none" w:pos="8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Northern Technologies International Corporation Employee Stock Purchase Plan*</w:t>
      </w:r>
    </w:p>
    <w:p>
      <w:pPr>
        <w:spacing w:after="0" w:line="386" w:lineRule="exact"/>
        <w:rPr>
          <w:sz w:val="20"/>
          <w:szCs w:val="20"/>
          <w:color w:val="auto"/>
        </w:rPr>
      </w:pPr>
    </w:p>
    <w:p>
      <w:pPr>
        <w:ind w:left="840" w:right="360" w:hanging="831"/>
        <w:spacing w:after="0" w:line="277" w:lineRule="auto"/>
        <w:tabs>
          <w:tab w:leader="none" w:pos="8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Material Terms of Northern Technologies International Corporation Annual Bonus Plan*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20" w:right="20"/>
        <w:spacing w:after="0" w:line="259"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Incorporated by reference to Exhibit 10.1 to NTIC’s Current</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Exchange Commission on January 25, 2019 (File No. 001-</w:t>
        </w:r>
      </w:hyperlink>
      <w:hyperlink r:id="rId103">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20" w:right="20"/>
        <w:spacing w:after="0" w:line="259" w:lineRule="auto"/>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Incorporated by reference to Exhibit 10.2 to NTIC’s Current</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Exchange Commission on January 25, 2019 (File No. 001-</w:t>
        </w:r>
      </w:hyperlink>
      <w:hyperlink r:id="rId104">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20" w:right="20"/>
        <w:spacing w:after="0" w:line="259" w:lineRule="auto"/>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Incorporated by reference to Exhibit 10.3 to NTIC’s Current</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Exchange Commission on January 25, 2019 (File No. 001-</w:t>
        </w:r>
      </w:hyperlink>
      <w:hyperlink r:id="rId105">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20" w:right="20"/>
        <w:spacing w:after="0" w:line="259"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Incorporated by reference to Exhibit 10.1 to NTIC’s Current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Exchange Commission on January 24, 2011 (File No. 001-</w:t>
        </w:r>
      </w:hyperlink>
      <w:hyperlink r:id="rId106">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20" w:right="20"/>
        <w:spacing w:after="0" w:line="259" w:lineRule="auto"/>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Incorporated by reference to Exhibit 10.2 to NTIC’s Current</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Exchange Commission on January 24, 2011 (File No. 001-</w:t>
        </w:r>
      </w:hyperlink>
      <w:hyperlink r:id="rId107">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20" w:right="20"/>
        <w:spacing w:after="0" w:line="259" w:lineRule="auto"/>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Incorporated by reference to Exhibit 10.3 to NTIC’s Current</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Exchange Commission on January 24, 2011 (File No. 001-</w:t>
        </w:r>
      </w:hyperlink>
      <w:hyperlink r:id="rId108">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20" w:right="20"/>
        <w:spacing w:after="0" w:line="259" w:lineRule="auto"/>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Incorporated by reference to Exhibit 10.4 to NTIC’s Current</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Exchange Commission on January 24, 2011 (File No. 001-</w:t>
        </w:r>
      </w:hyperlink>
      <w:hyperlink r:id="rId109">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Incorporated by reference to Exhibit 10.11 to NTIC’s Annual</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Report on Form 10-KSB for the fiscal year ended August 31,</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2006 (File No. 001-11038)</w:t>
        </w:r>
      </w:hyperlink>
    </w:p>
    <w:p>
      <w:pPr>
        <w:spacing w:after="0" w:line="184" w:lineRule="exact"/>
        <w:rPr>
          <w:rFonts w:ascii="Arial" w:cs="Arial" w:eastAsia="Arial" w:hAnsi="Arial"/>
          <w:sz w:val="18"/>
          <w:szCs w:val="18"/>
          <w:u w:val="single" w:color="auto"/>
          <w:color w:val="0000EE"/>
        </w:rPr>
      </w:pPr>
    </w:p>
    <w:p>
      <w:pPr>
        <w:jc w:val="center"/>
        <w:ind w:left="40"/>
        <w:spacing w:after="0" w:line="263"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Incorporated by reference to Exhibit 10.6 to NTIC’s Annual</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Report on Form 10-K for the fiscal year ended August 31,</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2015 (File No. 001-11038)</w:t>
        </w:r>
      </w:hyperlink>
    </w:p>
    <w:p>
      <w:pPr>
        <w:sectPr>
          <w:pgSz w:w="11900" w:h="16838" w:orient="portrait"/>
          <w:cols w:equalWidth="0" w:num="2">
            <w:col w:w="6080" w:space="540"/>
            <w:col w:w="4400"/>
          </w:cols>
          <w:pgMar w:left="500" w:top="827" w:right="379" w:bottom="1440" w:gutter="0" w:footer="0" w:header="0"/>
        </w:sectPr>
      </w:pPr>
    </w:p>
    <w:bookmarkStart w:id="86" w:name="page87"/>
    <w:bookmarkEnd w:id="86"/>
    <w:p>
      <w:pPr>
        <w:spacing w:after="0"/>
        <w:tabs>
          <w:tab w:leader="none" w:pos="8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Indemnification Agreement between Northern Technologies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International Corporation and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80" w:right="360" w:hanging="873"/>
        <w:spacing w:after="0" w:line="308"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Agreement dated as of May 25, 2009 between Northern Technologies International Corporation and Sunggyu Lee, Ph.D.*</w:t>
      </w:r>
    </w:p>
    <w:p>
      <w:pPr>
        <w:spacing w:after="0" w:line="3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Description of Non-Employee Director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right="120" w:hanging="876"/>
        <w:spacing w:after="0" w:line="263"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Executive Employment Agreement dated as of November 18, 2011 between Northern Technologies International Corporation and G. Patrick Lynch*</w:t>
      </w:r>
    </w:p>
    <w:p>
      <w:pPr>
        <w:spacing w:after="0" w:line="184" w:lineRule="exact"/>
        <w:rPr>
          <w:sz w:val="20"/>
          <w:szCs w:val="20"/>
          <w:color w:val="auto"/>
        </w:rPr>
      </w:pPr>
    </w:p>
    <w:p>
      <w:pPr>
        <w:ind w:left="880" w:right="180" w:hanging="876"/>
        <w:spacing w:after="0" w:line="311"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Confidential Information, Inventions Assignment, Noncompetition and Non-Solicitation Agreement dated as of November 18, 2011 between Northern Technologies International Corporation and G. Patrick Lynch*</w:t>
      </w:r>
    </w:p>
    <w:p>
      <w:pPr>
        <w:spacing w:after="0" w:line="149" w:lineRule="exact"/>
        <w:rPr>
          <w:sz w:val="20"/>
          <w:szCs w:val="20"/>
          <w:color w:val="auto"/>
        </w:rPr>
      </w:pPr>
    </w:p>
    <w:p>
      <w:pPr>
        <w:ind w:left="880" w:hanging="876"/>
        <w:spacing w:after="0" w:line="263"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Executive Employment Agreement dated as of November 18, 2011 between Northern Technologies International Corporation and Matthew C. Wolsfeld*</w:t>
      </w:r>
    </w:p>
    <w:p>
      <w:pPr>
        <w:spacing w:after="0" w:line="184" w:lineRule="exact"/>
        <w:rPr>
          <w:sz w:val="20"/>
          <w:szCs w:val="20"/>
          <w:color w:val="auto"/>
        </w:rPr>
      </w:pPr>
    </w:p>
    <w:p>
      <w:pPr>
        <w:ind w:left="880" w:right="260" w:hanging="876"/>
        <w:spacing w:after="0" w:line="259" w:lineRule="auto"/>
        <w:tabs>
          <w:tab w:leader="none" w:pos="8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Matthew C. Wolsfeld*</w:t>
      </w:r>
    </w:p>
    <w:p>
      <w:pPr>
        <w:spacing w:after="0" w:line="187" w:lineRule="exact"/>
        <w:rPr>
          <w:sz w:val="20"/>
          <w:szCs w:val="20"/>
          <w:color w:val="auto"/>
        </w:rPr>
      </w:pPr>
    </w:p>
    <w:p>
      <w:pPr>
        <w:ind w:left="880" w:right="580" w:hanging="876"/>
        <w:spacing w:after="0" w:line="286" w:lineRule="auto"/>
        <w:tabs>
          <w:tab w:leader="none" w:pos="8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Amended and Restated Committed Line of Credit Note dated as of January 10, 2011 issued by Northern Technologies International Corporation to PNC Bank, National Association</w:t>
      </w:r>
    </w:p>
    <w:p>
      <w:pPr>
        <w:spacing w:after="0" w:line="381" w:lineRule="exact"/>
        <w:rPr>
          <w:sz w:val="20"/>
          <w:szCs w:val="20"/>
          <w:color w:val="auto"/>
        </w:rPr>
      </w:pPr>
    </w:p>
    <w:p>
      <w:pPr>
        <w:jc w:val="both"/>
        <w:ind w:left="880" w:right="700" w:hanging="876"/>
        <w:spacing w:after="0" w:line="263" w:lineRule="auto"/>
        <w:tabs>
          <w:tab w:leader="none" w:pos="8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Loan Agreement dated as of January 10, 2011 between Northern Technologies International Corporation and PNC Bank, National Association</w:t>
      </w:r>
    </w:p>
    <w:p>
      <w:pPr>
        <w:spacing w:after="0" w:line="400" w:lineRule="exact"/>
        <w:rPr>
          <w:sz w:val="20"/>
          <w:szCs w:val="20"/>
          <w:color w:val="auto"/>
        </w:rPr>
      </w:pPr>
    </w:p>
    <w:p>
      <w:pPr>
        <w:jc w:val="both"/>
        <w:ind w:left="880" w:right="80" w:hanging="876"/>
        <w:spacing w:after="0" w:line="263" w:lineRule="auto"/>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Waiver and First Amendment to Loan Documents dated as of January 10, 2012 between Northern Technologies International Corporation and PNC Bank, National Association</w:t>
      </w:r>
    </w:p>
    <w:p>
      <w:pPr>
        <w:spacing w:after="0" w:line="200" w:lineRule="exact"/>
        <w:rPr>
          <w:sz w:val="20"/>
          <w:szCs w:val="20"/>
          <w:color w:val="auto"/>
        </w:rPr>
      </w:pPr>
    </w:p>
    <w:p>
      <w:pPr>
        <w:spacing w:after="0" w:line="33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60" w:right="20"/>
        <w:spacing w:after="0" w:line="259" w:lineRule="auto"/>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Incorporated by reference to Exhibit 10.1 to NTIC’s Current</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Exchange Commission on October 23, 2019 (File No. 001-</w:t>
        </w:r>
      </w:hyperlink>
      <w:hyperlink r:id="rId113">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Incorporated by reference to Exhibit 10.2 to NTIC’s Quarterly</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Report on Form 10-Q for the fiscal quarter ended May 31,</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2009 (File No. 001-11038)</w:t>
        </w:r>
      </w:hyperlink>
    </w:p>
    <w:p>
      <w:pPr>
        <w:spacing w:after="0" w:line="184" w:lineRule="exact"/>
        <w:rPr>
          <w:rFonts w:ascii="Arial" w:cs="Arial" w:eastAsia="Arial" w:hAnsi="Arial"/>
          <w:sz w:val="18"/>
          <w:szCs w:val="18"/>
          <w:u w:val="single" w:color="auto"/>
          <w:color w:val="0000EE"/>
        </w:rPr>
      </w:pPr>
    </w:p>
    <w:p>
      <w:pPr>
        <w:jc w:val="center"/>
        <w:ind w:left="80"/>
        <w:spacing w:after="0" w:line="263"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Incorporated by reference to Exhibit 10.9 to NTIC’s Annual</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Report on Form 10-K for the fiscal year ended August 31,</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2018 (File No. 001-11038)</w:t>
        </w:r>
      </w:hyperlink>
    </w:p>
    <w:p>
      <w:pPr>
        <w:spacing w:after="0" w:line="184" w:lineRule="exact"/>
        <w:rPr>
          <w:rFonts w:ascii="Arial" w:cs="Arial" w:eastAsia="Arial" w:hAnsi="Arial"/>
          <w:sz w:val="18"/>
          <w:szCs w:val="18"/>
          <w:u w:val="single" w:color="auto"/>
          <w:color w:val="0000EE"/>
        </w:rPr>
      </w:pPr>
    </w:p>
    <w:p>
      <w:pPr>
        <w:jc w:val="center"/>
        <w:ind w:left="40"/>
        <w:spacing w:after="0" w:line="263"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Incorporated by reference to Exhibit 10.13 to NTIC’s Annual</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Report on Form 10-K for the fiscal year ended August 31,</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2011 (File No. 001-11038)</w:t>
        </w:r>
      </w:hyperlink>
    </w:p>
    <w:p>
      <w:pPr>
        <w:spacing w:after="0" w:line="184" w:lineRule="exact"/>
        <w:rPr>
          <w:rFonts w:ascii="Arial" w:cs="Arial" w:eastAsia="Arial" w:hAnsi="Arial"/>
          <w:sz w:val="18"/>
          <w:szCs w:val="18"/>
          <w:u w:val="single" w:color="auto"/>
          <w:color w:val="0000EE"/>
        </w:rPr>
      </w:pPr>
    </w:p>
    <w:p>
      <w:pPr>
        <w:jc w:val="center"/>
        <w:ind w:left="40"/>
        <w:spacing w:after="0" w:line="263"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Incorporated by reference to Exhibit 10.14 to NTIC’s Annual</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Report on Form 10-K for the fiscal year ended August 31,</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2011 (File No. 001-11038)</w:t>
        </w:r>
      </w:hyperlink>
    </w:p>
    <w:p>
      <w:pPr>
        <w:spacing w:after="0" w:line="184" w:lineRule="exact"/>
        <w:rPr>
          <w:rFonts w:ascii="Arial" w:cs="Arial" w:eastAsia="Arial" w:hAnsi="Arial"/>
          <w:sz w:val="18"/>
          <w:szCs w:val="18"/>
          <w:u w:val="single" w:color="auto"/>
          <w:color w:val="0000EE"/>
        </w:rPr>
      </w:pPr>
    </w:p>
    <w:p>
      <w:pPr>
        <w:jc w:val="center"/>
        <w:ind w:left="40"/>
        <w:spacing w:after="0" w:line="263"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Incorporated by reference to Exhibit 10.15 to NTIC’s Annual</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Report on Form 10-K for the fiscal year ended August 31,</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2011 (File No. 001-11038)</w:t>
        </w:r>
      </w:hyperlink>
    </w:p>
    <w:p>
      <w:pPr>
        <w:spacing w:after="0" w:line="184" w:lineRule="exact"/>
        <w:rPr>
          <w:rFonts w:ascii="Arial" w:cs="Arial" w:eastAsia="Arial" w:hAnsi="Arial"/>
          <w:sz w:val="18"/>
          <w:szCs w:val="18"/>
          <w:u w:val="single" w:color="auto"/>
          <w:color w:val="0000EE"/>
        </w:rPr>
      </w:pPr>
    </w:p>
    <w:p>
      <w:pPr>
        <w:jc w:val="center"/>
        <w:ind w:left="40"/>
        <w:spacing w:after="0" w:line="263" w:lineRule="auto"/>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Incorporated by reference to Exhibit 10.16 to NTIC’s Annual</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Report on Form 10-K for the fiscal year ended August 31,</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2011 (File No. 001-11038)</w:t>
        </w:r>
      </w:hyperlink>
    </w:p>
    <w:p>
      <w:pPr>
        <w:spacing w:after="0" w:line="400" w:lineRule="exact"/>
        <w:rPr>
          <w:rFonts w:ascii="Arial" w:cs="Arial" w:eastAsia="Arial" w:hAnsi="Arial"/>
          <w:sz w:val="18"/>
          <w:szCs w:val="18"/>
          <w:u w:val="single" w:color="auto"/>
          <w:color w:val="0000EE"/>
        </w:rPr>
      </w:pPr>
    </w:p>
    <w:p>
      <w:pPr>
        <w:jc w:val="center"/>
        <w:ind w:left="60" w:right="20"/>
        <w:spacing w:after="0" w:line="259" w:lineRule="auto"/>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Incorporated by reference to Exhibit 10.2 to NTIC’s Current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Exchange Commission on January 12, 2011 (File No. 001-</w:t>
        </w:r>
      </w:hyperlink>
      <w:hyperlink r:id="rId120">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ind w:left="60" w:right="20"/>
        <w:spacing w:after="0" w:line="259"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Incorporated by reference to Exhibit 10.6 to NTIC’s Current</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Report on Form 8-K as filed with the Securities and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Exchange Commission on January 12, 2011 (File No. 001-</w:t>
        </w:r>
      </w:hyperlink>
      <w:hyperlink r:id="rId121">
        <w:r>
          <w:rPr>
            <w:rFonts w:ascii="Arial" w:cs="Arial" w:eastAsia="Arial" w:hAnsi="Arial"/>
            <w:sz w:val="18"/>
            <w:szCs w:val="18"/>
            <w:u w:val="single" w:color="auto"/>
            <w:color w:val="0000EE"/>
          </w:rPr>
          <w:t>11038)</w:t>
        </w:r>
      </w:hyperlink>
    </w:p>
    <w:p>
      <w:pPr>
        <w:spacing w:after="0" w:line="187"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Incorporated by reference to Exhibit 10.6 to NTIC’s Quarterly</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30, 2011 (File No. 001-11038)</w:t>
        </w:r>
      </w:hyperlink>
    </w:p>
    <w:p>
      <w:pPr>
        <w:sectPr>
          <w:pgSz w:w="11900" w:h="16838" w:orient="portrait"/>
          <w:cols w:equalWidth="0" w:num="2">
            <w:col w:w="6260" w:space="360"/>
            <w:col w:w="4480"/>
          </w:cols>
          <w:pgMar w:left="460" w:top="827" w:right="339" w:bottom="1440" w:gutter="0" w:footer="0" w:header="0"/>
        </w:sectPr>
      </w:pPr>
    </w:p>
    <w:bookmarkStart w:id="87" w:name="page88"/>
    <w:bookmarkEnd w:id="87"/>
    <w:p>
      <w:pPr>
        <w:jc w:val="both"/>
        <w:ind w:left="840" w:right="120" w:hanging="876"/>
        <w:spacing w:after="0" w:line="263" w:lineRule="auto"/>
        <w:tabs>
          <w:tab w:leader="none" w:pos="8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Waiver and Second Amendment to Loan Documents dated December 11, 2012 between Northern Technologies International Corporation and PNC Bank, National Association</w:t>
      </w:r>
    </w:p>
    <w:p>
      <w:pPr>
        <w:spacing w:after="0" w:line="184" w:lineRule="exact"/>
        <w:rPr>
          <w:sz w:val="20"/>
          <w:szCs w:val="20"/>
          <w:color w:val="auto"/>
        </w:rPr>
      </w:pPr>
    </w:p>
    <w:p>
      <w:pPr>
        <w:ind w:left="840" w:right="240" w:hanging="876"/>
        <w:spacing w:after="0" w:line="277" w:lineRule="auto"/>
        <w:tabs>
          <w:tab w:leader="none" w:pos="8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Letter dated December 31, 2013 to Northern Technologies International Corporation from PNC Bank, National Association</w:t>
      </w:r>
    </w:p>
    <w:p>
      <w:pPr>
        <w:spacing w:after="0" w:line="386" w:lineRule="exact"/>
        <w:rPr>
          <w:sz w:val="20"/>
          <w:szCs w:val="20"/>
          <w:color w:val="auto"/>
        </w:rPr>
      </w:pPr>
    </w:p>
    <w:p>
      <w:pPr>
        <w:ind w:left="840" w:right="500" w:hanging="876"/>
        <w:spacing w:after="0" w:line="308" w:lineRule="auto"/>
        <w:tabs>
          <w:tab w:leader="none" w:pos="8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Letter dated January 8, 2015 to Northern Technologies International Corporation from PNC Bank, National Association</w:t>
      </w:r>
    </w:p>
    <w:p>
      <w:pPr>
        <w:spacing w:after="0" w:line="362" w:lineRule="exact"/>
        <w:rPr>
          <w:sz w:val="20"/>
          <w:szCs w:val="20"/>
          <w:color w:val="auto"/>
        </w:rPr>
      </w:pPr>
    </w:p>
    <w:p>
      <w:pPr>
        <w:ind w:left="840" w:right="240" w:hanging="876"/>
        <w:spacing w:after="0" w:line="263" w:lineRule="auto"/>
        <w:tabs>
          <w:tab w:leader="none" w:pos="8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Loan Documents dated January 6, 2016 by and between Northern Technologies International Corporation from PNC Bank, National Association</w:t>
      </w:r>
    </w:p>
    <w:p>
      <w:pPr>
        <w:spacing w:after="0" w:line="184" w:lineRule="exact"/>
        <w:rPr>
          <w:sz w:val="20"/>
          <w:szCs w:val="20"/>
          <w:color w:val="auto"/>
        </w:rPr>
      </w:pPr>
    </w:p>
    <w:p>
      <w:pPr>
        <w:ind w:left="840" w:hanging="876"/>
        <w:spacing w:after="0" w:line="342" w:lineRule="auto"/>
        <w:tabs>
          <w:tab w:leader="none" w:pos="8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Letter Agreement effective as of January 11, 2017 between PNC Bank, National Association and Northern Technologies International Corporation</w:t>
      </w:r>
    </w:p>
    <w:p>
      <w:pPr>
        <w:spacing w:after="0" w:line="340" w:lineRule="exact"/>
        <w:rPr>
          <w:sz w:val="20"/>
          <w:szCs w:val="20"/>
          <w:color w:val="auto"/>
        </w:rPr>
      </w:pPr>
    </w:p>
    <w:p>
      <w:pPr>
        <w:ind w:left="840" w:hanging="876"/>
        <w:spacing w:after="0" w:line="342" w:lineRule="auto"/>
        <w:tabs>
          <w:tab w:leader="none" w:pos="8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Letter Agreement effective as of January 5, 2018 between PNC Bank, National Association and Northern Technologies International Corporation</w:t>
      </w:r>
    </w:p>
    <w:p>
      <w:pPr>
        <w:spacing w:after="0" w:line="340" w:lineRule="exact"/>
        <w:rPr>
          <w:sz w:val="20"/>
          <w:szCs w:val="20"/>
          <w:color w:val="auto"/>
        </w:rPr>
      </w:pPr>
    </w:p>
    <w:p>
      <w:pPr>
        <w:ind w:left="840" w:hanging="876"/>
        <w:spacing w:after="0" w:line="342" w:lineRule="auto"/>
        <w:tabs>
          <w:tab w:leader="none" w:pos="8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Letter Agreement effective as of January 8, 2019 between PNC Bank, National Association and Northern Technologies International Corporation</w:t>
      </w:r>
    </w:p>
    <w:p>
      <w:pPr>
        <w:spacing w:after="0" w:line="340" w:lineRule="exact"/>
        <w:rPr>
          <w:sz w:val="20"/>
          <w:szCs w:val="20"/>
          <w:color w:val="auto"/>
        </w:rPr>
      </w:pPr>
    </w:p>
    <w:p>
      <w:pPr>
        <w:ind w:left="840" w:hanging="876"/>
        <w:spacing w:after="0" w:line="342" w:lineRule="auto"/>
        <w:tabs>
          <w:tab w:leader="none" w:pos="8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Letter Agreement effective as of December 16, 2019 between PNC Bank, National Association and Northern Technologies International Corporation</w:t>
      </w:r>
    </w:p>
    <w:p>
      <w:pPr>
        <w:spacing w:after="0" w:line="340" w:lineRule="exact"/>
        <w:rPr>
          <w:sz w:val="20"/>
          <w:szCs w:val="20"/>
          <w:color w:val="auto"/>
        </w:rPr>
      </w:pPr>
    </w:p>
    <w:p>
      <w:pPr>
        <w:ind w:left="840" w:right="60" w:hanging="876"/>
        <w:spacing w:after="0" w:line="342" w:lineRule="auto"/>
        <w:tabs>
          <w:tab w:leader="none" w:pos="8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Purchase and Sale Agreement dated as of July 14, 2014 between Northern Technologies International Corporation and Glen Willow Holdings, LLC</w:t>
      </w:r>
    </w:p>
    <w:p>
      <w:pPr>
        <w:spacing w:after="0" w:line="340" w:lineRule="exact"/>
        <w:rPr>
          <w:sz w:val="20"/>
          <w:szCs w:val="20"/>
          <w:color w:val="auto"/>
        </w:rPr>
      </w:pPr>
    </w:p>
    <w:p>
      <w:pPr>
        <w:jc w:val="both"/>
        <w:ind w:left="840" w:right="280" w:hanging="876"/>
        <w:spacing w:after="0" w:line="263" w:lineRule="auto"/>
        <w:tabs>
          <w:tab w:leader="none" w:pos="8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Consulting Agreement dated January 11, 2017 by and among Northern Technologies International Corporation, BioPlastic Polymers LLC, and Ramani Narayan, Ph.D.</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63" w:lineRule="auto"/>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30, 2012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Report on Form 10-Q for the fiscal quarter ended February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28, 2014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Report on Form 10-Q for the fiscal quarter ended February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28, 2015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Report on Form 10-Q for the fiscal quarter ended February</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29, 2016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30, 2016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30, 2017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30, 2018 (File No. 001-11038)</w:t>
        </w:r>
      </w:hyperlink>
    </w:p>
    <w:p>
      <w:pPr>
        <w:spacing w:after="0" w:line="184" w:lineRule="exact"/>
        <w:rPr>
          <w:rFonts w:ascii="Arial" w:cs="Arial" w:eastAsia="Arial" w:hAnsi="Arial"/>
          <w:sz w:val="18"/>
          <w:szCs w:val="18"/>
          <w:u w:val="single" w:color="auto"/>
          <w:color w:val="0000EE"/>
        </w:rPr>
      </w:pPr>
    </w:p>
    <w:p>
      <w:pPr>
        <w:jc w:val="center"/>
        <w:spacing w:after="0" w:line="263" w:lineRule="auto"/>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Incorporated by reference to Exhibit 10.1 to NTIC’s Quarterly</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30, 2019 (File No. 001-11038)</w:t>
        </w:r>
      </w:hyperlink>
    </w:p>
    <w:p>
      <w:pPr>
        <w:spacing w:after="0" w:line="184" w:lineRule="exact"/>
        <w:rPr>
          <w:rFonts w:ascii="Arial" w:cs="Arial" w:eastAsia="Arial" w:hAnsi="Arial"/>
          <w:sz w:val="18"/>
          <w:szCs w:val="18"/>
          <w:u w:val="single" w:color="auto"/>
          <w:color w:val="0000EE"/>
        </w:rPr>
      </w:pPr>
    </w:p>
    <w:p>
      <w:pPr>
        <w:jc w:val="center"/>
        <w:spacing w:after="0" w:line="311" w:lineRule="auto"/>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Incorporated by reference to Exhibit 10.1 to NTIC’s Current</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Report on Form 8-K as filed with the Securities and</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Exchange Commission on July 15, 2014 (File No. 001-11038)</w:t>
        </w:r>
      </w:hyperlink>
    </w:p>
    <w:p>
      <w:pPr>
        <w:spacing w:after="0" w:line="149" w:lineRule="exact"/>
        <w:rPr>
          <w:rFonts w:ascii="Arial" w:cs="Arial" w:eastAsia="Arial" w:hAnsi="Arial"/>
          <w:sz w:val="16"/>
          <w:szCs w:val="16"/>
          <w:u w:val="single" w:color="auto"/>
          <w:color w:val="0000EE"/>
        </w:rPr>
      </w:pPr>
    </w:p>
    <w:p>
      <w:pPr>
        <w:jc w:val="center"/>
        <w:spacing w:after="0" w:line="263" w:lineRule="auto"/>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Incorporated by reference to Exhibit 10.2 to NTIC’s Quarterly</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Report on Form 10-Q for the fiscal quarter ended November</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30, 2016 (File No. 001-11038)</w:t>
        </w:r>
      </w:hyperlink>
    </w:p>
    <w:p>
      <w:pPr>
        <w:spacing w:after="0" w:line="184" w:lineRule="exact"/>
        <w:rPr>
          <w:rFonts w:ascii="Arial" w:cs="Arial" w:eastAsia="Arial" w:hAnsi="Arial"/>
          <w:sz w:val="18"/>
          <w:szCs w:val="18"/>
          <w:u w:val="single" w:color="auto"/>
          <w:color w:val="0000EE"/>
        </w:rPr>
      </w:pPr>
    </w:p>
    <w:p>
      <w:pPr>
        <w:jc w:val="center"/>
        <w:ind w:left="40"/>
        <w:spacing w:after="0" w:line="263" w:lineRule="auto"/>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Incorporated by reference to Exhibit 14.1 to NTIC’s Annual</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Report on Form 10-KSB for the fiscal year ended August 31,</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2004 (File No. 001-11038)</w:t>
        </w:r>
      </w:hyperlink>
    </w:p>
    <w:p>
      <w:pPr>
        <w:sectPr>
          <w:pgSz w:w="11900" w:h="16838" w:orient="portrait"/>
          <w:cols w:equalWidth="0" w:num="2">
            <w:col w:w="6240" w:space="340"/>
            <w:col w:w="4480"/>
          </w:cols>
          <w:pgMar w:left="500" w:top="827" w:right="339" w:bottom="1440" w:gutter="0" w:footer="0" w:header="0"/>
        </w:sectPr>
      </w:pPr>
    </w:p>
    <w:bookmarkStart w:id="88" w:name="page89"/>
    <w:bookmarkEnd w:id="88"/>
    <w:p>
      <w:pPr>
        <w:ind w:left="180"/>
        <w:spacing w:after="0"/>
        <w:tabs>
          <w:tab w:leader="none" w:pos="10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225"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Baker Tilly US, LLP</w:t>
      </w:r>
    </w:p>
    <w:p>
      <w:pPr>
        <w:spacing w:after="0" w:line="225" w:lineRule="exact"/>
        <w:rPr>
          <w:sz w:val="20"/>
          <w:szCs w:val="20"/>
          <w:color w:val="auto"/>
        </w:rPr>
      </w:pPr>
    </w:p>
    <w:p>
      <w:pPr>
        <w:ind w:left="1020" w:right="1220" w:hanging="831"/>
        <w:spacing w:after="0" w:line="263" w:lineRule="auto"/>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President and Chief Executive Officer Pursuant to SEC Rule 13a-14(a), as adopted pursuant to Section 302 of the Sarbanes-Oxley Act of 2002</w:t>
      </w:r>
    </w:p>
    <w:p>
      <w:pPr>
        <w:spacing w:after="0" w:line="184" w:lineRule="exact"/>
        <w:rPr>
          <w:sz w:val="20"/>
          <w:szCs w:val="20"/>
          <w:color w:val="auto"/>
        </w:rPr>
      </w:pPr>
    </w:p>
    <w:p>
      <w:pPr>
        <w:ind w:left="1020" w:right="1320" w:hanging="831"/>
        <w:spacing w:after="0" w:line="342" w:lineRule="auto"/>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 Rule 13a-14(a), as adopted pursuant to Section 302 of the Sarbanes-Oxley Act of 2002</w:t>
      </w:r>
    </w:p>
    <w:p>
      <w:pPr>
        <w:spacing w:after="0" w:line="124" w:lineRule="exact"/>
        <w:rPr>
          <w:sz w:val="20"/>
          <w:szCs w:val="20"/>
          <w:color w:val="auto"/>
        </w:rPr>
      </w:pPr>
    </w:p>
    <w:p>
      <w:pPr>
        <w:jc w:val="both"/>
        <w:ind w:left="1020" w:right="1200" w:hanging="831"/>
        <w:spacing w:after="0" w:line="263" w:lineRule="auto"/>
        <w:tabs>
          <w:tab w:leader="none" w:pos="10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President and Chief Executive Officer Pursuant to Rule 18 U.S.C. Section 1350, as adopted pursuant to Section 906 of the Sarbanes-Oxley Act of 2002</w:t>
      </w:r>
    </w:p>
    <w:p>
      <w:pPr>
        <w:spacing w:after="0" w:line="184" w:lineRule="exact"/>
        <w:rPr>
          <w:sz w:val="20"/>
          <w:szCs w:val="20"/>
          <w:color w:val="auto"/>
        </w:rPr>
      </w:pPr>
    </w:p>
    <w:p>
      <w:pPr>
        <w:ind w:left="1020" w:right="1360" w:hanging="831"/>
        <w:spacing w:after="0" w:line="263" w:lineRule="auto"/>
        <w:tabs>
          <w:tab w:leader="none" w:pos="10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Rule 18 U.S.C. Section 1350, as adopted pursuant to Section 906 of the Sarbanes-Oxley Act of 2002</w:t>
      </w:r>
    </w:p>
    <w:p>
      <w:pPr>
        <w:spacing w:after="0" w:line="184" w:lineRule="exact"/>
        <w:rPr>
          <w:sz w:val="20"/>
          <w:szCs w:val="20"/>
          <w:color w:val="auto"/>
        </w:rPr>
      </w:pPr>
    </w:p>
    <w:p>
      <w:pPr>
        <w:ind w:left="1020" w:right="1300" w:hanging="810"/>
        <w:spacing w:after="0" w:line="27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following materials from Northern Technologies International Corporation’s Annual Report on Form 10-K for the fiscal year ended August 31, 2020, formatted in XBRL (Extensible Business Reporting Language): (i) the Consolidated Balance Sheets, (ii) the Consolidated Statements of Operations, (iii) the Consolidated Statements of Comprehensive Income (Loss), (iv) the Consolidated Statements of Equity, (v) the Consolidated Statements of Cash Flows, and (vi)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Filed herewith</w:t>
        </w:r>
      </w:hyperlink>
    </w:p>
    <w:p>
      <w:pPr>
        <w:spacing w:after="0" w:line="225" w:lineRule="exact"/>
        <w:rPr>
          <w:sz w:val="20"/>
          <w:szCs w:val="20"/>
          <w:color w:val="auto"/>
        </w:rPr>
      </w:pPr>
    </w:p>
    <w:p>
      <w:pPr>
        <w:ind w:left="1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Filed herewith</w:t>
        </w:r>
      </w:hyperlink>
    </w:p>
    <w:p>
      <w:pPr>
        <w:spacing w:after="0" w:line="225" w:lineRule="exact"/>
        <w:rPr>
          <w:sz w:val="20"/>
          <w:szCs w:val="20"/>
          <w:color w:val="auto"/>
        </w:rPr>
      </w:pPr>
    </w:p>
    <w:p>
      <w:pPr>
        <w:ind w:left="18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Furnished herewith</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Furnished herewith</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580" w:space="720"/>
            <w:col w:w="1839"/>
          </w:cols>
          <w:pgMar w:left="320" w:top="827"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NORTHERN TECHNOLOGIES INTERNATIONAL</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CORPORATION</w:t>
            </w:r>
          </w:p>
        </w:tc>
      </w:tr>
      <w:tr>
        <w:trPr>
          <w:trHeight w:val="486"/>
        </w:trPr>
        <w:tc>
          <w:tcPr>
            <w:tcW w:w="5740" w:type="dxa"/>
            <w:vAlign w:val="bottom"/>
          </w:tcPr>
          <w:p>
            <w:pPr>
              <w:spacing w:after="0"/>
              <w:rPr>
                <w:sz w:val="20"/>
                <w:szCs w:val="20"/>
                <w:color w:val="auto"/>
              </w:rPr>
            </w:pPr>
            <w:r>
              <w:rPr>
                <w:rFonts w:ascii="Arial" w:cs="Arial" w:eastAsia="Arial" w:hAnsi="Arial"/>
                <w:sz w:val="18"/>
                <w:szCs w:val="18"/>
                <w:color w:val="auto"/>
              </w:rPr>
              <w:t>November 13, 2020</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G. Patrick Lynch</w:t>
            </w:r>
          </w:p>
        </w:tc>
      </w:tr>
      <w:tr>
        <w:trPr>
          <w:trHeight w:val="195"/>
        </w:trPr>
        <w:tc>
          <w:tcPr>
            <w:tcW w:w="574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G. Patrick Lynch</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8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Patrick Lynch</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President and Chief Executive Officer and 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G. Patrick Lynch</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 CPA</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Chief Financial Officer and Corporate Secretary</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Matthew C. Wolsfeld, CPA</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 Nigon</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Chairman of the Board</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Richard J. Nigon</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E. Calderon</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Nancy E. Calderon</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E. Kemp</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Sarah E. Kemp</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Soo Keong Koh</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Soo Keong Koh</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Sunggyu Lee, Ph.D.</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Sunggyu Lee, Ph.D.</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Ramani Narayan, Ph. D.</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Ramani Narayan, Ph.D.</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Konstantin von Falkenhausen</w:t>
            </w:r>
          </w:p>
        </w:tc>
        <w:tc>
          <w:tcPr>
            <w:tcW w:w="6180" w:type="dxa"/>
            <w:vAlign w:val="bottom"/>
            <w:gridSpan w:val="3"/>
          </w:tcPr>
          <w:p>
            <w:pPr>
              <w:ind w:left="900"/>
              <w:spacing w:after="0"/>
              <w:rPr>
                <w:sz w:val="20"/>
                <w:szCs w:val="20"/>
                <w:color w:val="auto"/>
              </w:rPr>
            </w:pPr>
            <w:r>
              <w:rPr>
                <w:rFonts w:ascii="Arial" w:cs="Arial" w:eastAsia="Arial" w:hAnsi="Arial"/>
                <w:sz w:val="18"/>
                <w:szCs w:val="18"/>
                <w:color w:val="auto"/>
              </w:rPr>
              <w:t>Director</w:t>
            </w:r>
          </w:p>
        </w:tc>
        <w:tc>
          <w:tcPr>
            <w:tcW w:w="1680" w:type="dxa"/>
            <w:vAlign w:val="bottom"/>
          </w:tcPr>
          <w:p>
            <w:pPr>
              <w:spacing w:after="0"/>
              <w:rPr>
                <w:sz w:val="20"/>
                <w:szCs w:val="20"/>
                <w:color w:val="auto"/>
              </w:rPr>
            </w:pPr>
            <w:r>
              <w:rPr>
                <w:rFonts w:ascii="Arial" w:cs="Arial" w:eastAsia="Arial" w:hAnsi="Arial"/>
                <w:sz w:val="18"/>
                <w:szCs w:val="18"/>
                <w:color w:val="auto"/>
              </w:rPr>
              <w:t>November 13,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Konstantin von Falkenhausen</w:t>
            </w:r>
          </w:p>
        </w:tc>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850"/>
        </w:trPr>
        <w:tc>
          <w:tcPr>
            <w:tcW w:w="3380" w:type="dxa"/>
            <w:vAlign w:val="bottom"/>
          </w:tcPr>
          <w:p>
            <w:pPr>
              <w:spacing w:after="0"/>
              <w:rPr>
                <w:sz w:val="24"/>
                <w:szCs w:val="24"/>
                <w:color w:val="auto"/>
              </w:rPr>
            </w:pPr>
          </w:p>
        </w:tc>
        <w:tc>
          <w:tcPr>
            <w:tcW w:w="5300" w:type="dxa"/>
            <w:vAlign w:val="bottom"/>
            <w:gridSpan w:val="2"/>
          </w:tcPr>
          <w:p>
            <w:pPr>
              <w:jc w:val="right"/>
              <w:ind w:right="2870"/>
              <w:spacing w:after="0"/>
              <w:rPr>
                <w:sz w:val="20"/>
                <w:szCs w:val="20"/>
                <w:color w:val="auto"/>
              </w:rPr>
            </w:pPr>
            <w:r>
              <w:rPr>
                <w:rFonts w:ascii="Arial" w:cs="Arial" w:eastAsia="Arial" w:hAnsi="Arial"/>
                <w:sz w:val="18"/>
                <w:szCs w:val="18"/>
                <w:color w:val="auto"/>
              </w:rPr>
              <w:t>86</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4"/>
        </w:trPr>
        <w:tc>
          <w:tcPr>
            <w:tcW w:w="3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68"/>
        </w:trPr>
        <w:tc>
          <w:tcPr>
            <w:tcW w:w="33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4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NORTHERN TECHNOLOGIES INTERNATIONAL CORPORATION DESCRIPTION OF SECURITIES REGISTERED PURSUANT TO SECTION 12 OF THE SECURITIES EXCHANGE ACT OF 1934</w:t>
      </w:r>
    </w:p>
    <w:p>
      <w:pPr>
        <w:spacing w:after="0" w:line="1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Northern Technologies International Corporation, a Delaware corporation (referred to as NTIC, we, us and our), has only one class of securities registered under Section 12 of the Securities Exchange Act of 1934, as amended: common stock, par value $0.02 per share (common stock).</w:t>
      </w:r>
    </w:p>
    <w:p>
      <w:pPr>
        <w:spacing w:after="0" w:line="14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following description of our common stock is a summary and does not purport to be complete. It is subject to and qualified in its entirety by reference to our Restated Certificate of Incorporation, as amended (Charter), and our Amended and Restated Bylaws (Bylaws), which are filed as exhibits to our Annual Report on Form 10-K for the fiscal year ended August 31, 2020 and are incorporated by reference herein. We encourage you to read our Charter, our Bylaws and the applicable provisions of the General Corporation Law of the State of Delaware (DGCL)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Charter authorizes the issuance of up to 15,010,000 shares of capital stock, consisting of:</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15,000,000 shares of common stock;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10,000 shares of preferred stock, no par value per share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2020, we had 9,099,990 shares of common stock outstanding and no preferred stock outstanding.</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may amend from time to time our Charter to increase the number of authorized shares of common stock or preferred stock. Any such amendment would require the approval of the holders of a majority of the voting power of the shares entitled to vote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Each holder of our common stock is entitled to one vote per share registered in the holder’s name on our books on all matters submitted to a vote of stockholders. Our common stock does not have cumulative voting rights. Our Bylaws provide that, in all matters, other than the election of directors and except as otherwise required by law, the Charter, or the Bylaws, the affirmative vote of a majority of the voting power of the shares present or represented by proxy at the meeting and entitled to vote on the subject matter shall be the act of the stockholders. Directors shall be elected by a plurality of the voting power of the shares present in person or represented by proxy at the meeting and entitled to vote on the election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applicable law and the rights, if any, of the holders of outstanding shares of any series of preferred stock we may designate and issue in the future, holders of our common stock are entitled to receive ratably the dividends, if any, at such times and in such amounts as may be declared by the Board. Dividends may be paid in cash, in property, or in shares of the capital stock, subject to the provisions of the Charter. Before payment of any dividend, there may be set aside out of any funds of NTIC available for dividends such sum or sums as the directors from time to time, in their absolute discretion, think proper as a reserve or reserves to meet contingencies, or for equalizing dividends, or for repairing or maintaining any property of NTIC, or for such other purpose as the directors think is in the best interest of NTIC, and the directors may modify or abolish any such reserve in the manner in which it was created.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there is a liquidation, dissolution or winding up of NTIC, subject to applicable law and the rights, if any, of the holders of outstanding shares of any series of preferred stock we may designate and issue in the future, holders of our common stock are entitled to share ratably in all the assets that remain after we pay our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Holders of our common stock do not have preemptive or subscription rights, and they have no right to convert their common stock into any other securities, and there are no redemption or sinking fund provisions applicable to our common stock. The rights, preferences, and privileges of common stockholders are subject to the rights of the stockholders of any series of preferred stock which we may designate in the future. Our Charter and Bylaws do not restrict the ability of a holder of common stock to transfer his or her shares of common stock. All currently outstanding shares of our common stock are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Broadridge Financial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“NTIC.”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our Charter and Bylaws and the DGCL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Charter and Bylaws and the DGCL contain provisions that may have the anti-takeover effect of delaying, deferring or preventing a change in control of NTIC.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and Bylaws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Charter and Bylaws contain the following anti-takeover provisions that may have the anti-takeover effect of delaying, deferring or preventing a change in control of NTIC:</w:t>
      </w:r>
    </w:p>
    <w:p>
      <w:pPr>
        <w:spacing w:after="0" w:line="170" w:lineRule="exact"/>
        <w:rPr>
          <w:sz w:val="20"/>
          <w:szCs w:val="20"/>
          <w:color w:val="auto"/>
        </w:rPr>
      </w:pPr>
    </w:p>
    <w:p>
      <w:pPr>
        <w:ind w:left="660" w:right="180" w:hanging="328"/>
        <w:spacing w:after="0" w:line="27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have shares of common stock and preferred stock available for future issuance without stockholder approval. The existence of unissued and unreserved common stock and preferred stock may enable the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w:t>
      </w:r>
    </w:p>
    <w:p>
      <w:pPr>
        <w:spacing w:after="0" w:line="171"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of Directors may adopt, amend or repeal our Bylaws, subject to the reserved power of the stockholders to adopt, amend or repeal our Bylaws.</w:t>
      </w:r>
    </w:p>
    <w:p>
      <w:pPr>
        <w:spacing w:after="0" w:line="170"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Special meetings of our stockholders may be called only by our Chairman of the Board, Chief Executive Officer or President at the request in writing of stockholders owning a majority in the amount of the entire capital stock of NTIC issued and outstanding and entitled to vote.</w:t>
      </w:r>
    </w:p>
    <w:p>
      <w:pPr>
        <w:spacing w:after="0" w:line="123" w:lineRule="exact"/>
        <w:rPr>
          <w:rFonts w:ascii="Arial" w:cs="Arial" w:eastAsia="Arial" w:hAnsi="Arial"/>
          <w:sz w:val="16"/>
          <w:szCs w:val="16"/>
          <w:color w:val="auto"/>
        </w:rPr>
      </w:pPr>
    </w:p>
    <w:p>
      <w:pPr>
        <w:ind w:left="660" w:right="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Stockholders must follow advance notice procedures to submit proposals for business to be brought before an annual meeting of stockholders. Additionally, stockholders must follow advance notice procedures to propose nominees for election to our Board of Directors at an annual meeting of stockholders.</w:t>
      </w:r>
    </w:p>
    <w:p>
      <w:pPr>
        <w:spacing w:after="0" w:line="183"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the rights, if any, of the holders of any series of preferred stock then outstanding, vacancies and newly created directorships resulting from any increase in the authorized number of directors may be filled by a majority of the directors then in office though less than a quorum, and each director so chosen shall hold office until the next annual election or until a successor is duly elected and qualified or until his or her earlier death, resignation or removal as hereinafter provided.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 Delaware corporation and are subject to Section 203 of the DGCL, known as the Delaware Business Combination Statute. In general, Section 203 of the DGCL prohibits a publicly-held Delaware corporation from engaging in a “business combination” with an “interested stockholder” for a period of three years following the time at which the stockholder became an interested stockholder, unless:</w:t>
      </w:r>
    </w:p>
    <w:p>
      <w:pPr>
        <w:spacing w:after="0" w:line="184" w:lineRule="exact"/>
        <w:rPr>
          <w:sz w:val="20"/>
          <w:szCs w:val="20"/>
          <w:color w:val="auto"/>
        </w:rPr>
      </w:pPr>
    </w:p>
    <w:p>
      <w:pPr>
        <w:ind w:left="660" w:right="7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time the stockholder became an interested stockholder, the board of directors of the corporation approved either the business combination or the transaction that resulted in the stockholder becoming an interested stockholder;</w:t>
      </w:r>
    </w:p>
    <w:p>
      <w:pPr>
        <w:spacing w:after="0" w:line="156"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the stockholder by the affirmative vote of at least two-thirds of the outstanding voting stock that is not owned by the interested stockholder.</w:t>
      </w:r>
    </w:p>
    <w:p>
      <w:pPr>
        <w:spacing w:after="0" w:line="11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Generally, for purposes of the Delaware Business Combination Statute, a “business combination” includes a merger, asset or stock sale or other transaction resulting in a financial benefit to the interested stockholder, and an “interested stockholder” is a person who owns, individually or through other persons, 15% or more of the corporation’s outstanding voting stock at any time within the three-year period immediately before the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2"/>
          </w:tcPr>
          <w:p>
            <w:pPr>
              <w:ind w:left="112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3880" w:type="dxa"/>
            <w:vAlign w:val="bottom"/>
            <w:gridSpan w:val="3"/>
          </w:tcPr>
          <w:p>
            <w:pPr>
              <w:ind w:left="280"/>
              <w:spacing w:after="0"/>
              <w:rPr>
                <w:sz w:val="20"/>
                <w:szCs w:val="20"/>
                <w:color w:val="auto"/>
              </w:rPr>
            </w:pPr>
            <w:r>
              <w:rPr>
                <w:rFonts w:ascii="Arial" w:cs="Arial" w:eastAsia="Arial" w:hAnsi="Arial"/>
                <w:sz w:val="18"/>
                <w:szCs w:val="18"/>
                <w:b w:val="1"/>
                <w:bCs w:val="1"/>
                <w:color w:val="auto"/>
              </w:rPr>
              <w:t>SUBSIDIARIES OF THE REGISTRANT</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State or Other</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Jurisdiction of</w:t>
            </w:r>
          </w:p>
        </w:tc>
        <w:tc>
          <w:tcPr>
            <w:tcW w:w="1580" w:type="dxa"/>
            <w:vAlign w:val="bottom"/>
          </w:tcPr>
          <w:p>
            <w:pPr>
              <w:spacing w:after="0"/>
              <w:rPr>
                <w:sz w:val="18"/>
                <w:szCs w:val="18"/>
                <w:color w:val="auto"/>
              </w:rPr>
            </w:pPr>
          </w:p>
        </w:tc>
        <w:tc>
          <w:tcPr>
            <w:tcW w:w="20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Names Under Which</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Incorporation or</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0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7"/>
              </w:rPr>
              <w:t>Subsidiary Does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Name of Subsidiary</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Organization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0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NTI ASEAN LLC</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Delaware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9"/>
              </w:rPr>
              <w:t>Northern Technologies Holding Company, LLC</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Delaware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India</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Natur Tec Lanka (Pvt) Ltd</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80" w:type="dxa"/>
            <w:vAlign w:val="bottom"/>
            <w:shd w:val="clear" w:color="auto" w:fill="CCEEFF"/>
          </w:tcPr>
          <w:p>
            <w:pPr>
              <w:jc w:val="center"/>
              <w:ind w:right="90"/>
              <w:spacing w:after="0" w:line="256" w:lineRule="exact"/>
              <w:rPr>
                <w:sz w:val="20"/>
                <w:szCs w:val="20"/>
                <w:color w:val="auto"/>
              </w:rPr>
            </w:pPr>
            <w:r>
              <w:rPr>
                <w:rFonts w:ascii="Arial" w:cs="Arial" w:eastAsia="Arial" w:hAnsi="Arial"/>
                <w:sz w:val="18"/>
                <w:szCs w:val="18"/>
                <w:color w:val="auto"/>
                <w:w w:val="88"/>
              </w:rPr>
              <w:t>Sri Lanka</w:t>
            </w:r>
            <w:r>
              <w:rPr>
                <w:rFonts w:ascii="Arial" w:cs="Arial" w:eastAsia="Arial" w:hAnsi="Arial"/>
                <w:sz w:val="29"/>
                <w:szCs w:val="29"/>
                <w:color w:val="auto"/>
                <w:w w:val="88"/>
                <w:vertAlign w:val="superscript"/>
              </w:rPr>
              <w:t>(1)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7"/>
              </w:rPr>
              <w:t>Brazil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China</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ZERUST-EXCOR MEXICO, S. de R.L. de C.V</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8"/>
              </w:rPr>
              <w:t>Mexico</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Germany</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80" w:type="dxa"/>
            <w:vAlign w:val="bottom"/>
            <w:shd w:val="clear" w:color="auto" w:fill="CCEEFF"/>
          </w:tcPr>
          <w:p>
            <w:pPr>
              <w:jc w:val="center"/>
              <w:ind w:right="90"/>
              <w:spacing w:after="0" w:line="256" w:lineRule="exact"/>
              <w:rPr>
                <w:sz w:val="20"/>
                <w:szCs w:val="20"/>
                <w:color w:val="auto"/>
              </w:rPr>
            </w:pPr>
            <w:r>
              <w:rPr>
                <w:rFonts w:ascii="Arial" w:cs="Arial" w:eastAsia="Arial" w:hAnsi="Arial"/>
                <w:sz w:val="18"/>
                <w:szCs w:val="18"/>
                <w:color w:val="auto"/>
                <w:w w:val="87"/>
              </w:rPr>
              <w:t>Singapore</w:t>
            </w:r>
            <w:r>
              <w:rPr>
                <w:rFonts w:ascii="Arial" w:cs="Arial" w:eastAsia="Arial" w:hAnsi="Arial"/>
                <w:sz w:val="29"/>
                <w:szCs w:val="29"/>
                <w:color w:val="auto"/>
                <w:w w:val="87"/>
                <w:vertAlign w:val="superscript"/>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Zerust Vietnam Co. Ltd</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80" w:type="dxa"/>
            <w:vAlign w:val="bottom"/>
            <w:shd w:val="clear" w:color="auto" w:fill="CCEEFF"/>
          </w:tcPr>
          <w:p>
            <w:pPr>
              <w:jc w:val="center"/>
              <w:ind w:right="70"/>
              <w:spacing w:after="0" w:line="256" w:lineRule="exact"/>
              <w:rPr>
                <w:sz w:val="20"/>
                <w:szCs w:val="20"/>
                <w:color w:val="auto"/>
              </w:rPr>
            </w:pPr>
            <w:r>
              <w:rPr>
                <w:rFonts w:ascii="Arial" w:cs="Arial" w:eastAsia="Arial" w:hAnsi="Arial"/>
                <w:sz w:val="18"/>
                <w:szCs w:val="18"/>
                <w:color w:val="auto"/>
                <w:w w:val="86"/>
              </w:rPr>
              <w:t>Vietnam</w:t>
            </w:r>
            <w:r>
              <w:rPr>
                <w:rFonts w:ascii="Arial" w:cs="Arial" w:eastAsia="Arial" w:hAnsi="Arial"/>
                <w:sz w:val="29"/>
                <w:szCs w:val="29"/>
                <w:color w:val="auto"/>
                <w:w w:val="86"/>
                <w:vertAlign w:val="superscript"/>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4"/>
              </w:rPr>
              <w:t>Same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380" w:hanging="912"/>
        <w:spacing w:after="0" w:line="194" w:lineRule="auto"/>
        <w:tabs>
          <w:tab w:leader="none" w:pos="9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Natur Tec Lanka (Pvt) Ltd. is 100% owned by Natur-Tec India Private Limited and, therefore, indirectly owned by Northern Technologies International Corporation.</w:t>
      </w:r>
    </w:p>
    <w:p>
      <w:pPr>
        <w:ind w:left="920" w:right="500" w:hanging="912"/>
        <w:spacing w:after="0" w:line="187" w:lineRule="auto"/>
        <w:tabs>
          <w:tab w:leader="none" w:pos="9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Zerust Singapore Pte Ltd and Zerust Vietnam Co. Ltd are 100% owned by NTI Asean LLC and, therefore, indirectly owned by Northern Technologies International Corporation.</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S-8 (File Nos. 333-140244, 333-140245, 333-171828, and 333-229391) of Northern Technologies International Corporation and Subsidiaries of our report dated November 13, 2020, relating to the consolidated financial statements, which appears on page 50 of this annual report on Form 10-K for the fiscal year ended August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2020</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20" w:firstLine="1"/>
        <w:spacing w:after="0" w:line="263" w:lineRule="auto"/>
        <w:tabs>
          <w:tab w:leader="none" w:pos="11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40" w:firstLine="1"/>
        <w:spacing w:after="0" w:line="263" w:lineRule="auto"/>
        <w:tabs>
          <w:tab w:leader="none" w:pos="12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right="340" w:firstLine="1"/>
        <w:spacing w:after="0" w:line="342" w:lineRule="auto"/>
        <w:tabs>
          <w:tab w:leader="none" w:pos="11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80" w:right="300" w:firstLine="1"/>
        <w:spacing w:after="0" w:line="263" w:lineRule="auto"/>
        <w:tabs>
          <w:tab w:leader="none" w:pos="12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80" w:right="580" w:firstLine="1"/>
        <w:spacing w:after="0" w:line="308" w:lineRule="auto"/>
        <w:tabs>
          <w:tab w:leader="none" w:pos="1185"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80" w:right="260" w:firstLine="1"/>
        <w:spacing w:after="0" w:line="277" w:lineRule="auto"/>
        <w:tabs>
          <w:tab w:leader="none" w:pos="11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-121920</wp:posOffset>
            </wp:positionV>
            <wp:extent cx="1868805" cy="351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1868805" cy="351155"/>
                    </a:xfrm>
                    <a:prstGeom prst="rect">
                      <a:avLst/>
                    </a:prstGeom>
                    <a:noFill/>
                  </pic:spPr>
                </pic:pic>
              </a:graphicData>
            </a:graphic>
          </wp:anchor>
        </w:drawing>
      </w:r>
    </w:p>
    <w:p>
      <w:pPr>
        <w:spacing w:after="0" w:line="34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20" w:firstLine="1"/>
        <w:spacing w:after="0" w:line="263" w:lineRule="auto"/>
        <w:tabs>
          <w:tab w:leader="none" w:pos="11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40" w:firstLine="1"/>
        <w:spacing w:after="0" w:line="263"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right="340" w:firstLine="1"/>
        <w:spacing w:after="0" w:line="342" w:lineRule="auto"/>
        <w:tabs>
          <w:tab w:leader="none" w:pos="1194"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80" w:right="300" w:firstLine="1"/>
        <w:spacing w:after="0" w:line="263"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80" w:right="560" w:firstLine="1"/>
        <w:spacing w:after="0" w:line="308" w:lineRule="auto"/>
        <w:tabs>
          <w:tab w:leader="none" w:pos="119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80" w:right="260" w:firstLine="1"/>
        <w:spacing w:after="0" w:line="277" w:lineRule="auto"/>
        <w:tabs>
          <w:tab w:leader="none" w:pos="11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-121920</wp:posOffset>
            </wp:positionV>
            <wp:extent cx="1543050" cy="480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1543050" cy="4800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2020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240" w:hanging="944"/>
        <w:spacing w:after="0" w:line="277"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6640" w:hanging="220"/>
        <w:spacing w:after="0"/>
        <w:tabs>
          <w:tab w:leader="none" w:pos="6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-481965</wp:posOffset>
            </wp:positionV>
            <wp:extent cx="3060065" cy="3600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3060065" cy="36004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2020</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2020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240" w:hanging="944"/>
        <w:spacing w:after="0" w:line="277" w:lineRule="auto"/>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254635</wp:posOffset>
            </wp:positionV>
            <wp:extent cx="1543050" cy="480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154305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upperLetter"/>
      <w:start w:val="35"/>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2"/>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6"/>
    </w:lvl>
  </w:abstractNum>
  <w:abstractNum w:abstractNumId="21">
    <w:nsid w:val="4516DDE9"/>
    <w:multiLevelType w:val="hybridMultilevel"/>
    <w:lvl w:ilvl="0">
      <w:lvlJc w:val="left"/>
      <w:lvlText w:val="%1."/>
      <w:numFmt w:val="decimal"/>
      <w:start w:val="7"/>
    </w:lvl>
  </w:abstractNum>
  <w:abstractNum w:abstractNumId="22">
    <w:nsid w:val="3006C83E"/>
    <w:multiLevelType w:val="hybridMultilevel"/>
    <w:lvl w:ilvl="0">
      <w:lvlJc w:val="left"/>
      <w:lvlText w:val="%1."/>
      <w:numFmt w:val="decimal"/>
      <w:start w:val="8"/>
    </w:lvl>
  </w:abstractNum>
  <w:abstractNum w:abstractNumId="23">
    <w:nsid w:val="614FD4A1"/>
    <w:multiLevelType w:val="hybridMultilevel"/>
    <w:lvl w:ilvl="0">
      <w:lvlJc w:val="left"/>
      <w:lvlText w:val="%1."/>
      <w:numFmt w:val="decimal"/>
      <w:start w:val="9"/>
    </w:lvl>
  </w:abstractNum>
  <w:abstractNum w:abstractNumId="24">
    <w:nsid w:val="419AC241"/>
    <w:multiLevelType w:val="hybridMultilevel"/>
    <w:lvl w:ilvl="0">
      <w:lvlJc w:val="left"/>
      <w:lvlText w:val="%1."/>
      <w:numFmt w:val="decimal"/>
      <w:start w:val="10"/>
    </w:lvl>
  </w:abstractNum>
  <w:abstractNum w:abstractNumId="25">
    <w:nsid w:val="5577F8E1"/>
    <w:multiLevelType w:val="hybridMultilevel"/>
    <w:lvl w:ilvl="0">
      <w:lvlJc w:val="left"/>
      <w:lvlText w:val="%1."/>
      <w:numFmt w:val="decimal"/>
      <w:start w:val="11"/>
    </w:lvl>
  </w:abstractNum>
  <w:abstractNum w:abstractNumId="26">
    <w:nsid w:val="440BADFC"/>
    <w:multiLevelType w:val="hybridMultilevel"/>
    <w:lvl w:ilvl="0">
      <w:lvlJc w:val="left"/>
      <w:lvlText w:val="%1."/>
      <w:numFmt w:val="decimal"/>
      <w:start w:val="12"/>
    </w:lvl>
  </w:abstractNum>
  <w:abstractNum w:abstractNumId="27">
    <w:nsid w:val="5072367"/>
    <w:multiLevelType w:val="hybridMultilevel"/>
    <w:lvl w:ilvl="0">
      <w:lvlJc w:val="left"/>
      <w:lvlText w:val="%1."/>
      <w:numFmt w:val="decimal"/>
      <w:start w:val="13"/>
    </w:lvl>
  </w:abstractNum>
  <w:abstractNum w:abstractNumId="28">
    <w:nsid w:val="3804823E"/>
    <w:multiLevelType w:val="hybridMultilevel"/>
    <w:lvl w:ilvl="0">
      <w:lvlJc w:val="left"/>
      <w:lvlText w:val="%1."/>
      <w:numFmt w:val="decimal"/>
      <w:start w:val="14"/>
    </w:lvl>
  </w:abstractNum>
  <w:abstractNum w:abstractNumId="29">
    <w:nsid w:val="77465F01"/>
    <w:multiLevelType w:val="hybridMultilevel"/>
    <w:lvl w:ilvl="0">
      <w:lvlJc w:val="left"/>
      <w:lvlText w:val="%1."/>
      <w:numFmt w:val="decimal"/>
      <w:start w:val="15"/>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6"/>
    </w:lvl>
  </w:abstractNum>
  <w:abstractNum w:abstractNumId="32">
    <w:nsid w:val="2463B9EA"/>
    <w:multiLevelType w:val="hybridMultilevel"/>
    <w:lvl w:ilvl="0">
      <w:lvlJc w:val="left"/>
      <w:lvlText w:val="(%1)"/>
      <w:numFmt w:val="lowerRoman"/>
      <w:start w:val="3"/>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0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upperLetter"/>
      <w:start w:val="7"/>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2" Type="http://schemas.openxmlformats.org/officeDocument/2006/relationships/image" Target="media/image91.png"/><Relationship Id="rId112" Type="http://schemas.openxmlformats.org/officeDocument/2006/relationships/image" Target="media/image92.png"/><Relationship Id="rId123"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jpeg"/><Relationship Id="rId140" Type="http://schemas.openxmlformats.org/officeDocument/2006/relationships/image" Target="media/image99.png"/><Relationship Id="rId141" Type="http://schemas.openxmlformats.org/officeDocument/2006/relationships/image" Target="media/image100.jpe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jpeg"/><Relationship Id="rId145" Type="http://schemas.openxmlformats.org/officeDocument/2006/relationships/image" Target="media/image104.png"/><Relationship Id="rId98" Type="http://schemas.openxmlformats.org/officeDocument/2006/relationships/hyperlink" Target="https://www.sec.gov/Archives/edgar/data/875582/000110465909023948/a09-9916_1ex3d1.htm" TargetMode="External"/><Relationship Id="rId99" Type="http://schemas.openxmlformats.org/officeDocument/2006/relationships/hyperlink" Target="https://www.sec.gov/Archives/edgar/data/875582/000117184318000379/exh_31.htm" TargetMode="External"/><Relationship Id="rId100" Type="http://schemas.openxmlformats.org/officeDocument/2006/relationships/hyperlink" Target="https://www.sec.gov/Archives/edgar/data/875582/000117184319000517/exh_31.htm" TargetMode="External"/><Relationship Id="rId101" Type="http://schemas.openxmlformats.org/officeDocument/2006/relationships/hyperlink" Target="https://www.sec.gov/Archives/edgar/data/875582/000110465908072542/a08-29098_1ex3d1.htm" TargetMode="External"/><Relationship Id="rId103" Type="http://schemas.openxmlformats.org/officeDocument/2006/relationships/hyperlink" Target="https://www.sec.gov/Archives/edgar/data/875582/000117184319000517/exh_101.htm" TargetMode="External"/><Relationship Id="rId104" Type="http://schemas.openxmlformats.org/officeDocument/2006/relationships/hyperlink" Target="https://www.sec.gov/Archives/edgar/data/875582/000117184319000517/exh_102.htm" TargetMode="External"/><Relationship Id="rId105" Type="http://schemas.openxmlformats.org/officeDocument/2006/relationships/hyperlink" Target="https://www.sec.gov/Archives/edgar/data/875582/000117184319000517/exh_103.htm" TargetMode="External"/><Relationship Id="rId106" Type="http://schemas.openxmlformats.org/officeDocument/2006/relationships/hyperlink" Target="https://www.sec.gov/Archives/edgar/data/875582/000110465911002506/a11-4417_1ex10d1.htm" TargetMode="External"/><Relationship Id="rId107" Type="http://schemas.openxmlformats.org/officeDocument/2006/relationships/hyperlink" Target="https://www.sec.gov/Archives/edgar/data/875582/000110465911002506/a11-4417_1ex10d2.htm" TargetMode="External"/><Relationship Id="rId108" Type="http://schemas.openxmlformats.org/officeDocument/2006/relationships/hyperlink" Target="https://www.sec.gov/Archives/edgar/data/875582/000110465911002506/a11-4417_1ex10d3.htm" TargetMode="External"/><Relationship Id="rId109" Type="http://schemas.openxmlformats.org/officeDocument/2006/relationships/hyperlink" Target="https://www.sec.gov/Archives/edgar/data/875582/000110465911002506/a11-4417_1ex10d4.htm" TargetMode="External"/><Relationship Id="rId110" Type="http://schemas.openxmlformats.org/officeDocument/2006/relationships/hyperlink" Target="https://www.sec.gov/Archives/edgar/data/875582/000120677406002384/nt110590ex1011.htm" TargetMode="External"/><Relationship Id="rId111" Type="http://schemas.openxmlformats.org/officeDocument/2006/relationships/hyperlink" Target="https://www.sec.gov/Archives/edgar/data/875582/000117184315006334/exh_106.htm" TargetMode="External"/><Relationship Id="rId113" Type="http://schemas.openxmlformats.org/officeDocument/2006/relationships/hyperlink" Target="https://www.sec.gov/Archives/edgar/data/875582/000117184319006706/exh_101.htm" TargetMode="External"/><Relationship Id="rId114" Type="http://schemas.openxmlformats.org/officeDocument/2006/relationships/hyperlink" Target="https://www.sec.gov/Archives/edgar/data/875582/000110465909043033/a09-18139_1ex10d2.htm" TargetMode="External"/><Relationship Id="rId115" Type="http://schemas.openxmlformats.org/officeDocument/2006/relationships/hyperlink" Target="https://www.sec.gov/Archives/edgar/data/875582/000117184318007912/exh_109.htm" TargetMode="External"/><Relationship Id="rId116" Type="http://schemas.openxmlformats.org/officeDocument/2006/relationships/hyperlink" Target="https://www.sec.gov/Archives/edgar/data/875582/000117184311003555/exh_1013.htm" TargetMode="External"/><Relationship Id="rId117" Type="http://schemas.openxmlformats.org/officeDocument/2006/relationships/hyperlink" Target="https://www.sec.gov/Archives/edgar/data/875582/000117184311003555/exh_1014.htm" TargetMode="External"/><Relationship Id="rId118" Type="http://schemas.openxmlformats.org/officeDocument/2006/relationships/hyperlink" Target="https://www.sec.gov/Archives/edgar/data/875582/000117184311003555/exh_1015.htm" TargetMode="External"/><Relationship Id="rId119" Type="http://schemas.openxmlformats.org/officeDocument/2006/relationships/hyperlink" Target="https://www.sec.gov/Archives/edgar/data/875582/000117184311003555/exh_1016.htm" TargetMode="External"/><Relationship Id="rId120" Type="http://schemas.openxmlformats.org/officeDocument/2006/relationships/hyperlink" Target="https://www.sec.gov/Archives/edgar/data/875582/000110465911001232/a11-3475_1ex10d2.htm" TargetMode="External"/><Relationship Id="rId121" Type="http://schemas.openxmlformats.org/officeDocument/2006/relationships/hyperlink" Target="https://www.sec.gov/Archives/edgar/data/875582/000110465911001232/a11-3475_1ex10d6.htm" TargetMode="External"/><Relationship Id="rId122" Type="http://schemas.openxmlformats.org/officeDocument/2006/relationships/hyperlink" Target="https://www.sec.gov/Archives/edgar/data/875582/000117184312000110/exh_106.htm" TargetMode="External"/><Relationship Id="rId124" Type="http://schemas.openxmlformats.org/officeDocument/2006/relationships/hyperlink" Target="https://www.sec.gov/Archives/edgar/data/875582/000117184313000136/exh_101.htm" TargetMode="External"/><Relationship Id="rId125" Type="http://schemas.openxmlformats.org/officeDocument/2006/relationships/hyperlink" Target="https://www.sec.gov/Archives/edgar/data/875582/000117184314001659/exh_101.htm" TargetMode="External"/><Relationship Id="rId126" Type="http://schemas.openxmlformats.org/officeDocument/2006/relationships/hyperlink" Target="https://www.sec.gov/Archives/edgar/data/875582/000117184315001899/exh_101.htm" TargetMode="External"/><Relationship Id="rId127" Type="http://schemas.openxmlformats.org/officeDocument/2006/relationships/hyperlink" Target="https://www.sec.gov/Archives/edgar/data/875582/000117184316009098/exh_101.htm" TargetMode="External"/><Relationship Id="rId128" Type="http://schemas.openxmlformats.org/officeDocument/2006/relationships/hyperlink" Target="https://www.sec.gov/Archives/edgar/data/875582/000117184317000251/exh_101.htm" TargetMode="External"/><Relationship Id="rId129" Type="http://schemas.openxmlformats.org/officeDocument/2006/relationships/hyperlink" Target="https://www.sec.gov/Archives/edgar/data/875582/000117184318000341/exh_101.htm" TargetMode="External"/><Relationship Id="rId130" Type="http://schemas.openxmlformats.org/officeDocument/2006/relationships/hyperlink" Target="https://www.sec.gov/Archives/edgar/data/875582/000117184319000202/exh_101.htm" TargetMode="External"/><Relationship Id="rId131" Type="http://schemas.openxmlformats.org/officeDocument/2006/relationships/hyperlink" Target="https://www.sec.gov/Archives/edgar/data/875582/000117184320000112/exh_101.htm" TargetMode="External"/><Relationship Id="rId132" Type="http://schemas.openxmlformats.org/officeDocument/2006/relationships/hyperlink" Target="https://www.sec.gov/Archives/edgar/data/875582/000117184314003246/exh_101.htm" TargetMode="External"/><Relationship Id="rId133" Type="http://schemas.openxmlformats.org/officeDocument/2006/relationships/hyperlink" Target="https://www.sec.gov/Archives/edgar/data/875582/000117184317000251/exh_102.htm" TargetMode="External"/><Relationship Id="rId134" Type="http://schemas.openxmlformats.org/officeDocument/2006/relationships/hyperlink" Target="https://www.sec.gov/Archives/edgar/data/875582/000120677404001691/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2020-11-13T16:29:52Z</dcterms:created>
  <dcterms:modified xsi:type="dcterms:W3CDTF">2020-11-13T16:29:52Z</dcterms:modified>
</cp:coreProperties>
</file>