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November 30, 2016</w:t>
      </w:r>
    </w:p>
    <w:p>
      <w:pPr>
        <w:spacing w:after="0" w:line="225" w:lineRule="exact"/>
        <w:rPr>
          <w:sz w:val="24"/>
          <w:szCs w:val="24"/>
          <w:color w:val="auto"/>
        </w:rPr>
      </w:pPr>
    </w:p>
    <w:p>
      <w:pPr>
        <w:ind w:left="2960" w:right="2000" w:hanging="2952"/>
        <w:spacing w:after="0" w:line="530" w:lineRule="auto"/>
        <w:tabs>
          <w:tab w:leader="none" w:pos="221"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 to __________________.</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83" w:right="279" w:bottom="1440" w:gutter="0" w:footer="0" w:header="0"/>
        </w:sectPr>
      </w:pPr>
    </w:p>
    <w:p>
      <w:pPr>
        <w:spacing w:after="0" w:line="20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780" w:space="720"/>
            <w:col w:w="3880"/>
          </w:cols>
          <w:pgMar w:left="240" w:top="283" w:right="27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83" w:right="279" w:bottom="1440" w:gutter="0" w:footer="0" w:header="0"/>
          <w:type w:val="continuous"/>
        </w:sectPr>
      </w:pP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(Do not check if a 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3">
            <w:col w:w="7060" w:space="720"/>
            <w:col w:w="1960" w:space="100"/>
            <w:col w:w="1540"/>
          </w:cols>
          <w:pgMar w:left="240" w:top="283" w:right="279" w:bottom="1440" w:gutter="0" w:footer="0" w:header="0"/>
          <w:type w:val="continuous"/>
        </w:sect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12, 2017, there were 4,524,970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283"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5"/>
          </w:tcPr>
          <w:p>
            <w:pPr>
              <w:spacing w:after="0"/>
              <w:rPr>
                <w:sz w:val="20"/>
                <w:szCs w:val="20"/>
                <w:color w:val="auto"/>
              </w:rPr>
            </w:pPr>
            <w:r>
              <w:rPr>
                <w:rFonts w:ascii="Arial" w:cs="Arial" w:eastAsia="Arial" w:hAnsi="Arial"/>
                <w:sz w:val="18"/>
                <w:szCs w:val="18"/>
                <w:b w:val="1"/>
                <w:bCs w:val="1"/>
                <w:color w:val="auto"/>
                <w:w w:val="88"/>
              </w:rPr>
              <w:t>Description</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Page</w:t>
            </w:r>
          </w:p>
        </w:tc>
      </w:tr>
      <w:tr>
        <w:trPr>
          <w:trHeight w:val="412"/>
        </w:trPr>
        <w:tc>
          <w:tcPr>
            <w:tcW w:w="640" w:type="dxa"/>
            <w:vAlign w:val="bottom"/>
            <w:tcBorders>
              <w:top w:val="single" w:sz="8" w:color="auto"/>
              <w:bottom w:val="single" w:sz="8" w:color="0000EE"/>
            </w:tcBorders>
            <w:gridSpan w:val="3"/>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260" w:type="dxa"/>
            <w:vAlign w:val="bottom"/>
            <w:tcBorders>
              <w:top w:val="single" w:sz="8" w:color="auto"/>
            </w:tcBorders>
            <w:gridSpan w:val="2"/>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76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880" w:type="dxa"/>
            <w:vAlign w:val="bottom"/>
            <w:gridSpan w:val="5"/>
          </w:tcPr>
          <w:p>
            <w:pPr>
              <w:spacing w:after="0"/>
              <w:rPr>
                <w:sz w:val="24"/>
                <w:szCs w:val="24"/>
                <w:color w:val="auto"/>
              </w:rPr>
            </w:pPr>
          </w:p>
        </w:tc>
        <w:tc>
          <w:tcPr>
            <w:tcW w:w="15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764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November 30, 2016 (unaudited) and August 31, 2016</w:t>
              </w:r>
            </w:hyperlink>
          </w:p>
        </w:tc>
        <w:tc>
          <w:tcPr>
            <w:tcW w:w="880" w:type="dxa"/>
            <w:vAlign w:val="bottom"/>
            <w:gridSpan w:val="6"/>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4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(unaudited) for the Three Months Ended November 30, 2016 and 2015</w:t>
              </w:r>
            </w:hyperlink>
          </w:p>
        </w:tc>
        <w:tc>
          <w:tcPr>
            <w:tcW w:w="880" w:type="dxa"/>
            <w:vAlign w:val="bottom"/>
            <w:gridSpan w:val="6"/>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40" w:type="dxa"/>
            <w:vAlign w:val="bottom"/>
            <w:gridSpan w:val="20"/>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Comprehensive Income (Loss) (unaudited) for the Three Months Ended November 30, 2016</w:t>
              </w:r>
            </w:hyperlink>
          </w:p>
        </w:tc>
        <w:tc>
          <w:tcPr>
            <w:tcW w:w="880" w:type="dxa"/>
            <w:vAlign w:val="bottom"/>
            <w:gridSpan w:val="6"/>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and 2015</w:t>
              </w:r>
            </w:hyperlink>
          </w:p>
        </w:tc>
        <w:tc>
          <w:tcPr>
            <w:tcW w:w="8000" w:type="dxa"/>
            <w:vAlign w:val="bottom"/>
            <w:tcBorders>
              <w:top w:val="single" w:sz="8" w:color="0000EE"/>
            </w:tcBorders>
            <w:gridSpan w:val="16"/>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4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for the Three Months Ended November 30, 2016 and 2015</w:t>
              </w:r>
            </w:hyperlink>
          </w:p>
        </w:tc>
        <w:tc>
          <w:tcPr>
            <w:tcW w:w="880" w:type="dxa"/>
            <w:vAlign w:val="bottom"/>
            <w:gridSpan w:val="6"/>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140" w:type="dxa"/>
            <w:vAlign w:val="bottom"/>
            <w:gridSpan w:val="2"/>
          </w:tcPr>
          <w:p>
            <w:pPr>
              <w:spacing w:after="0"/>
              <w:rPr>
                <w:sz w:val="24"/>
                <w:szCs w:val="24"/>
                <w:color w:val="auto"/>
              </w:rPr>
            </w:pPr>
          </w:p>
        </w:tc>
        <w:tc>
          <w:tcPr>
            <w:tcW w:w="880" w:type="dxa"/>
            <w:vAlign w:val="bottom"/>
            <w:gridSpan w:val="6"/>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5-15</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Item 2.</w:t>
              </w:r>
            </w:hyperlink>
          </w:p>
        </w:tc>
        <w:tc>
          <w:tcPr>
            <w:tcW w:w="860" w:type="dxa"/>
            <w:vAlign w:val="bottom"/>
            <w:gridSpan w:val="4"/>
          </w:tcPr>
          <w:p>
            <w:pPr>
              <w:spacing w:after="0"/>
              <w:rPr>
                <w:sz w:val="24"/>
                <w:szCs w:val="24"/>
                <w:color w:val="auto"/>
              </w:rPr>
            </w:pPr>
          </w:p>
        </w:tc>
        <w:tc>
          <w:tcPr>
            <w:tcW w:w="914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80" w:type="dxa"/>
            <w:vAlign w:val="bottom"/>
            <w:gridSpan w:val="6"/>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16-28</w:t>
              </w:r>
            </w:hyperlink>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3.</w:t>
              </w:r>
            </w:hyperlink>
          </w:p>
        </w:tc>
        <w:tc>
          <w:tcPr>
            <w:tcW w:w="860" w:type="dxa"/>
            <w:vAlign w:val="bottom"/>
            <w:gridSpan w:val="4"/>
          </w:tcPr>
          <w:p>
            <w:pPr>
              <w:spacing w:after="0"/>
              <w:rPr>
                <w:sz w:val="24"/>
                <w:szCs w:val="24"/>
                <w:color w:val="auto"/>
              </w:rPr>
            </w:pPr>
          </w:p>
        </w:tc>
        <w:tc>
          <w:tcPr>
            <w:tcW w:w="43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70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top w:val="single" w:sz="8" w:color="0000EE"/>
            </w:tcBorders>
            <w:gridSpan w:val="3"/>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880" w:type="dxa"/>
            <w:vAlign w:val="bottom"/>
            <w:gridSpan w:val="5"/>
          </w:tcPr>
          <w:p>
            <w:pPr>
              <w:spacing w:after="0"/>
              <w:rPr>
                <w:sz w:val="24"/>
                <w:szCs w:val="24"/>
                <w:color w:val="auto"/>
              </w:rPr>
            </w:pPr>
          </w:p>
        </w:tc>
        <w:tc>
          <w:tcPr>
            <w:tcW w:w="17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Controls and Procedures</w:t>
              </w:r>
            </w:hyperlink>
          </w:p>
        </w:tc>
        <w:tc>
          <w:tcPr>
            <w:tcW w:w="7380" w:type="dxa"/>
            <w:vAlign w:val="bottom"/>
            <w:gridSpan w:val="12"/>
          </w:tcPr>
          <w:p>
            <w:pPr>
              <w:spacing w:after="0"/>
              <w:rPr>
                <w:sz w:val="24"/>
                <w:szCs w:val="24"/>
                <w:color w:val="auto"/>
              </w:rPr>
            </w:pPr>
          </w:p>
        </w:tc>
        <w:tc>
          <w:tcPr>
            <w:tcW w:w="7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412"/>
        </w:trPr>
        <w:tc>
          <w:tcPr>
            <w:tcW w:w="1400" w:type="dxa"/>
            <w:vAlign w:val="bottom"/>
            <w:gridSpan w:val="6"/>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9140" w:type="dxa"/>
            <w:vAlign w:val="bottom"/>
            <w:gridSpan w:val="2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1.</w:t>
              </w:r>
            </w:hyperlink>
          </w:p>
        </w:tc>
        <w:tc>
          <w:tcPr>
            <w:tcW w:w="160" w:type="dxa"/>
            <w:vAlign w:val="bottom"/>
            <w:tcBorders>
              <w:top w:val="single" w:sz="8" w:color="0000EE"/>
            </w:tcBorders>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7140" w:type="dxa"/>
            <w:vAlign w:val="bottom"/>
            <w:gridSpan w:val="11"/>
          </w:tcPr>
          <w:p>
            <w:pPr>
              <w:spacing w:after="0"/>
              <w:rPr>
                <w:sz w:val="24"/>
                <w:szCs w:val="24"/>
                <w:color w:val="auto"/>
              </w:rPr>
            </w:pPr>
          </w:p>
        </w:tc>
        <w:tc>
          <w:tcPr>
            <w:tcW w:w="7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r>
        <w:trPr>
          <w:trHeight w:val="412"/>
        </w:trPr>
        <w:tc>
          <w:tcPr>
            <w:tcW w:w="1400" w:type="dxa"/>
            <w:vAlign w:val="bottom"/>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w:t>
              </w:r>
            </w:hyperlink>
          </w:p>
        </w:tc>
        <w:tc>
          <w:tcPr>
            <w:tcW w:w="914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880" w:type="dxa"/>
            <w:vAlign w:val="bottom"/>
            <w:gridSpan w:val="6"/>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760" w:type="dxa"/>
            <w:vAlign w:val="bottom"/>
            <w:tcBorders>
              <w:right w:val="single" w:sz="8" w:color="0000EE"/>
            </w:tcBorders>
            <w:gridSpan w:val="3"/>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760" w:type="dxa"/>
            <w:vAlign w:val="bottom"/>
            <w:gridSpan w:val="3"/>
          </w:tcPr>
          <w:p>
            <w:pPr>
              <w:spacing w:after="0"/>
              <w:rPr>
                <w:sz w:val="24"/>
                <w:szCs w:val="24"/>
                <w:color w:val="auto"/>
              </w:rPr>
            </w:pPr>
          </w:p>
        </w:tc>
        <w:tc>
          <w:tcPr>
            <w:tcW w:w="43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Unregistered Sales of Equity Securities and Use of Proceeds</w:t>
              </w:r>
            </w:hyperlink>
          </w:p>
        </w:tc>
        <w:tc>
          <w:tcPr>
            <w:tcW w:w="480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Borders>
              <w:bottom w:val="single" w:sz="8" w:color="0000EE"/>
            </w:tcBorders>
            <w:gridSpan w:val="5"/>
          </w:tcPr>
          <w:p>
            <w:pPr>
              <w:jc w:val="right"/>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30-31</w:t>
              </w:r>
            </w:hyperlink>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3.</w:t>
              </w:r>
            </w:hyperlink>
          </w:p>
        </w:tc>
        <w:tc>
          <w:tcPr>
            <w:tcW w:w="860" w:type="dxa"/>
            <w:vAlign w:val="bottom"/>
            <w:gridSpan w:val="4"/>
          </w:tcPr>
          <w:p>
            <w:pPr>
              <w:spacing w:after="0"/>
              <w:rPr>
                <w:sz w:val="24"/>
                <w:szCs w:val="24"/>
                <w:color w:val="auto"/>
              </w:rPr>
            </w:pPr>
          </w:p>
        </w:tc>
        <w:tc>
          <w:tcPr>
            <w:tcW w:w="914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880" w:type="dxa"/>
            <w:vAlign w:val="bottom"/>
            <w:gridSpan w:val="6"/>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412"/>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4.</w:t>
              </w:r>
            </w:hyperlink>
          </w:p>
        </w:tc>
        <w:tc>
          <w:tcPr>
            <w:tcW w:w="860" w:type="dxa"/>
            <w:vAlign w:val="bottom"/>
            <w:gridSpan w:val="4"/>
          </w:tcPr>
          <w:p>
            <w:pPr>
              <w:spacing w:after="0"/>
              <w:rPr>
                <w:sz w:val="24"/>
                <w:szCs w:val="24"/>
                <w:color w:val="auto"/>
              </w:rPr>
            </w:pPr>
          </w:p>
        </w:tc>
        <w:tc>
          <w:tcPr>
            <w:tcW w:w="17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6840" w:type="dxa"/>
            <w:vAlign w:val="bottom"/>
            <w:gridSpan w:val="10"/>
          </w:tcPr>
          <w:p>
            <w:pPr>
              <w:spacing w:after="0"/>
              <w:rPr>
                <w:sz w:val="24"/>
                <w:szCs w:val="24"/>
                <w:color w:val="auto"/>
              </w:rPr>
            </w:pPr>
          </w:p>
        </w:tc>
        <w:tc>
          <w:tcPr>
            <w:tcW w:w="70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r>
      <w:tr>
        <w:trPr>
          <w:trHeight w:val="412"/>
        </w:trPr>
        <w:tc>
          <w:tcPr>
            <w:tcW w:w="540" w:type="dxa"/>
            <w:vAlign w:val="bottom"/>
            <w:gridSpan w:val="2"/>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5.</w:t>
              </w:r>
            </w:hyperlink>
          </w:p>
        </w:tc>
        <w:tc>
          <w:tcPr>
            <w:tcW w:w="860" w:type="dxa"/>
            <w:vAlign w:val="bottom"/>
            <w:gridSpan w:val="4"/>
          </w:tcPr>
          <w:p>
            <w:pPr>
              <w:spacing w:after="0"/>
              <w:rPr>
                <w:sz w:val="24"/>
                <w:szCs w:val="24"/>
                <w:color w:val="auto"/>
              </w:rPr>
            </w:pPr>
          </w:p>
        </w:tc>
        <w:tc>
          <w:tcPr>
            <w:tcW w:w="914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880" w:type="dxa"/>
            <w:vAlign w:val="bottom"/>
            <w:gridSpan w:val="6"/>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31-32</w:t>
              </w:r>
            </w:hyperlink>
          </w:p>
        </w:tc>
      </w:tr>
      <w:tr>
        <w:trPr>
          <w:trHeight w:val="412"/>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36">
              <w:r>
                <w:rPr>
                  <w:rFonts w:ascii="Arial" w:cs="Arial" w:eastAsia="Arial" w:hAnsi="Arial"/>
                  <w:sz w:val="18"/>
                  <w:szCs w:val="18"/>
                  <w:color w:val="0000EE"/>
                  <w:w w:val="94"/>
                </w:rPr>
                <w:t>Item 6.</w:t>
              </w:r>
            </w:hyperlink>
          </w:p>
        </w:tc>
        <w:tc>
          <w:tcPr>
            <w:tcW w:w="860" w:type="dxa"/>
            <w:vAlign w:val="bottom"/>
            <w:gridSpan w:val="4"/>
          </w:tcPr>
          <w:p>
            <w:pPr>
              <w:spacing w:after="0"/>
              <w:rPr>
                <w:sz w:val="24"/>
                <w:szCs w:val="24"/>
                <w:color w:val="auto"/>
              </w:rPr>
            </w:pP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7840" w:type="dxa"/>
            <w:vAlign w:val="bottom"/>
            <w:gridSpan w:val="15"/>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Borders>
              <w:top w:val="single" w:sz="8" w:color="0000EE"/>
            </w:tcBorders>
            <w:gridSpan w:val="5"/>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4"/>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560" w:type="dxa"/>
            <w:vAlign w:val="bottom"/>
            <w:gridSpan w:val="18"/>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37">
              <w:r>
                <w:rPr>
                  <w:rFonts w:ascii="Arial" w:cs="Arial" w:eastAsia="Arial" w:hAnsi="Arial"/>
                  <w:sz w:val="18"/>
                  <w:szCs w:val="18"/>
                  <w:b w:val="1"/>
                  <w:bCs w:val="1"/>
                  <w:color w:val="0000EE"/>
                  <w:w w:val="97"/>
                </w:rPr>
                <w:t>SIGNATURE PAGE</w:t>
              </w:r>
            </w:hyperlink>
          </w:p>
        </w:tc>
        <w:tc>
          <w:tcPr>
            <w:tcW w:w="8940" w:type="dxa"/>
            <w:vAlign w:val="bottom"/>
            <w:gridSpan w:val="19"/>
          </w:tcPr>
          <w:p>
            <w:pPr>
              <w:spacing w:after="0"/>
              <w:rPr>
                <w:sz w:val="24"/>
                <w:szCs w:val="24"/>
                <w:color w:val="auto"/>
              </w:rPr>
            </w:pPr>
          </w:p>
        </w:tc>
        <w:tc>
          <w:tcPr>
            <w:tcW w:w="7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34</w:t>
              </w:r>
            </w:hyperlink>
          </w:p>
        </w:tc>
      </w:tr>
      <w:tr>
        <w:trPr>
          <w:trHeight w:val="412"/>
        </w:trPr>
        <w:tc>
          <w:tcPr>
            <w:tcW w:w="10540" w:type="dxa"/>
            <w:vAlign w:val="bottom"/>
            <w:gridSpan w:val="26"/>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EXHIBIT INDEX</w:t>
              </w:r>
            </w:hyperlink>
          </w:p>
        </w:tc>
        <w:tc>
          <w:tcPr>
            <w:tcW w:w="880" w:type="dxa"/>
            <w:vAlign w:val="bottom"/>
            <w:gridSpan w:val="6"/>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37"/>
        </w:trPr>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6360" w:type="dxa"/>
            <w:vAlign w:val="bottom"/>
            <w:gridSpan w:val="15"/>
          </w:tcPr>
          <w:p>
            <w:pPr>
              <w:jc w:val="right"/>
              <w:ind w:right="1280"/>
              <w:spacing w:after="0"/>
              <w:rPr>
                <w:sz w:val="20"/>
                <w:szCs w:val="20"/>
                <w:color w:val="auto"/>
              </w:rPr>
            </w:pPr>
            <w:r>
              <w:rPr>
                <w:rFonts w:ascii="Arial" w:cs="Arial" w:eastAsia="Arial" w:hAnsi="Arial"/>
                <w:sz w:val="18"/>
                <w:szCs w:val="18"/>
                <w:color w:val="auto"/>
              </w:rPr>
              <w:t>_________________</w:t>
            </w: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bl>
    <w:p>
      <w:pPr>
        <w:spacing w:after="0" w:line="20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 Forward-Looking Statements.”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2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w:t>
      </w:r>
    </w:p>
    <w:p>
      <w:pPr>
        <w:ind w:right="40" w:firstLine="8"/>
        <w:spacing w:after="0" w:line="253"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“Natur-Tec India” refer to NTIC’s majority-owned subsidiary in India, Natur-Tec India Private Limited; and (5) “NTI Asean” refer to NTIC’s majority-owned holding company subsidiary, NTI Asean LLC, which is a holding company that holds investments in eight entities that operate in the Association of Southeast Asian Nations (ASEAN) region, including the following countries: China (although the joint venture agreements for the Chinese joint venture were terminated as of December 31, 2014 and liquidation of this joint venture is anticipated), Indonesia, South Korea, Malaysia, Philippines, Singapore, Taiwan and Thailand.</w:t>
      </w:r>
    </w:p>
    <w:p>
      <w:pPr>
        <w:spacing w:after="0" w:line="1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AS OF NOVEMBER 30, 2016 (UNAUDITED) AND AUGUST 31, 2016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80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2,529,140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1,745,968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2,243,864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520"/>
              <w:spacing w:after="0" w:line="201" w:lineRule="exact"/>
              <w:rPr>
                <w:sz w:val="20"/>
                <w:szCs w:val="20"/>
                <w:color w:val="auto"/>
              </w:rPr>
            </w:pPr>
            <w:r>
              <w:rPr>
                <w:rFonts w:ascii="Arial" w:cs="Arial" w:eastAsia="Arial" w:hAnsi="Arial"/>
                <w:sz w:val="18"/>
                <w:szCs w:val="18"/>
                <w:color w:val="auto"/>
                <w:w w:val="92"/>
              </w:rPr>
              <w:t>Trade excluding joint ventures, less allowance for doubtful accounts of $40,000 at November 30, 2016</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Arial" w:cs="Arial" w:eastAsia="Arial" w:hAnsi="Arial"/>
                <w:sz w:val="18"/>
                <w:szCs w:val="18"/>
                <w:color w:val="auto"/>
              </w:rPr>
              <w:t>and August 31, 2016</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5,454,741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4,755,320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Trade joint ventures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700,518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791,903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1,422,105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1,406,587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120,539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7,388,095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7,711,287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640,699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current assets</w:t>
            </w: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20,001,805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20,942,171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7,183,663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7,275,872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20,052,432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19,840,774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1,614,229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1,639,762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Patents and trademarks, net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1,307,040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1,278,597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49,831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23,023,532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22,852,007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50,209,000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51,070,050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2,959,284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2,753,903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Payroll and related benefits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637,106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938,363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521,623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4,118,013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3,994,102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COMMITMENTS AND CONTINGENCIES (Note 13)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340"/>
              <w:spacing w:after="0" w:line="201" w:lineRule="exact"/>
              <w:rPr>
                <w:sz w:val="20"/>
                <w:szCs w:val="20"/>
                <w:color w:val="auto"/>
              </w:rPr>
            </w:pPr>
            <w:r>
              <w:rPr>
                <w:rFonts w:ascii="Arial" w:cs="Arial" w:eastAsia="Arial" w:hAnsi="Arial"/>
                <w:sz w:val="18"/>
                <w:szCs w:val="18"/>
                <w:color w:val="auto"/>
                <w:w w:val="98"/>
              </w:rPr>
              <w:t>Common stock, $0.02 par value per share; authorized 10,000,000 shares; issued and outstanding</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520"/>
              <w:spacing w:after="0"/>
              <w:rPr>
                <w:sz w:val="20"/>
                <w:szCs w:val="20"/>
                <w:color w:val="auto"/>
              </w:rPr>
            </w:pPr>
            <w:r>
              <w:rPr>
                <w:rFonts w:ascii="Arial" w:cs="Arial" w:eastAsia="Arial" w:hAnsi="Arial"/>
                <w:sz w:val="18"/>
                <w:szCs w:val="18"/>
                <w:color w:val="auto"/>
              </w:rPr>
              <w:t>4,530,870 and 4,533,416, respectively</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90,617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90,668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13,857,777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13,798,567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33,952,995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33,655,357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(4,211,747)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880"/>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43,689,642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44,534,975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2,401,345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2,540,973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equity</w:t>
            </w: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46,090,987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47,075,948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liabilities and equity</w:t>
            </w: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50,209,000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51,070,050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FOR THE THREE MONTHS ENDED NOVEMBER 30, 2016 AND 2015</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gridSpan w:val="3"/>
          </w:tcPr>
          <w:p>
            <w:pPr>
              <w:jc w:val="right"/>
              <w:spacing w:after="0" w:line="204" w:lineRule="exact"/>
              <w:rPr>
                <w:sz w:val="20"/>
                <w:szCs w:val="20"/>
                <w:color w:val="auto"/>
              </w:rPr>
            </w:pPr>
            <w:r>
              <w:rPr>
                <w:rFonts w:ascii="Arial" w:cs="Arial" w:eastAsia="Arial" w:hAnsi="Arial"/>
                <w:sz w:val="18"/>
                <w:szCs w:val="18"/>
                <w:b w:val="1"/>
                <w:bCs w:val="1"/>
                <w:color w:val="auto"/>
              </w:rPr>
              <w:t>Three Months Ended</w:t>
            </w:r>
          </w:p>
        </w:tc>
        <w:tc>
          <w:tcPr>
            <w:tcW w:w="8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9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2016</w:t>
            </w: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16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9,000,224</w:t>
            </w:r>
          </w:p>
        </w:tc>
        <w:tc>
          <w:tcPr>
            <w:tcW w:w="860" w:type="dxa"/>
            <w:vAlign w:val="bottom"/>
            <w:gridSpan w:val="2"/>
          </w:tcPr>
          <w:p>
            <w:pPr>
              <w:jc w:val="right"/>
              <w:ind w:right="59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6,501,410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1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701,799</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9,702,023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7,024,437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Cost of goods sold</w:t>
            </w:r>
          </w:p>
        </w:tc>
        <w:tc>
          <w:tcPr>
            <w:tcW w:w="11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6,612,766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4,875,423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3,089,257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2,149,014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Equity in income of joint ventures</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1,274,004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983,753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1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1,315,591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1,485,429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Total joint venture operations</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2,589,595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2,469,182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2,039,084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1,525,083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2,471,780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2,174,607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642,522</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1,004,097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5,153,386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4,703,787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525,466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(85,591)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524,406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117,713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406,693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109,054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161,709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NTIC</w:t>
            </w:r>
          </w:p>
        </w:tc>
        <w:tc>
          <w:tcPr>
            <w:tcW w:w="16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297,639</w:t>
            </w:r>
          </w:p>
        </w:tc>
        <w:tc>
          <w:tcPr>
            <w:tcW w:w="860" w:type="dxa"/>
            <w:vAlign w:val="bottom"/>
            <w:gridSpan w:val="2"/>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NTIC PER COMMON SHARE:</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920" w:type="dxa"/>
            <w:vAlign w:val="bottom"/>
          </w:tcPr>
          <w:p>
            <w:pPr>
              <w:ind w:left="160"/>
              <w:spacing w:after="0"/>
              <w:rPr>
                <w:sz w:val="20"/>
                <w:szCs w:val="20"/>
                <w:color w:val="auto"/>
              </w:rPr>
            </w:pPr>
            <w:r>
              <w:rPr>
                <w:rFonts w:ascii="Arial" w:cs="Arial" w:eastAsia="Arial" w:hAnsi="Arial"/>
                <w:sz w:val="18"/>
                <w:szCs w:val="18"/>
                <w:color w:val="auto"/>
              </w:rPr>
              <w:t>Basic</w:t>
            </w:r>
          </w:p>
        </w:tc>
        <w:tc>
          <w:tcPr>
            <w:tcW w:w="16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860" w:type="dxa"/>
            <w:vAlign w:val="bottom"/>
            <w:gridSpan w:val="2"/>
          </w:tcPr>
          <w:p>
            <w:pPr>
              <w:jc w:val="right"/>
              <w:ind w:right="59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w:t>
            </w:r>
          </w:p>
        </w:tc>
        <w:tc>
          <w:tcPr>
            <w:tcW w:w="11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4,531,950</w:t>
            </w: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4,538,371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2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1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4,558,878</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4,538,371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NOVEMBER 30, 2016 AND 2015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120" w:type="dxa"/>
            <w:vAlign w:val="bottom"/>
            <w:tcBorders>
              <w:top w:val="single" w:sz="8" w:color="auto"/>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November 30,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406,693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FOREIGN CURRENCY TRANSLATION ADJUSTMENT</w:t>
            </w:r>
          </w:p>
        </w:tc>
        <w:tc>
          <w:tcPr>
            <w:tcW w:w="4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(1,250,812)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(865,128)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COMPREHENSIVE LOSS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(844,119)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(937,770)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4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60,372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COMPREHENSIVE LOSS ATTRIBUTABLE TO NTIC</w:t>
            </w:r>
          </w:p>
        </w:tc>
        <w:tc>
          <w:tcPr>
            <w:tcW w:w="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(904,491)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ind w:right="4140"/>
        <w:spacing w:after="0" w:line="265"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THREE MONTHS ENDED NOVEMBER 30, 2016 AND 2015</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7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120" w:type="dxa"/>
            <w:vAlign w:val="bottom"/>
            <w:tcBorders>
              <w:top w:val="single" w:sz="8" w:color="auto"/>
              <w:bottom w:val="single" w:sz="8" w:color="auto"/>
            </w:tcBorders>
            <w:gridSpan w:val="4"/>
          </w:tcPr>
          <w:p>
            <w:pPr>
              <w:jc w:val="right"/>
              <w:ind w:right="730"/>
              <w:spacing w:after="0" w:line="204" w:lineRule="exact"/>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406,693</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97,916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expense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193,896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Amortization expense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29,759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income from joint ventures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received from joint ventures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Trade, excluding joint ventures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(762,525)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Trade, joint ventures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91,385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Fees for services provided to joint ventures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84,922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274,437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 and other</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378,397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258,792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 payable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(924,426)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(112,589)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497,896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1,498,574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Additions to patents</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327,105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1,221,787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32,955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(238,757)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(866,134)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448,034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3,395,274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2,623,981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2,529,140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top w:val="single" w:sz="8" w:color="CCEEFF"/>
              <w:bottom w:val="single" w:sz="8" w:color="CCEEFF"/>
            </w:tcBorders>
            <w:vMerge w:val="restart"/>
          </w:tcPr>
          <w:p>
            <w:pPr>
              <w:ind w:left="4020"/>
              <w:spacing w:after="0"/>
              <w:rPr>
                <w:sz w:val="20"/>
                <w:szCs w:val="20"/>
                <w:color w:val="auto"/>
              </w:rPr>
            </w:pPr>
            <w:r>
              <w:rPr>
                <w:rFonts w:ascii="Arial" w:cs="Arial" w:eastAsia="Arial" w:hAnsi="Arial"/>
                <w:sz w:val="18"/>
                <w:szCs w:val="18"/>
                <w:color w:val="auto"/>
                <w:w w:val="98"/>
              </w:rPr>
              <w:t>See notes to consolidated financial statements.</w:t>
            </w: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ind w:right="412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2016 and August 31, 2016 and the results of their operations for the three months ended November 30, 2016 and 2015 and their cash flows for the three months ended November 30, 2016 and 2015, in conformity with accounting principles generally accepted in the United States of America (U.S. GAAP).</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2016. These consolidated financial statements also should be read in conjunction with the “Management’s Discussion and Analysis of Financial Condition and Results of Operations” section appearing in this report.</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Operating results for the three months ended November 30, 2016 are not necessarily indicative of the results that may be expected for the full fiscal year ending August 31, 2017.</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Certain amounts reported in the consolidated financial statements for the previous reporting period have been reclassified to conform to the current period presentation. Expenses previously recorded as “Expenses incurred in support of joint ventures” have been reclassified as “General and administrative expenses” based on the reduction in direct costs associated with supporting the joint ventures.</w:t>
      </w:r>
    </w:p>
    <w:p>
      <w:pPr>
        <w:spacing w:after="0" w:line="17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May 2014, the Financial Accounting Standards Board (FASB) issued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(Accounting Standards Update (ASU) No. 2014-09), which provides a framework for the recognition of revenue, with the objective that recognized revenues properly reflect amounts an entity is entitled to receive in exchange for goods and services. This guidance, which includes additional disclosure requirements regarding revenue, cash flows and obligations related to contracts with customers, was originally to be effective for the Company beginning in fiscal year 2018. In July 2015, the FASB confirmed a one-year deferral of the effective date of the new revenue standard which also allows early adoption as of the original effective date. The updated guidance will be effective for the Company’s first quarter of 2019. The Company is currently evaluating the impact of adopting ASU 2014-09 on its consolidated financial statements, but believes there will be no material impact.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No. 2015-11, “</w:t>
      </w:r>
      <w:r>
        <w:rPr>
          <w:rFonts w:ascii="Arial" w:cs="Arial" w:eastAsia="Arial" w:hAnsi="Arial"/>
          <w:sz w:val="18"/>
          <w:szCs w:val="18"/>
          <w:i w:val="1"/>
          <w:iCs w:val="1"/>
          <w:color w:val="auto"/>
        </w:rPr>
        <w:t>Inventory</w:t>
      </w:r>
      <w:r>
        <w:rPr>
          <w:rFonts w:ascii="Arial" w:cs="Arial" w:eastAsia="Arial" w:hAnsi="Arial"/>
          <w:sz w:val="18"/>
          <w:szCs w:val="18"/>
          <w:color w:val="auto"/>
        </w:rPr>
        <w:t>,” which modifies the subsequent measurement of inventories recorded under a first-in-first-out or average cost method. Under the new standard, such inventories are required to be measured at the lower of cost and net realizable value. The new standard is effective for the Company’s fiscal year 2018, with prospective application. The Company does not expect the adoption of the provisions of ASU 2015-11 to have a material impact on its consolidated financial statements.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November 2015, FASB issued ASU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xml:space="preserve"> which requires that deferred tax assets and liabilities be classified as noncurrent in a classified balance sheet. The amendment takes effect for public entities for fiscal years beginning after December 15, 2017, with early adoption available. The Company adopted ASU 2015-17 as of August 31, 2016, however, there was no material impact on its consolidated financial statements.</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8" w:name="page9"/>
    <w:bookmarkEnd w:id="8"/>
    <w:p>
      <w:pPr>
        <w:ind w:right="240"/>
        <w:spacing w:after="0" w:line="255" w:lineRule="auto"/>
        <w:rPr>
          <w:sz w:val="20"/>
          <w:szCs w:val="20"/>
          <w:color w:val="auto"/>
        </w:rPr>
      </w:pPr>
      <w:r>
        <w:rPr>
          <w:rFonts w:ascii="Arial" w:cs="Arial" w:eastAsia="Arial" w:hAnsi="Arial"/>
          <w:sz w:val="18"/>
          <w:szCs w:val="18"/>
          <w:color w:val="auto"/>
        </w:rPr>
        <w:t>During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Company is currently assessing the effect that ASU No. 2016-02 will have on its consolidated financial statements.</w:t>
      </w:r>
    </w:p>
    <w:p>
      <w:pPr>
        <w:spacing w:after="0" w:line="19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March 2016, the FASB issued ASU No. 2016-07, “</w:t>
      </w:r>
      <w:r>
        <w:rPr>
          <w:rFonts w:ascii="Arial" w:cs="Arial" w:eastAsia="Arial" w:hAnsi="Arial"/>
          <w:sz w:val="16"/>
          <w:szCs w:val="16"/>
          <w:i w:val="1"/>
          <w:iCs w:val="1"/>
          <w:color w:val="auto"/>
        </w:rPr>
        <w:t>Investments – Equity Method and Joint Ventures (Topic 323): Simplifying the Transition to 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of Accounting</w:t>
      </w:r>
      <w:r>
        <w:rPr>
          <w:rFonts w:ascii="Arial" w:cs="Arial" w:eastAsia="Arial" w:hAnsi="Arial"/>
          <w:sz w:val="16"/>
          <w:szCs w:val="16"/>
          <w:color w:val="auto"/>
        </w:rPr>
        <w:t>.” Among other things, the amendments in ASU 2016-07 eliminate the requirement that when an investment qualifies for use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as of the date the investment becomes qualified for equity method accounting. Therefore, upon qualifying for the equity method of accounting, no retroactive adjustment of the investment is required. The amendments require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amendments are effective for all entities for fiscal years, and interim periods within those fiscal years, beginning after December 15, 2016. The amendments should be applied prospectively upon their effective date to increases in the level of ownership interest or degree of influence that result in the adoption of the equity method. Early adoption is permitted. The Company is currently assessing the impact that ASU 2016-07 will have on its consolidated financial statements.</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Stock Compensation</w:t>
      </w:r>
      <w:r>
        <w:rPr>
          <w:rFonts w:ascii="Arial" w:cs="Arial" w:eastAsia="Arial" w:hAnsi="Arial"/>
          <w:sz w:val="17"/>
          <w:szCs w:val="17"/>
          <w:color w:val="auto"/>
        </w:rPr>
        <w:t>, which is intended to simplify several aspects of the accounting for share-based payment award transactions. The guidance will be effective for the fiscal year beginning after December 15, 2016, including interim periods within that year. The Company is in the process of evaluating the impacts of the adoption of this ASU on its consolidated financial statements.</w:t>
      </w:r>
    </w:p>
    <w:p>
      <w:pPr>
        <w:spacing w:after="0" w:line="16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516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2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6"/>
        </w:trPr>
        <w:tc>
          <w:tcPr>
            <w:tcW w:w="300" w:type="dxa"/>
            <w:vAlign w:val="bottom"/>
            <w:tcBorders>
              <w:bottom w:val="single" w:sz="8" w:color="CCEEFF"/>
            </w:tcBorders>
          </w:tcPr>
          <w:p>
            <w:pPr>
              <w:spacing w:after="0"/>
              <w:rPr>
                <w:sz w:val="24"/>
                <w:szCs w:val="24"/>
                <w:color w:val="auto"/>
              </w:rPr>
            </w:pPr>
          </w:p>
        </w:tc>
        <w:tc>
          <w:tcPr>
            <w:tcW w:w="5160" w:type="dxa"/>
            <w:vAlign w:val="bottom"/>
            <w:tcBorders>
              <w:bottom w:val="single" w:sz="8" w:color="CCEEFF"/>
            </w:tcBorders>
          </w:tcPr>
          <w:p>
            <w:pPr>
              <w:spacing w:after="0"/>
              <w:rPr>
                <w:sz w:val="24"/>
                <w:szCs w:val="24"/>
                <w:color w:val="auto"/>
              </w:rPr>
            </w:pPr>
          </w:p>
        </w:tc>
        <w:tc>
          <w:tcPr>
            <w:tcW w:w="266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August 31, 2016</w:t>
            </w: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6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1,327,035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1,452,396</w:t>
            </w:r>
          </w:p>
        </w:tc>
      </w:tr>
      <w:tr>
        <w:trPr>
          <w:trHeight w:val="230"/>
        </w:trPr>
        <w:tc>
          <w:tcPr>
            <w:tcW w:w="54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Finished goods</w:t>
            </w:r>
          </w:p>
        </w:tc>
        <w:tc>
          <w:tcPr>
            <w:tcW w:w="26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6,061,060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6,258,891</w:t>
            </w:r>
          </w:p>
        </w:tc>
      </w:tr>
      <w:tr>
        <w:trPr>
          <w:trHeight w:val="223"/>
        </w:trPr>
        <w:tc>
          <w:tcPr>
            <w:tcW w:w="30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7,388,095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7,711,287</w:t>
            </w:r>
          </w:p>
        </w:tc>
      </w:tr>
      <w:tr>
        <w:trPr>
          <w:trHeight w:val="20"/>
        </w:trPr>
        <w:tc>
          <w:tcPr>
            <w:tcW w:w="3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4.</w:t>
            </w:r>
          </w:p>
        </w:tc>
        <w:tc>
          <w:tcPr>
            <w:tcW w:w="8100" w:type="dxa"/>
            <w:vAlign w:val="bottom"/>
            <w:gridSpan w:val="2"/>
          </w:tcPr>
          <w:p>
            <w:pPr>
              <w:jc w:val="right"/>
              <w:ind w:right="4950"/>
              <w:spacing w:after="0"/>
              <w:rPr>
                <w:sz w:val="20"/>
                <w:szCs w:val="20"/>
                <w:color w:val="auto"/>
              </w:rPr>
            </w:pPr>
            <w:r>
              <w:rPr>
                <w:rFonts w:ascii="Arial" w:cs="Arial" w:eastAsia="Arial" w:hAnsi="Arial"/>
                <w:sz w:val="18"/>
                <w:szCs w:val="18"/>
                <w:b w:val="1"/>
                <w:bCs w:val="1"/>
                <w:color w:val="auto"/>
              </w:rPr>
              <w:t>PROPERTY AND EQUIPMENT, NET</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8520" w:type="dxa"/>
            <w:vAlign w:val="bottom"/>
            <w:gridSpan w:val="3"/>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6"/>
        </w:trPr>
        <w:tc>
          <w:tcPr>
            <w:tcW w:w="4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November 30, 2016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August 31, 2016</w:t>
            </w:r>
          </w:p>
        </w:tc>
      </w:tr>
      <w:tr>
        <w:trPr>
          <w:trHeight w:val="210"/>
        </w:trPr>
        <w:tc>
          <w:tcPr>
            <w:tcW w:w="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Land</w:t>
            </w:r>
          </w:p>
        </w:tc>
        <w:tc>
          <w:tcPr>
            <w:tcW w:w="7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310,365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r>
      <w:tr>
        <w:trPr>
          <w:trHeight w:val="216"/>
        </w:trPr>
        <w:tc>
          <w:tcPr>
            <w:tcW w:w="852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6,560,668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6,528,252</w:t>
            </w:r>
          </w:p>
        </w:tc>
      </w:tr>
      <w:tr>
        <w:trPr>
          <w:trHeight w:val="230"/>
        </w:trPr>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3,632,217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3,590,063</w:t>
            </w:r>
          </w:p>
        </w:tc>
      </w:tr>
      <w:tr>
        <w:trPr>
          <w:trHeight w:val="210"/>
        </w:trPr>
        <w:tc>
          <w:tcPr>
            <w:tcW w:w="4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10,503,250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10,428,680</w:t>
            </w:r>
          </w:p>
        </w:tc>
      </w:tr>
      <w:tr>
        <w:trPr>
          <w:trHeight w:val="230"/>
        </w:trPr>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(3,319,587)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(3,152,808)</w:t>
            </w:r>
          </w:p>
        </w:tc>
      </w:tr>
      <w:tr>
        <w:trPr>
          <w:trHeight w:val="223"/>
        </w:trPr>
        <w:tc>
          <w:tcPr>
            <w:tcW w:w="4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7,183,663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7,275,872</w:t>
            </w:r>
          </w:p>
        </w:tc>
      </w:tr>
      <w:tr>
        <w:trPr>
          <w:trHeight w:val="20"/>
        </w:trPr>
        <w:tc>
          <w:tcPr>
            <w:tcW w:w="4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5.   PATENTS AND TRADEMARKS, NET</w:t>
            </w:r>
          </w:p>
        </w:tc>
        <w:tc>
          <w:tcPr>
            <w:tcW w:w="2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6"/>
        </w:trPr>
        <w:tc>
          <w:tcPr>
            <w:tcW w:w="60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August 31, 2016</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0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2,633,635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2,575,435</w:t>
            </w:r>
          </w:p>
        </w:tc>
      </w:tr>
      <w:tr>
        <w:trPr>
          <w:trHeight w:val="230"/>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0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(1,326,595)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(1,296,838)</w:t>
            </w:r>
          </w:p>
        </w:tc>
      </w:tr>
      <w:tr>
        <w:trPr>
          <w:trHeight w:val="223"/>
        </w:trPr>
        <w:tc>
          <w:tcPr>
            <w:tcW w:w="604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1,307,040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1,278,597</w:t>
            </w:r>
          </w:p>
        </w:tc>
      </w:tr>
      <w:tr>
        <w:trPr>
          <w:trHeight w:val="20"/>
        </w:trPr>
        <w:tc>
          <w:tcPr>
            <w:tcW w:w="6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$120,000 in each of the next five fiscal years.</w:t>
      </w:r>
    </w:p>
    <w:p>
      <w:pPr>
        <w:spacing w:after="0" w:line="17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accounting principles generally accepted in the United States of America in all material respects. All material profits recorded on sales from the Company to its joint ventures and from joint ventures to other joint ventures have been eliminated for financial reporting purposes.</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Financial information from the audited and unaudited financial statements of the Company’s joint ventures in Germany, Excor Korrosionsschutz – Technologien und Produkte GmbH (EXCOR), HARITA-NTI LTD (INDIA), ZERUST OY (FINLAND) and all of the Company’s other joint ventures,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b w:val="1"/>
                <w:bCs w:val="1"/>
                <w:color w:val="auto"/>
                <w:w w:val="89"/>
              </w:rPr>
              <w:t>As of November 30, 2016</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439"/>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INDIA</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FINLAND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All Other</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5"/>
              </w:rPr>
              <w:t>49,972,755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7"/>
              </w:rPr>
              <w:t>23,405,119</w:t>
            </w:r>
          </w:p>
        </w:tc>
        <w:tc>
          <w:tcPr>
            <w:tcW w:w="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4,278,839</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2,038,343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5"/>
              </w:rPr>
              <w:t>20,250,454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53,440,384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25,180,484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4,615,462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2,302,907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21,341,531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13,028,054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3,220,529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1,242,944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583,354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7,981,227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106,084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100,465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40,306,246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21,959,955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3,366,900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1,719,553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13,259,838</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ventures’ equity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20,052,432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10,979,979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1,683,450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859,775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6,529,228</w:t>
            </w: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 undistributed earnings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17,978,218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10,949,074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818,628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839,775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5,370,741</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3"/>
              </w:rPr>
              <w:t>Northern Technologies International Corporation's dividends received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from joint ventures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46"/>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center"/>
              <w:ind w:right="130"/>
              <w:spacing w:after="0"/>
              <w:rPr>
                <w:sz w:val="20"/>
                <w:szCs w:val="20"/>
                <w:color w:val="auto"/>
              </w:rPr>
            </w:pPr>
            <w:r>
              <w:rPr>
                <w:rFonts w:ascii="Arial" w:cs="Arial" w:eastAsia="Arial" w:hAnsi="Arial"/>
                <w:sz w:val="18"/>
                <w:szCs w:val="18"/>
                <w:b w:val="1"/>
                <w:bCs w:val="1"/>
                <w:color w:val="auto"/>
                <w:w w:val="91"/>
              </w:rPr>
              <w:t>Three Months Ended November 30, 2016</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439"/>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INDIA</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FINLAND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All Other</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5"/>
              </w:rPr>
              <w:t>24,200,447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9,208,524</w:t>
            </w:r>
          </w:p>
        </w:tc>
        <w:tc>
          <w:tcPr>
            <w:tcW w:w="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1,614,470</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929,868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5"/>
              </w:rPr>
              <w:t>12,447,585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10,697,027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4,894,179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750,118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556,221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4,496,509</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2,408,008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1,856,338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144,302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358,307</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equity 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income of joint ventures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1,274,004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928,169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99,163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72,151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174,521</w:t>
            </w:r>
          </w:p>
        </w:tc>
      </w:tr>
      <w:tr>
        <w:trPr>
          <w:trHeight w:val="446"/>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88"/>
              </w:rPr>
              <w:t>As of August 30, 2016</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439"/>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INDIA</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FINLAND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All Other</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5"/>
              </w:rPr>
              <w:t>48,922,924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7"/>
              </w:rPr>
              <w:t>22,928,810</w:t>
            </w:r>
          </w:p>
        </w:tc>
        <w:tc>
          <w:tcPr>
            <w:tcW w:w="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4,027,016</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1,928,861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5"/>
              </w:rPr>
              <w:t>20,038,237</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52,407,026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24,733,340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4,352,573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2,211,392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21,109,721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12,433,700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3,485,213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1,097,231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546,506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7,304,730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100,783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6,382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94,401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39,872,543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21,248,109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3,248,960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1,664,886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13,710,588</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ventures’ equity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19,854,064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10,624,056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1,624,480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832,442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6,773,086</w:t>
            </w: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joint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ventures’ undistributed earnings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17,779,912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10,593,151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759,658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812,442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5,614,661</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3"/>
              </w:rPr>
              <w:t>Northern Technologies International Corporation's dividends received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from joint ventures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5,503,314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4,364,700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326,023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206,516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606,075</w:t>
            </w:r>
          </w:p>
        </w:tc>
      </w:tr>
      <w:tr>
        <w:trPr>
          <w:trHeight w:val="446"/>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jc w:val="center"/>
              <w:ind w:right="130"/>
              <w:spacing w:after="0"/>
              <w:rPr>
                <w:sz w:val="20"/>
                <w:szCs w:val="20"/>
                <w:color w:val="auto"/>
              </w:rPr>
            </w:pPr>
            <w:r>
              <w:rPr>
                <w:rFonts w:ascii="Arial" w:cs="Arial" w:eastAsia="Arial" w:hAnsi="Arial"/>
                <w:sz w:val="18"/>
                <w:szCs w:val="18"/>
                <w:b w:val="1"/>
                <w:bCs w:val="1"/>
                <w:color w:val="auto"/>
                <w:w w:val="91"/>
              </w:rPr>
              <w:t>Three Months Ended November 30, 2015</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439"/>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INDIA</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FINLAND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All Other</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5"/>
              </w:rPr>
              <w:t>21,871,209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8,207,696</w:t>
            </w:r>
          </w:p>
        </w:tc>
        <w:tc>
          <w:tcPr>
            <w:tcW w:w="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1,469,977</w:t>
            </w:r>
          </w:p>
        </w:tc>
        <w:tc>
          <w:tcPr>
            <w:tcW w:w="2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870,971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5"/>
              </w:rPr>
              <w:t>11,322,565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9,648,081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4,153,477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693,340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520,124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4,281,140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1,961,922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1,536,247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226,634</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equity 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income of joint ventures</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983,753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768,123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42,870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56,650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116,110</w:t>
            </w: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Company did not make any joint venture investments during the three months ended November 30, 2016 and 2015.</w:t>
      </w:r>
    </w:p>
    <w:p>
      <w:pPr>
        <w:spacing w:after="0" w:line="22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CHINA OPERATIONS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December 31, 2014, the Company terminated its joint venture agreements with its previous joint venture in China, Tianjin Zerust, began the process of liquidating the joint venture entity, and commenced operations in China through a wholly-owned subsidiary, NTIC (Shanghai) Co. Ltd. on January 1, 2015. Effective December 31, 2014, the Company’s investment in Tianjin Zerust was reported at carrying value based on the Company’s decreased level of influence over the entity, and the Company has reclassified previously unrecognized gains on foreign currency translation from accumulated other comprehensive income. Since it began the process of liquidating the joint venture entity on December 31, 2014, the Company has not received any proceeds from the assets of Tianjin Zerust. In addition, the Company has not received financial information or cooperation from its joint venture partner in determining the investment value. During the fourth quarter of fiscal 2016, the Company obtained additional information regarding the financial position of the investment through the legal proceedings that have been ongoing (See Note 13). These circumstances resulted in the Company concluding an indication of impairment existed and that the fair value of the investment was $0 as of August 31, 2016 based on accounting principles generally accepted in the United States of America. See Note 13 regarding ongoing litigation involving Tianjin Zerust.</w:t>
      </w:r>
    </w:p>
    <w:p>
      <w:pPr>
        <w:spacing w:after="0" w:line="17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has a revolving line of credit with PNC Bank of $3,000,000. No amounts were outstanding under the line of credit as of both November 30, 2016 and August 31, 2016.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The revolving line of credit is secured by cash, receivables and inventory.</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November 30, 2016, the Company was in compliance with all debt covenants.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revolving credit facility allows the Company to request that PNC Bank issue letters of credit up to $1,200,000. The Company did not have any letters of credit reserved against the available letters of credit balance as of November 30, 2016 and August 31, 2016 with PNC Bank. The availability of advances under the line of credit will be reduced by the face amount of any letter of credit issued and outstanding (whether or not drawn) under the revolving credit facility.</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November 30, 2016 and August 31, 2016, the Company had $75,201 and $71,599, respectively, of letters of credit with JP Morgan Chase Bank that are performance based and set to expire between 2020 and 2022.</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January 11, 2017, the Company and PNC Bank extended the maturity date of the line of credit to January 7, 2018. All other terms of the line of credit and the loan agreement and other documents evidencing the line of credit remain the same.</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months ended November 30, 2016, the Company repurchased and retired 5,575 shares of its common stock at a price of $12.87 per share. No stock options to purchase shares of common stock were exercised during the three months ended November 30, 2016.</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granted stock options under the Northern Technologies International Corporation Amended and Restated 2007 Stock Incentive Plan (the 2007 Plan) to purchase an aggregate of 56,677 shares of its common stock to various employees and directors during the three months ended November 30, 2016. The weighted average per share exercise price of the stock options is $13.40, which was equal to the fair market value of the Company’s common stock on the date of grant.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three months ended November 30, 2015, the Company repurchased and retired 3,166 shares of its common stock at a price of $15.07 per share. No stock options to purchase shares of common stock were exercised during the three months ended November 30, 2015.</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granted stock options under the 2007 Plan to purchase an aggregate of 53,447 shares of its common stock to various employees and directors during the three months ended November 30, 2015. The weighted average per share exercise price of the stock options is $14.85, which is equal to the fair market value of the Company’s common stock on the date of grant.</w:t>
      </w:r>
    </w:p>
    <w:p>
      <w:pPr>
        <w:spacing w:after="0" w:line="177"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earnings per share computation for the three months ended November 30, 2016 and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20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November 30, 2016</w:t>
            </w:r>
          </w:p>
        </w:tc>
        <w:tc>
          <w:tcPr>
            <w:tcW w:w="1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November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NTIC</w:t>
            </w:r>
          </w:p>
        </w:tc>
        <w:tc>
          <w:tcPr>
            <w:tcW w:w="20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297,639</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(234,351)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2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4,531,950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87"/>
              </w:rPr>
              <w:t>4,538,371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20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26,928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 weighted shares outstanding</w:t>
            </w:r>
          </w:p>
        </w:tc>
        <w:tc>
          <w:tcPr>
            <w:tcW w:w="20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4,558,878</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4,538,371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20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4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8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Excluded from the computation of diluted income per share for the three months ended November 30, 2016 were options outstanding to purchase 211,564 shares of common stock. Excluded from the computation of diluted earnings per share for the three months ended November 30, 2015 were all options outstanding of 295,181 due to the Company’s net loss for the period.</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 these plans.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November 30, 2016, only stock options and stock bonuses had been granted under the 2007 Plan.</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granted options to purchase an aggregate of 56,677 and 53,447 shares of its common stock during the three months ended November 30, 2016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2015, respectively. The fair value of option grants is determined at date of grant, using the Black-Scholes option pricing model with the assumptions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listed below. The Company recognized compensation expense of $97,916 and $121,854 during the three months ended November 30, 2016 and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related to the options that vested during such time period. As of November 30, 2016, the total compensation cost for nonvested options not yet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recognized in the Company’s consolidated statements of operations was $533,148, net of estimated forfeitures. Stock-based compensation expense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$293,748 is expected through the remainder of fiscal year 2017, and $159,600 and $79,800 is expected to be recognized during fiscal 2018 and fiscal 2019,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based on outstanding options as of November 30, 2016. Future option grants will impact the compensation expense recognized. Stock-based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is included in general and administrative expense on the consolidated statements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and continually reviews this estimate for future periods.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80" w:lineRule="exact"/>
        <w:rPr>
          <w:sz w:val="20"/>
          <w:szCs w:val="20"/>
          <w:color w:val="auto"/>
        </w:rPr>
      </w:pPr>
    </w:p>
    <w:p>
      <w:pPr>
        <w:ind w:left="9200"/>
        <w:spacing w:after="0"/>
        <w:rPr>
          <w:sz w:val="20"/>
          <w:szCs w:val="20"/>
          <w:color w:val="auto"/>
        </w:rPr>
      </w:pPr>
      <w:r>
        <w:rPr>
          <w:rFonts w:ascii="Arial" w:cs="Arial" w:eastAsia="Arial" w:hAnsi="Arial"/>
          <w:sz w:val="18"/>
          <w:szCs w:val="18"/>
          <w:b w:val="1"/>
          <w:bCs w:val="1"/>
          <w:color w:val="auto"/>
        </w:rPr>
        <w:t>November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Average risk-free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1.63%</w:t>
            </w:r>
          </w:p>
        </w:tc>
      </w:tr>
    </w:tbl>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weighted average per share fair value of options granted during the three months ended November 30, 2016 and 2015 was $7.69 and $8.48,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contractual life of the options outstanding as of November 30, 2016 and 2015 was 7.15 years and 6.97 years, respectively.</w:t>
      </w:r>
    </w:p>
    <w:p>
      <w:pPr>
        <w:spacing w:after="0" w:line="230"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months ended November 30, 2016 and 2015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820" w:type="dxa"/>
            <w:vAlign w:val="bottom"/>
            <w:tcBorders>
              <w:bottom w:val="single" w:sz="8" w:color="auto"/>
            </w:tcBorders>
          </w:tcPr>
          <w:p>
            <w:pPr>
              <w:spacing w:after="0"/>
              <w:rPr>
                <w:sz w:val="20"/>
                <w:szCs w:val="20"/>
                <w:color w:val="auto"/>
              </w:rPr>
            </w:pPr>
          </w:p>
        </w:tc>
      </w:tr>
      <w:tr>
        <w:trPr>
          <w:trHeight w:val="223"/>
        </w:trPr>
        <w:tc>
          <w:tcPr>
            <w:tcW w:w="8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November 30, 2016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November 30, 2015</w:t>
            </w: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8,084,678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5,977,682</w:t>
            </w:r>
          </w:p>
        </w:tc>
      </w:tr>
      <w:tr>
        <w:trPr>
          <w:trHeight w:val="230"/>
        </w:trPr>
        <w:tc>
          <w:tcPr>
            <w:tcW w:w="8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Natur-Tec® net sales</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1,617,345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1,046,755</w:t>
            </w:r>
          </w:p>
        </w:tc>
      </w:tr>
      <w:tr>
        <w:trPr>
          <w:trHeight w:val="223"/>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9,702,023</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7,024,437</w:t>
            </w:r>
          </w:p>
        </w:tc>
      </w:tr>
      <w:tr>
        <w:trPr>
          <w:trHeight w:val="20"/>
        </w:trPr>
        <w:tc>
          <w:tcPr>
            <w:tcW w:w="8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goods sold for the three months ended November 30, 2016 and 2015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November 30,</w:t>
            </w:r>
          </w:p>
        </w:tc>
        <w:tc>
          <w:tcPr>
            <w:tcW w:w="120" w:type="dxa"/>
            <w:vAlign w:val="bottom"/>
          </w:tcPr>
          <w:p>
            <w:pPr>
              <w:spacing w:after="0"/>
              <w:rPr>
                <w:sz w:val="18"/>
                <w:szCs w:val="18"/>
                <w:color w:val="auto"/>
              </w:rPr>
            </w:pPr>
          </w:p>
        </w:tc>
        <w:tc>
          <w:tcPr>
            <w:tcW w:w="1380" w:type="dxa"/>
            <w:vAlign w:val="bottom"/>
          </w:tcPr>
          <w:p>
            <w:pPr>
              <w:ind w:left="480"/>
              <w:spacing w:after="0"/>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November 30,</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 of</w:t>
            </w:r>
          </w:p>
        </w:tc>
      </w:tr>
      <w:tr>
        <w:trPr>
          <w:trHeight w:val="234"/>
        </w:trPr>
        <w:tc>
          <w:tcPr>
            <w:tcW w:w="56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Product Sales*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Product Sales*</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goods sold</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ZERUST®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4,699,537</w:t>
            </w:r>
          </w:p>
        </w:tc>
        <w:tc>
          <w:tcPr>
            <w:tcW w:w="150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58.1%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3,364,555</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56.3%</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Natur-Tec®</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1,213,168</w:t>
            </w:r>
          </w:p>
        </w:tc>
        <w:tc>
          <w:tcPr>
            <w:tcW w:w="1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3"/>
              </w:rPr>
              <w:t>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834,259</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79.7%</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Indirect cost of goods sold</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700,061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676,609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NA</w:t>
            </w: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cost of goods sold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6,612,766</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4,875,423</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hanging="692"/>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2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sales by geographic location for the three months ended November 30, 2016 and 2015 were as follows: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Inside the U.S.A. to unaffiliated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Outside the U.S.A. to:</w:t>
      </w:r>
    </w:p>
    <w:p>
      <w:pPr>
        <w:spacing w:after="0" w:line="9" w:lineRule="exact"/>
        <w:rPr>
          <w:sz w:val="20"/>
          <w:szCs w:val="20"/>
          <w:color w:val="auto"/>
        </w:rPr>
      </w:pPr>
    </w:p>
    <w:p>
      <w:pPr>
        <w:ind w:left="180" w:right="2060"/>
        <w:spacing w:after="0" w:line="276" w:lineRule="auto"/>
        <w:rPr>
          <w:sz w:val="20"/>
          <w:szCs w:val="20"/>
          <w:color w:val="auto"/>
        </w:rPr>
      </w:pPr>
      <w:r>
        <w:rPr>
          <w:rFonts w:ascii="Arial" w:cs="Arial" w:eastAsia="Arial" w:hAnsi="Arial"/>
          <w:sz w:val="18"/>
          <w:szCs w:val="18"/>
          <w:color w:val="auto"/>
        </w:rPr>
        <w:t>Joint ventures in which the Company is a shareholder directly and indirectly Unaffiliated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9"/>
              </w:rPr>
              <w:t>November 30, 2016</w:t>
            </w:r>
          </w:p>
        </w:tc>
        <w:tc>
          <w:tcPr>
            <w:tcW w:w="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November 30, 2015</w:t>
            </w:r>
          </w:p>
        </w:tc>
      </w:tr>
      <w:tr>
        <w:trPr>
          <w:trHeight w:val="224"/>
        </w:trPr>
        <w:tc>
          <w:tcPr>
            <w:tcW w:w="20" w:type="dxa"/>
            <w:vAlign w:val="bottom"/>
          </w:tcPr>
          <w:p>
            <w:pPr>
              <w:spacing w:after="0"/>
              <w:rPr>
                <w:sz w:val="19"/>
                <w:szCs w:val="19"/>
                <w:color w:val="auto"/>
              </w:rPr>
            </w:pPr>
          </w:p>
        </w:tc>
        <w:tc>
          <w:tcPr>
            <w:tcW w:w="420" w:type="dxa"/>
            <w:vAlign w:val="bottom"/>
            <w:tcBorders>
              <w:top w:val="single" w:sz="8" w:color="auto"/>
            </w:tcBorders>
          </w:tcPr>
          <w:p>
            <w:pPr>
              <w:jc w:val="right"/>
              <w:ind w:right="260"/>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5,268,999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ind w:right="277"/>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4,813,260</w:t>
            </w:r>
          </w:p>
        </w:tc>
      </w:tr>
      <w:tr>
        <w:trPr>
          <w:trHeight w:val="43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701,799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549,546</w:t>
            </w:r>
          </w:p>
        </w:tc>
      </w:tr>
      <w:tr>
        <w:trPr>
          <w:trHeight w:val="230"/>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3,731,225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1,661,631</w:t>
            </w:r>
          </w:p>
        </w:tc>
      </w:tr>
      <w:tr>
        <w:trPr>
          <w:trHeight w:val="210"/>
        </w:trPr>
        <w:tc>
          <w:tcPr>
            <w:tcW w:w="20" w:type="dxa"/>
            <w:vAlign w:val="bottom"/>
          </w:tcPr>
          <w:p>
            <w:pPr>
              <w:spacing w:after="0"/>
              <w:rPr>
                <w:sz w:val="18"/>
                <w:szCs w:val="18"/>
                <w:color w:val="auto"/>
              </w:rPr>
            </w:pPr>
          </w:p>
        </w:tc>
        <w:tc>
          <w:tcPr>
            <w:tcW w:w="42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9,702,023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7,024,437</w:t>
            </w:r>
          </w:p>
        </w:tc>
      </w:tr>
    </w:tbl>
    <w:p>
      <w:pPr>
        <w:spacing w:after="0" w:line="608" w:lineRule="exact"/>
        <w:rPr>
          <w:sz w:val="20"/>
          <w:szCs w:val="20"/>
          <w:color w:val="auto"/>
        </w:rPr>
      </w:pPr>
    </w:p>
    <w:p>
      <w:pPr>
        <w:sectPr>
          <w:pgSz w:w="11900" w:h="16838" w:orient="portrait"/>
          <w:cols w:equalWidth="0" w:num="2">
            <w:col w:w="7740" w:space="380"/>
            <w:col w:w="3300"/>
          </w:cols>
          <w:pgMar w:left="240" w:top="692" w:right="239" w:bottom="1440" w:gutter="0" w:footer="0" w:header="0"/>
        </w:sectPr>
      </w:pPr>
    </w:p>
    <w:p>
      <w:pPr>
        <w:spacing w:after="0" w:line="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months ended November 30, 2016 and 2015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Borders>
              <w:bottom w:val="single" w:sz="8" w:color="auto"/>
            </w:tcBorders>
          </w:tcPr>
          <w:p>
            <w:pPr>
              <w:spacing w:after="0"/>
              <w:rPr>
                <w:sz w:val="20"/>
                <w:szCs w:val="20"/>
                <w:color w:val="auto"/>
              </w:rPr>
            </w:pPr>
          </w:p>
        </w:tc>
      </w:tr>
      <w:tr>
        <w:trPr>
          <w:trHeight w:val="191"/>
        </w:trPr>
        <w:tc>
          <w:tcPr>
            <w:tcW w:w="3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for Services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for Services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30,</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Provided to Joint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30,</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Provided to Joint</w:t>
            </w:r>
          </w:p>
        </w:tc>
      </w:tr>
      <w:tr>
        <w:trPr>
          <w:trHeight w:val="234"/>
        </w:trPr>
        <w:tc>
          <w:tcPr>
            <w:tcW w:w="340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Ventures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Ventures</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203,000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229,785</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Poland</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149,204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139,257</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Thailand</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147,455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223,741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Japan</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146,037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130,673</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105,378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169,402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France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97,673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89,673</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87,061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72,961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United Kingdom</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86,131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108,911</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76,336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68,933</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Czech Republic</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70,828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57,553</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64,535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80,451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81,953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114,089</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340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1,315,591</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1,485,429</w:t>
            </w: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4"/>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At</w:t>
            </w:r>
          </w:p>
        </w:tc>
      </w:tr>
      <w:tr>
        <w:trPr>
          <w:trHeight w:val="216"/>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November 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August 31,</w:t>
            </w:r>
          </w:p>
        </w:tc>
      </w:tr>
      <w:tr>
        <w:trPr>
          <w:trHeight w:val="234"/>
        </w:trPr>
        <w:tc>
          <w:tcPr>
            <w:tcW w:w="8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224,270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253,931</w:t>
            </w: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India</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12,421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13,645</w:t>
            </w:r>
          </w:p>
        </w:tc>
      </w:tr>
      <w:tr>
        <w:trPr>
          <w:trHeight w:val="216"/>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Germany</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Brazil</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60,546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66,938</w:t>
            </w:r>
          </w:p>
        </w:tc>
      </w:tr>
      <w:tr>
        <w:trPr>
          <w:trHeight w:val="230"/>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8,175,442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8,219,955</w:t>
            </w:r>
          </w:p>
        </w:tc>
      </w:tr>
      <w:tr>
        <w:trPr>
          <w:trHeight w:val="223"/>
        </w:trPr>
        <w:tc>
          <w:tcPr>
            <w:tcW w:w="8120" w:type="dxa"/>
            <w:vAlign w:val="bottom"/>
          </w:tcPr>
          <w:p>
            <w:pPr>
              <w:ind w:left="280"/>
              <w:spacing w:after="0"/>
              <w:rPr>
                <w:sz w:val="20"/>
                <w:szCs w:val="20"/>
                <w:color w:val="auto"/>
              </w:rPr>
            </w:pPr>
            <w:r>
              <w:rPr>
                <w:rFonts w:ascii="Arial" w:cs="Arial" w:eastAsia="Arial" w:hAnsi="Arial"/>
                <w:sz w:val="18"/>
                <w:szCs w:val="18"/>
                <w:color w:val="auto"/>
              </w:rPr>
              <w:t>Total long-lived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8,490,703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8,554,469</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4"/>
              </w:rPr>
              <w:t>November 30,</w:t>
            </w:r>
          </w:p>
        </w:tc>
      </w:tr>
      <w:tr>
        <w:trPr>
          <w:trHeight w:val="234"/>
        </w:trPr>
        <w:tc>
          <w:tcPr>
            <w:tcW w:w="8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1,546,810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679,755</w:t>
            </w: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India</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331,610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278,690</w:t>
            </w:r>
          </w:p>
        </w:tc>
      </w:tr>
      <w:tr>
        <w:trPr>
          <w:trHeight w:val="216"/>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Germany</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118,259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140"/>
              <w:spacing w:after="0"/>
              <w:rPr>
                <w:sz w:val="20"/>
                <w:szCs w:val="20"/>
                <w:color w:val="auto"/>
              </w:rPr>
            </w:pPr>
            <w:r>
              <w:rPr>
                <w:rFonts w:ascii="Arial" w:cs="Arial" w:eastAsia="Arial" w:hAnsi="Arial"/>
                <w:sz w:val="18"/>
                <w:szCs w:val="18"/>
                <w:color w:val="auto"/>
              </w:rPr>
              <w:t>Brazil</w:t>
            </w: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601,524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448,268</w:t>
            </w:r>
          </w:p>
        </w:tc>
      </w:tr>
      <w:tr>
        <w:trPr>
          <w:trHeight w:val="216"/>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1,133,022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254,918</w:t>
            </w:r>
          </w:p>
        </w:tc>
      </w:tr>
      <w:tr>
        <w:trPr>
          <w:trHeight w:val="230"/>
        </w:trPr>
        <w:tc>
          <w:tcPr>
            <w:tcW w:w="8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5,970,798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5,362,806</w:t>
            </w:r>
          </w:p>
        </w:tc>
      </w:tr>
      <w:tr>
        <w:trPr>
          <w:trHeight w:val="223"/>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9,702,023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7,024,437</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Total long-lived assets located in China, India, Germany and Brazil primarily consist of property and equipment. These assets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geographic and segment information represents only sales and cost of goods sold recognized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joint venture operations including equity in income, fees for services and related dividends are related to ZERUST® products and services.</w:t>
      </w:r>
    </w:p>
    <w:p>
      <w:pPr>
        <w:spacing w:after="0" w:line="221"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August 26, 2016, the Compensation Committee of the Board of Directors of the Company approved the material terms of an annual bonus plan for the Company’s executive officers as well as certain officers and employees for the fiscal year ending August 31, 2017. For fiscal 2017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2017 compared to a pre-established target EBITOI for fiscal 2017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will be determined by the Company’s Board of Directors, upon recommendation of the Compensation Committee, after the completion of the Company’s consolidated financial statements for fiscal 2017. There was $98,000 accrued for management bonuses for the three months ended November 30, 2016 compared to no accrual for management bonuses for the three months ended November 30, 2015.</w:t>
      </w:r>
    </w:p>
    <w:p>
      <w:pPr>
        <w:spacing w:after="0" w:line="16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Three joint ventures (consisting of the Company’s joint ventures in Korea, India and Thailand) accounted for 66.9% of the Company’s trade joint venture receivables at November 30, 2016 and accounted for 55.8% of the Company’s trade joint venture receivables at August 31, 2016.</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March 23, 2015, the Company and NTI Asean filed a lawsuit in Tianjin No 1 Intermediate People’s Court against two individuals, Tao Meng and Xu Hui, related to breaches of duties and contractual commitments owed to NTI Asean under certain agreements related to the Company’s former joint venture in China, Tianjin Zerust Anti-Corrosion Technologies Ltd (Tianjin Zerust). The lawsuit alleges, among other things, that Mr. Tao Meng and Xu Hui have engaged in self-dealing, usurped business opportunities, and received economic benefits that were required to go to Tianjin Zerust. As of November 30, 2016, the Company is not able to reasonably estimate the amount of any recovery to NTI Asean, if any.</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7" w:name="page18"/>
    <w:bookmarkEnd w:id="17"/>
    <w:p>
      <w:pPr>
        <w:ind w:right="240"/>
        <w:spacing w:after="0" w:line="302" w:lineRule="auto"/>
        <w:rPr>
          <w:sz w:val="20"/>
          <w:szCs w:val="20"/>
          <w:color w:val="auto"/>
        </w:rPr>
      </w:pPr>
      <w:r>
        <w:rPr>
          <w:rFonts w:ascii="Arial" w:cs="Arial" w:eastAsia="Arial" w:hAnsi="Arial"/>
          <w:sz w:val="16"/>
          <w:szCs w:val="16"/>
          <w:color w:val="auto"/>
        </w:rPr>
        <w:t>On April 21, 2015, the Company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the Company’s joint venture in China, Tianjin Zerust. The case has been set for a mandatory settlement conference with the court on May 30, 2017 and the case will be set for the trial block beginning July 31, 2017 and ending August 18, 2017.</w:t>
      </w:r>
    </w:p>
    <w:p>
      <w:pPr>
        <w:spacing w:after="0" w:line="15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November 30, 2016, the amount of liability, if any, with respect to these matters, individually or in the aggregate, will not materially affect the Company’s consolidated results of operations, financial position or cash flows.</w:t>
      </w:r>
    </w:p>
    <w:p>
      <w:pPr>
        <w:spacing w:after="0" w:line="163"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Assets and liabilities that are measured at fair value on a recurring basis primarily relate to marketable equity securities. These items are marked-to-market at each reporting period. The following tables provide information by level for assets and liabilities that are measured at fair value on a recurring basis: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1"/>
              </w:rPr>
              <w:t>Fair Value Measurements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89"/>
              </w:rPr>
              <w:t>Fair value as of</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November 30, 2016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1,745,968</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1,745,968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1"/>
              </w:rPr>
              <w:t>Fair Value Measurements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89"/>
              </w:rPr>
              <w:t>Fair value as of</w:t>
            </w: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August 31, 2016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2,243,864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2,243,864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three months ended November 30, 2016 and 2015.</w:t>
      </w:r>
    </w:p>
    <w:p>
      <w:pPr>
        <w:spacing w:after="0" w:line="221"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Supplemental disclosures of cash flow information consist of:</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6"/>
        </w:trPr>
        <w:tc>
          <w:tcPr>
            <w:tcW w:w="8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4"/>
              </w:rPr>
              <w:t>November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4"/>
              </w:rPr>
              <w:t>November 30,</w:t>
            </w:r>
          </w:p>
        </w:tc>
      </w:tr>
      <w:tr>
        <w:trPr>
          <w:trHeight w:val="234"/>
        </w:trPr>
        <w:tc>
          <w:tcPr>
            <w:tcW w:w="8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r>
      <w:tr>
        <w:trPr>
          <w:trHeight w:val="210"/>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4,726</w:t>
            </w:r>
          </w:p>
        </w:tc>
      </w:tr>
      <w:tr>
        <w:trPr>
          <w:trHeight w:val="230"/>
        </w:trPr>
        <w:tc>
          <w:tcPr>
            <w:tcW w:w="812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in this report and under “Part 1. Item 1A. Risk Factors” in our annual report on Form 10-K for the fiscal year ended August 31, 2016.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NTIC has</w:t>
      </w:r>
    </w:p>
    <w:p>
      <w:pPr>
        <w:spacing w:after="0" w:line="1" w:lineRule="exact"/>
        <w:rPr>
          <w:sz w:val="20"/>
          <w:szCs w:val="20"/>
          <w:color w:val="auto"/>
        </w:rPr>
      </w:pPr>
    </w:p>
    <w:p>
      <w:pPr>
        <w:ind w:right="180"/>
        <w:spacing w:after="0" w:line="234" w:lineRule="auto"/>
        <w:rPr>
          <w:sz w:val="20"/>
          <w:szCs w:val="20"/>
          <w:color w:val="auto"/>
        </w:rPr>
      </w:pPr>
      <w:r>
        <w:rPr>
          <w:rFonts w:ascii="Arial" w:cs="Arial" w:eastAsia="Arial" w:hAnsi="Arial"/>
          <w:sz w:val="16"/>
          <w:szCs w:val="16"/>
          <w:color w:val="auto"/>
        </w:rPr>
        <w:t>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 biobased and certified</w:t>
      </w:r>
    </w:p>
    <w:p>
      <w:pPr>
        <w:ind w:right="500"/>
        <w:spacing w:after="0" w:line="205" w:lineRule="auto"/>
        <w:rPr>
          <w:sz w:val="20"/>
          <w:szCs w:val="20"/>
          <w:color w:val="auto"/>
        </w:rPr>
      </w:pPr>
      <w:r>
        <w:rPr>
          <w:rFonts w:ascii="Arial" w:cs="Arial" w:eastAsia="Arial" w:hAnsi="Arial"/>
          <w:sz w:val="18"/>
          <w:szCs w:val="18"/>
          <w:color w:val="auto"/>
        </w:rPr>
        <w:t>compostable (fully biodegradable) polymer resin compounds and finished products under the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These products are intended to reduce NTIC’s customers’ carbon footprint and provide environmentally sound waste disposal options.</w:t>
      </w:r>
    </w:p>
    <w:p>
      <w:pPr>
        <w:spacing w:after="0" w:line="207" w:lineRule="exact"/>
        <w:rPr>
          <w:sz w:val="20"/>
          <w:szCs w:val="20"/>
          <w:color w:val="auto"/>
        </w:rPr>
      </w:pPr>
    </w:p>
    <w:p>
      <w:pPr>
        <w:ind w:right="4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w:t>
      </w:r>
    </w:p>
    <w:p>
      <w:pPr>
        <w:ind w:right="38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solutions through a network of independent distributors and agents supported by a direct sales force. Internationally, NTIC sells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its majority-owned subsidiary in Brazil, Zerust Prevenção de Corrosão S.A. (Zerust Brazil), and its wholly-owned subsidiary in Mexico, ZERUST-EXCOR MEXICO, S. de R.L. de C.V (Zerust Mexico), and joint venture arrangements in North America, Europe and Asia. NTIC also sells products directly to is joint venture partners through its wholly-owned subsidiary in Germany, NTIC Europe GmbH (NTI Europe).</w:t>
      </w:r>
    </w:p>
    <w:p>
      <w:pPr>
        <w:spacing w:after="0" w:line="20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solutions. Consequently, for the past several years, NTIC has focused significant sales and marketing efforts on the oil and gas industry, as the infrastructure that supports that industry is typically</w:t>
      </w:r>
    </w:p>
    <w:p>
      <w:pPr>
        <w:spacing w:after="0" w:line="217" w:lineRule="auto"/>
        <w:rPr>
          <w:sz w:val="20"/>
          <w:szCs w:val="20"/>
          <w:color w:val="auto"/>
        </w:rPr>
      </w:pPr>
      <w:r>
        <w:rPr>
          <w:rFonts w:ascii="Arial" w:cs="Arial" w:eastAsia="Arial" w:hAnsi="Arial"/>
          <w:sz w:val="18"/>
          <w:szCs w:val="18"/>
          <w:color w:val="auto"/>
        </w:rPr>
        <w:t>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8"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typically involves a long sales cycle, often including a one- to multi-year trial period with each customer and a slow integration process thereafter.</w:t>
      </w: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9" w:name="page20"/>
    <w:bookmarkEnd w:id="19"/>
    <w:p>
      <w:pPr>
        <w:ind w:right="8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w:t>
      </w:r>
    </w:p>
    <w:p>
      <w:pPr>
        <w:spacing w:after="0" w:line="2" w:lineRule="exact"/>
        <w:rPr>
          <w:sz w:val="20"/>
          <w:szCs w:val="20"/>
          <w:color w:val="auto"/>
        </w:rPr>
      </w:pPr>
    </w:p>
    <w:p>
      <w:pPr>
        <w:ind w:right="160"/>
        <w:spacing w:after="0" w:line="224" w:lineRule="auto"/>
        <w:rPr>
          <w:sz w:val="20"/>
          <w:szCs w:val="20"/>
          <w:color w:val="auto"/>
        </w:rPr>
      </w:pPr>
      <w:r>
        <w:rPr>
          <w:rFonts w:ascii="Arial" w:cs="Arial" w:eastAsia="Arial" w:hAnsi="Arial"/>
          <w:sz w:val="16"/>
          <w:szCs w:val="16"/>
          <w:color w:val="auto"/>
        </w:rPr>
        <w:t>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w:t>
      </w:r>
    </w:p>
    <w:p>
      <w:pPr>
        <w:spacing w:after="0" w:line="1" w:lineRule="exact"/>
        <w:rPr>
          <w:sz w:val="20"/>
          <w:szCs w:val="20"/>
          <w:color w:val="auto"/>
        </w:rPr>
      </w:pPr>
    </w:p>
    <w:p>
      <w:pPr>
        <w:ind w:right="60"/>
        <w:spacing w:after="0" w:line="204" w:lineRule="auto"/>
        <w:rPr>
          <w:sz w:val="20"/>
          <w:szCs w:val="20"/>
          <w:color w:val="auto"/>
        </w:rPr>
      </w:pPr>
      <w:r>
        <w:rPr>
          <w:rFonts w:ascii="Arial" w:cs="Arial" w:eastAsia="Arial" w:hAnsi="Arial"/>
          <w:sz w:val="18"/>
          <w:szCs w:val="18"/>
          <w:color w:val="auto"/>
        </w:rPr>
        <w:t>products. 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its majority- owned subsidiary in India, Natur-Tec India Private Limited (Natur-Tec India), and through certain joint ventures.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Chinese Joint Venture</w:t>
      </w:r>
    </w:p>
    <w:p>
      <w:pPr>
        <w:spacing w:after="0" w:line="233" w:lineRule="exact"/>
        <w:rPr>
          <w:sz w:val="20"/>
          <w:szCs w:val="20"/>
          <w:color w:val="auto"/>
        </w:rPr>
      </w:pPr>
    </w:p>
    <w:p>
      <w:pPr>
        <w:jc w:val="both"/>
        <w:ind w:right="220"/>
        <w:spacing w:after="0" w:line="227" w:lineRule="auto"/>
        <w:rPr>
          <w:sz w:val="20"/>
          <w:szCs w:val="20"/>
          <w:color w:val="auto"/>
        </w:rPr>
      </w:pPr>
      <w:r>
        <w:rPr>
          <w:rFonts w:ascii="Arial" w:cs="Arial" w:eastAsia="Arial" w:hAnsi="Arial"/>
          <w:sz w:val="18"/>
          <w:szCs w:val="18"/>
          <w:color w:val="auto"/>
        </w:rPr>
        <w:t>On January 2, 2015, NTIC announced that, effective as of December 31, 2014, it is selling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 China through a wholly-owned subsidiary, NTIC (Shanghai) Co., Ltd., and has terminated its joint venture agreements with Tianjin-Zerust Anticorrosion Co., Ltd. (Tianjin Zerust). NTIC and NTI Asean LLC have filed a lawsuit in China against Mr. Tao Meng, the former joint venture entity’s other shareholder, and his spouse, seeking, among other things, an orderly liquidation of Tianjin Zerust.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NTIC indirectly has a 30% ownership interest in Tianjin Zerust through its 60% owned holding company subsidiary, NTI Asean LLC.</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the three months ended November 30, 2016 and 2015, NTIC realized approximately $636,000 and $486,000, respectively, in expenses related either directly or indirectly to the establishment and initial business operations of NTIC China, the termination of the joint venture agreements with Tianjin Zerust, NTIC’s ongoing litigation against Mr. Tao Meng and his spouse, NTIC’s ongoing litigation against Cortec Corporation, the creation of a reserve against the accounts receivable balance from Tianjin Zerust, the write-off of certain inventory and the asset impairment of NTIC’s joint venture interest in Tianjin Zerust. These expenses are recorded as selling, general and administrative expenses on NTIC’s consolidated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NTIC expects that its operating results may continue to be volatile as a result of its ongoing Chinese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NTIC has ownership interests in six subsidiaries in North America, Europe and Asia. The following table sets forth a list of NTIC’s operating subsidiaries as of November 30, 2016, the country in which the subsidiary is organized and NTIC’s ownership percentage in each subsidiary: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Percent (%)</w:t>
            </w:r>
          </w:p>
        </w:tc>
      </w:tr>
      <w:tr>
        <w:trPr>
          <w:trHeight w:val="234"/>
        </w:trPr>
        <w:tc>
          <w:tcPr>
            <w:tcW w:w="7440" w:type="dxa"/>
            <w:vAlign w:val="bottom"/>
            <w:gridSpan w:val="2"/>
          </w:tcPr>
          <w:p>
            <w:pPr>
              <w:ind w:left="2900"/>
              <w:spacing w:after="0"/>
              <w:rPr>
                <w:sz w:val="20"/>
                <w:szCs w:val="20"/>
                <w:color w:val="auto"/>
              </w:rPr>
            </w:pPr>
            <w:r>
              <w:rPr>
                <w:rFonts w:ascii="Arial" w:cs="Arial" w:eastAsia="Arial" w:hAnsi="Arial"/>
                <w:sz w:val="18"/>
                <w:szCs w:val="18"/>
                <w:b w:val="1"/>
                <w:bCs w:val="1"/>
                <w:color w:val="auto"/>
              </w:rPr>
              <w:t>Joint Venture Name</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Country</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Ownership</w:t>
            </w: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NTI Asean LLC</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United States</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60%</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Brazil</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85%</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ZERUST-EXCOR MEXICO, S. de R.L. de C.V</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Mexico</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India</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NTIC Europe GmbH</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Germany</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all of these subsidiaries are fully consolidated in NTIC’s consolidated financial statements.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 participates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0" w:name="page21"/>
    <w:bookmarkEnd w:id="20"/>
    <w:p>
      <w:pPr>
        <w:spacing w:after="0" w:line="270" w:lineRule="auto"/>
        <w:rPr>
          <w:sz w:val="20"/>
          <w:szCs w:val="20"/>
          <w:color w:val="auto"/>
        </w:rPr>
      </w:pPr>
      <w:r>
        <w:rPr>
          <w:rFonts w:ascii="Arial" w:cs="Arial" w:eastAsia="Arial" w:hAnsi="Arial"/>
          <w:sz w:val="17"/>
          <w:szCs w:val="17"/>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and therefore, provides certain additional information regarding EXCOR in the notes to NTIC’s consolidated financial statements and in this section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NTIC’s consolidated net sales increased 38.1% during the three months ended November 30, 2016 compared to the three months ended November 30, 2015. This increase was primarily a result of an increase in sales of ZERUST® rust and corrosion inhibiting packaging products, sales to joint ventures and sales of Natur-Tec® products.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three months ended November 30, 2016, 83.3% of NTIC’s consolidated net sales were derived from sales of ZERUST® products and services, which increased 35.2% to $8,084,678 compared to $5,977,682 for the three months ended November 30, 2015. This increase was due to higher sales from existing customers for new and existing products as a result of increased demand. NTIC has expanded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three months ended November 30, 2016 included $746,331 of sales made to customers in the oil and gas industry compared to $340,239 for the three months ended November 30, 2015. Overall demand for ZERUST® products and services depends heavily on the overall health of the markets in which NTIC sells its products, including the automotive, oil and gas, agriculture, and mining markets in particular. In addition, we believe demand for ZERUST® products and services in the oil and gas industry may be dependent upon oil prices, with low oil prices causing existing or potential customers to delay purchases and installations.</w:t>
      </w:r>
    </w:p>
    <w:p>
      <w:pPr>
        <w:spacing w:after="0" w:line="18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three months ended November 30, 2016, 16.7% of NTIC’s consolidated net sales were derived from sales of Natur-Tec® products compared to 14.9% during the three months ended November 30, 2015. Net sales of Natur-Tec® products increased 54.5% during the three months ended November 30, 2016 compared to the three months ended November 30, 2015 primarily due to an increase in finished product sales in North America and finished product sales at NTIC’s majority-owned subsidiary in India, Natur-Tec India Private Limited (Natur-Tec India).</w:t>
      </w: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1" w:name="page22"/>
    <w:bookmarkEnd w:id="21"/>
    <w:p>
      <w:pPr>
        <w:ind w:right="140"/>
        <w:spacing w:after="0" w:line="264" w:lineRule="auto"/>
        <w:rPr>
          <w:sz w:val="20"/>
          <w:szCs w:val="20"/>
          <w:color w:val="auto"/>
        </w:rPr>
      </w:pPr>
      <w:r>
        <w:rPr>
          <w:rFonts w:ascii="Arial" w:cs="Arial" w:eastAsia="Arial" w:hAnsi="Arial"/>
          <w:sz w:val="18"/>
          <w:szCs w:val="18"/>
          <w:color w:val="auto"/>
        </w:rPr>
        <w:t>Cost of goods sold as a percentage of net sales decreased to 68.2% during the three months ended November 30, 2016 compared to 69.4% during the three months ended November 30, 2015 primarily as a result of increased sales of ZERUST® products and services in the oil and gas industry which carry higher margins than NTIC’s ZERUST® industrial products and services.</w:t>
      </w:r>
    </w:p>
    <w:p>
      <w:pPr>
        <w:spacing w:after="0" w:line="181"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NTIC’s equity in income of joint ventures increased 29.5% to $1,274,004 during the three months ended November 30, 2016 compared to $983,753 during the three months ended November 30, 2015. This increase was primarily due to increases in profitability at the joint ventures. Total net sales of NTIC’s joint ventures increased 10.7% to $24,200,447 during the three months ended November 30, 2016 compared to $21,871,209 for the three months ended November 30, 2015 due primarily due to higher sales from existing customers for new and existing products as a result of increased demand.</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NTIC’s total operating expenses increased 9.6% to $5,153,386 during the three months ended November 30, 2016 compared to $4,703,787 for the three months ended November 30, 2015. This increase was primarily due to an increase in legal expenses in North America related to the litigation of $198,000 and an increase in operating expenses at NTIC China of $118,000. Such expenses consisted primarily of selling and personnel expense associated with the increase in sales in China.</w:t>
      </w:r>
    </w:p>
    <w:p>
      <w:pPr>
        <w:spacing w:after="0" w:line="187" w:lineRule="exact"/>
        <w:rPr>
          <w:sz w:val="20"/>
          <w:szCs w:val="20"/>
          <w:color w:val="auto"/>
        </w:rPr>
      </w:pPr>
    </w:p>
    <w:p>
      <w:pPr>
        <w:ind w:right="480"/>
        <w:spacing w:after="0" w:line="288" w:lineRule="auto"/>
        <w:rPr>
          <w:sz w:val="20"/>
          <w:szCs w:val="20"/>
          <w:color w:val="auto"/>
        </w:rPr>
      </w:pPr>
      <w:r>
        <w:rPr>
          <w:rFonts w:ascii="Arial" w:cs="Arial" w:eastAsia="Arial" w:hAnsi="Arial"/>
          <w:sz w:val="16"/>
          <w:szCs w:val="16"/>
          <w:color w:val="auto"/>
        </w:rPr>
        <w:t>NTIC spent $642,522 and $1,004,097 during the three months ended November 30, 2016 and 2015, respectively, in connection with its research and development activities. NTIC anticipates that it will spend a total of between $2,000,000 and $3,000,000 in fiscal 2017 on research and development activities. This anticipated significant decrease from fiscal 2016 is due to the transition of efforts from research and development to selling, general and</w:t>
      </w:r>
    </w:p>
    <w:p>
      <w:pPr>
        <w:ind w:right="320"/>
        <w:spacing w:after="0" w:line="205" w:lineRule="auto"/>
        <w:rPr>
          <w:sz w:val="20"/>
          <w:szCs w:val="20"/>
          <w:color w:val="auto"/>
        </w:rPr>
      </w:pPr>
      <w:r>
        <w:rPr>
          <w:rFonts w:ascii="Arial" w:cs="Arial" w:eastAsia="Arial" w:hAnsi="Arial"/>
          <w:sz w:val="18"/>
          <w:szCs w:val="18"/>
          <w:color w:val="auto"/>
        </w:rPr>
        <w:t>administrative areas, specifically as they relate to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the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oil and gas business since most of the expenses related to these business units are no longer in the research and development phase of product development.</w:t>
      </w:r>
    </w:p>
    <w:p>
      <w:pPr>
        <w:spacing w:after="0" w:line="2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income (loss) attributable to NTIC increased $531,990 to $297,639, or $0.07, per diluted common share, for the three months ended November 30, 2016 compared to net loss of $(234,351), or $(0.05) per diluted common share, for the three months ended November 30, 2015. This increase was primarily the result of the increase in gross profit, partially offset by the increase in operating expenses.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NTIC anticipates that its quarterly net income or loss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 NTIC also anticipates that its operating results during the next few quarters will be particularly volatile as a result of the changes in its Chinese operations.</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NTIC’s working capital was $15,883,792 at November 30, 2016, including $2,529,140 in cash and cash equivalents and $1,745,968 in available for sale securities, compared to $16,948,069 at August 31, 2016, including $3,395,274 in cash and cash equivalents and $2,243,864 in available for sale securities.</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8860" w:type="dxa"/>
            <w:vAlign w:val="bottom"/>
            <w:gridSpan w:val="8"/>
          </w:tcPr>
          <w:p>
            <w:pPr>
              <w:spacing w:after="0"/>
              <w:rPr>
                <w:sz w:val="20"/>
                <w:szCs w:val="20"/>
                <w:color w:val="auto"/>
              </w:rPr>
            </w:pPr>
            <w:r>
              <w:rPr>
                <w:rFonts w:ascii="Arial" w:cs="Arial" w:eastAsia="Arial" w:hAnsi="Arial"/>
                <w:sz w:val="18"/>
                <w:szCs w:val="18"/>
                <w:color w:val="auto"/>
                <w:w w:val="95"/>
              </w:rPr>
              <w:t>The following table sets forth NTIC’s results of operations for the three months ended November 30, 2016 and 2015.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6"/>
        </w:trPr>
        <w:tc>
          <w:tcPr>
            <w:tcW w:w="39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1"/>
        </w:trPr>
        <w:tc>
          <w:tcPr>
            <w:tcW w:w="3960" w:type="dxa"/>
            <w:vAlign w:val="bottom"/>
          </w:tcPr>
          <w:p>
            <w:pPr>
              <w:spacing w:after="0"/>
              <w:rPr>
                <w:sz w:val="16"/>
                <w:szCs w:val="16"/>
                <w:color w:val="auto"/>
              </w:rPr>
            </w:pPr>
          </w:p>
        </w:tc>
        <w:tc>
          <w:tcPr>
            <w:tcW w:w="12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9"/>
              </w:rPr>
              <w:t>November 30,</w:t>
            </w:r>
          </w:p>
        </w:tc>
        <w:tc>
          <w:tcPr>
            <w:tcW w:w="116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2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9"/>
              </w:rPr>
              <w:t>November 30,</w:t>
            </w:r>
          </w:p>
        </w:tc>
        <w:tc>
          <w:tcPr>
            <w:tcW w:w="118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220" w:type="dxa"/>
            <w:vAlign w:val="bottom"/>
          </w:tcPr>
          <w:p>
            <w:pPr>
              <w:jc w:val="right"/>
              <w:ind w:right="4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39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Net Sales</w:t>
            </w:r>
          </w:p>
        </w:tc>
        <w:tc>
          <w:tcPr>
            <w:tcW w:w="1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Change</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  9,000,224</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  6,501,410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2,498,814</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701,799</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523,027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178,772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6,612,766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4,875,423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1,737,343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1,274,004</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983,753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290,251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1,315,591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1,485,429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(169,838)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Selling expenses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2,039,084</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1,525,083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514,001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2,471,780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2,174,607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297,173</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642,522</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1,004,097</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(361,575)</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w:t>
            </w:r>
          </w:p>
        </w:tc>
      </w:tr>
    </w:tbl>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increased 38.1% to $9,702,023 during the three months ended November 30, 2016 compared to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November 30, 2015. This increase was primarily a result of an increase in sales of ZERUST® rust and corrosion inhibiting packaging products, sales to joint ventures and sales of Natur-Tec® products. NTIC’s consolidated net sales to unaffiliated customers excluding NTIC’s joint ventures increased 38.4% to $9,000,224 during the three months ended November 30, 2016 compared to the same period in fiscal 2016. This increase was primarily a result of increased demand from the addition of new customers at NTI China and an increase in sale of our Natur-Tec® products. Net sales to joint ventures increased 34.2% to $701,799 during the three months ended November 30, 2016 compared to the same period in fiscal 2016. This increase was primarily a result of higher demand for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category for the three months ended November 30, 2016 and 2015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300" w:type="dxa"/>
            <w:vAlign w:val="bottom"/>
            <w:tcBorders>
              <w:bottom w:val="single" w:sz="8" w:color="auto"/>
            </w:tcBorders>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8,084,678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5,977,682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2,106,996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Natur-Tec® sales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1,617,345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1,046,755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570,590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r>
      <w:tr>
        <w:trPr>
          <w:trHeight w:val="21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9,702,023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7,024,437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2,677,586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bl>
    <w:p>
      <w:pPr>
        <w:spacing w:after="0" w:line="205" w:lineRule="exact"/>
        <w:rPr>
          <w:sz w:val="20"/>
          <w:szCs w:val="20"/>
          <w:color w:val="auto"/>
        </w:rPr>
      </w:pPr>
    </w:p>
    <w:p>
      <w:pPr>
        <w:ind w:right="260"/>
        <w:spacing w:after="0" w:line="227" w:lineRule="auto"/>
        <w:rPr>
          <w:sz w:val="20"/>
          <w:szCs w:val="20"/>
          <w:color w:val="auto"/>
        </w:rPr>
      </w:pPr>
      <w:r>
        <w:rPr>
          <w:rFonts w:ascii="Arial" w:cs="Arial" w:eastAsia="Arial" w:hAnsi="Arial"/>
          <w:sz w:val="16"/>
          <w:szCs w:val="16"/>
          <w:color w:val="auto"/>
        </w:rPr>
        <w:t>During the three months ended November 30, 2016, 83.3% of NTIC’s consolidated net sales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increased 35.2% to $8,084,678 during the three months ended November 30, 2016 compared to $5,977,682 during the same period in fiscal 2016.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w:t>
      </w:r>
    </w:p>
    <w:p>
      <w:pPr>
        <w:spacing w:after="0" w:line="2"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offer sizable growth opportunities, including the oil and gas sector. Overall demand for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depends heavily on the overall health of the market segments to which NTIC sells its products, including the automotive, oil and gas, agriculture, and mining markets in particular. In addition, we believe demand for ZERUST® products and services in the oil and gas industry may be dependent upon oil prices, with low oil prices causing existing or potential customers to delay purchases and installations.</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three months ended November 30, 2016 and 2015: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300" w:type="dxa"/>
            <w:vAlign w:val="bottom"/>
            <w:tcBorders>
              <w:bottom w:val="single" w:sz="8" w:color="auto"/>
            </w:tcBorders>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9"/>
              </w:rPr>
              <w:t>November 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530"/>
              <w:spacing w:after="0" w:line="191" w:lineRule="exact"/>
              <w:rPr>
                <w:sz w:val="20"/>
                <w:szCs w:val="20"/>
                <w:color w:val="auto"/>
              </w:rPr>
            </w:pPr>
            <w:r>
              <w:rPr>
                <w:rFonts w:ascii="Arial" w:cs="Arial" w:eastAsia="Arial" w:hAnsi="Arial"/>
                <w:sz w:val="18"/>
                <w:szCs w:val="18"/>
                <w:b w:val="1"/>
                <w:bCs w:val="1"/>
                <w:color w:val="auto"/>
              </w:rPr>
              <w:t>%</w:t>
            </w:r>
          </w:p>
        </w:tc>
      </w:tr>
      <w:tr>
        <w:trPr>
          <w:trHeight w:val="234"/>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6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ZERUST® industrial 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6,636,548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5,119,093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1,517,455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5620" w:type="dxa"/>
            <w:vAlign w:val="bottom"/>
          </w:tcPr>
          <w:p>
            <w:pPr>
              <w:ind w:left="280"/>
              <w:spacing w:after="0"/>
              <w:rPr>
                <w:sz w:val="20"/>
                <w:szCs w:val="20"/>
                <w:color w:val="auto"/>
              </w:rPr>
            </w:pPr>
            <w:r>
              <w:rPr>
                <w:rFonts w:ascii="Arial" w:cs="Arial" w:eastAsia="Arial" w:hAnsi="Arial"/>
                <w:sz w:val="18"/>
                <w:szCs w:val="18"/>
                <w:color w:val="auto"/>
              </w:rPr>
              <w:t>ZERUST® joint venture net sales</w:t>
            </w:r>
          </w:p>
        </w:tc>
        <w:tc>
          <w:tcPr>
            <w:tcW w:w="1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701,799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518,350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183,449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ZERUST® oil &amp; gas net sales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746,331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340,239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406,092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r>
      <w:tr>
        <w:trPr>
          <w:trHeight w:val="224"/>
        </w:trPr>
        <w:tc>
          <w:tcPr>
            <w:tcW w:w="5620" w:type="dxa"/>
            <w:vAlign w:val="bottom"/>
          </w:tcPr>
          <w:p>
            <w:pPr>
              <w:ind w:left="500"/>
              <w:spacing w:after="0"/>
              <w:rPr>
                <w:sz w:val="20"/>
                <w:szCs w:val="20"/>
                <w:color w:val="auto"/>
              </w:rPr>
            </w:pPr>
            <w:r>
              <w:rPr>
                <w:rFonts w:ascii="Arial" w:cs="Arial" w:eastAsia="Arial" w:hAnsi="Arial"/>
                <w:sz w:val="18"/>
                <w:szCs w:val="18"/>
                <w:color w:val="auto"/>
              </w:rPr>
              <w:t>Total ZERUST® net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8,084,678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5,977,682</w:t>
            </w:r>
          </w:p>
        </w:tc>
        <w:tc>
          <w:tcPr>
            <w:tcW w:w="1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2,106,996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w:t>
            </w:r>
          </w:p>
        </w:tc>
      </w:tr>
    </w:tbl>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NTIC’s net sales to the oil and gas industry sector increased during the three months ended November 30, 2016 compared to the prior fiscal year period primarily as a result of increased sales to India. NTIC anticipates that its sales of ZERUST® products and services into the oil and gas industry will continue to remain subject to significant volatility from quarter to quarter as sales are recognized, specifically due to the volatility of oil prices.</w:t>
      </w:r>
    </w:p>
    <w:p>
      <w:pPr>
        <w:spacing w:after="0" w:line="16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During the three months ended November 30, 2016, 16.7% of NTIC’s consolidated net sales were derived from sales of Natur-Tec® products, which increased 54.5% to $1,617,345 during the three months ended November 30, 2016 compared to the three months ended November 30, 2015. Demand for Natur-Tec® products around the world depends primarily on market acceptance and the reach of NTIC’s distribution network. Because of the typical size of individual orders and overall size of NTIC’s net sales derived from sales of Natur-Tec® products, the timing of one or more orders can materially affect NTIC’s quarterly sales of Natur-Tec® products and the comparisons to prior fiscal year quarters.</w:t>
      </w:r>
    </w:p>
    <w:p>
      <w:pPr>
        <w:spacing w:after="0" w:line="17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35.6% for the three months ended November 30, 2016 compared to the three months ended November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Cost of goods sold as a percentage of net sales decreased slightly to 68.2% for the three months ended November 30, 2016 compared to 69.4% for the three months ended November 30, 2015 primarily as a result of increased sales of oil and gas products which carry higher margins than NTIC’s ZERUST® industrial products and services.</w:t>
      </w:r>
    </w:p>
    <w:p>
      <w:pPr>
        <w:spacing w:after="0" w:line="18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 xml:space="preserve">Equity in Income of Joint Ventures. </w:t>
      </w:r>
      <w:r>
        <w:rPr>
          <w:rFonts w:ascii="Arial" w:cs="Arial" w:eastAsia="Arial" w:hAnsi="Arial"/>
          <w:sz w:val="17"/>
          <w:szCs w:val="17"/>
          <w:color w:val="auto"/>
        </w:rPr>
        <w:t>NTIC’s equity in income of joint ventures increased 29.5% to $1,274,004 during the three months ended November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2016 compared to $983,753 during the three months ended November 30, 2015. This increase was primarily a result of improved profitability at the joint ventures. Of the total equity in income of joint ventures, NTIC had equity in income of joint ventures of $928,169 attributable to EXCOR during the three months ended November 30, 2016 compared to $768,123 during the three months ended November 30, 2015.</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Fees for Services Provided to Joint Ventures</w:t>
      </w:r>
      <w:r>
        <w:rPr>
          <w:rFonts w:ascii="Arial" w:cs="Arial" w:eastAsia="Arial" w:hAnsi="Arial"/>
          <w:sz w:val="17"/>
          <w:szCs w:val="17"/>
          <w:color w:val="auto"/>
        </w:rPr>
        <w:t>. NTIC recognized fee income for services provided to joint ventures of $1,315,591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November 30, 2016 compared to $1,485,429 during the three months ended November 30, 2015, representing a decrease of $169,838, or 11.4%. Fee income for services provided to joint ventures is traditionally a function of the sales made by NTIC’s joint ventures. Total net sales of NTIC’s joint ventures increased 10.7% to $24,200,447 during the three months ended November 30, 2016 compared to $21,871,209 for the three months ended November 30, 2015. The decrease in fee income for services provided to joint ventures despite the increase in total net sale of NTIC’s joint ventures was primarily the result of the joint venture incurring the sales increases when compared to royalty rates and expected payments.</w:t>
      </w:r>
    </w:p>
    <w:p>
      <w:pPr>
        <w:spacing w:after="0" w:line="1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Net sales of NTIC’s joint ventures are not included in NTIC’s consolidated financial statements. Of the total fee income for services provided to its joint ventures, fees of $203,000 were attributable to EXCOR during the three months ended November 30, 2016 compared to $229,785 attributable to EXCOR during the three months ended November 30, 2015.</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4" w:name="page25"/>
    <w:bookmarkEnd w:id="24"/>
    <w:p>
      <w:pPr>
        <w:ind w:right="20"/>
        <w:spacing w:after="0" w:line="268"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33.7% for the three months ended November 30, 2016 compared to the same period in fiscal 2016 due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transition of focus from research and development to selling, specifically as they relate to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oil and gas business, since most of the expenses related to these business units are no longer in the research and development phase of product development. Selling expenses as a percentage of net sales decreased slightly to 21.0% for the three months ended November 30, 2016, from 21.7% during the three months ended November 30, 2015 due primarily to the significant increase in net sales, partially offset by the increase in selling expenses, as previously described.</w:t>
      </w:r>
    </w:p>
    <w:p>
      <w:pPr>
        <w:spacing w:after="0" w:line="18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13.7% for the three months ended November 30, 2016</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fiscal 2016 due primarily to the transition of expenses that were previously focused on research and development efforts, but</w:t>
      </w:r>
    </w:p>
    <w:p>
      <w:pPr>
        <w:ind w:right="60"/>
        <w:spacing w:after="0" w:line="252" w:lineRule="auto"/>
        <w:rPr>
          <w:sz w:val="20"/>
          <w:szCs w:val="20"/>
          <w:color w:val="auto"/>
        </w:rPr>
      </w:pPr>
      <w:r>
        <w:rPr>
          <w:rFonts w:ascii="Arial" w:cs="Arial" w:eastAsia="Arial" w:hAnsi="Arial"/>
          <w:sz w:val="17"/>
          <w:szCs w:val="17"/>
          <w:color w:val="auto"/>
        </w:rPr>
        <w:t>now relate to general and administrative focus, specifically as they relate to Natur-Tec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the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oil and gas business, since most of the expenses related to these business units are no longer in the research and development phase of product development. Additionally, expenses incurred in support of joint ventures are now included in general and administrative expenses. Expenses previously classified as expenses incurred in support of joint ventures were $116,800 during the three months ended November 30, 2016 compared to $316,994 during the three months ended November 30, 2015. NTIC’s general and administrative expenses also increased due to an increase in legal expenses in North America related to the litigation against Cortec Corporation of $198,000. As a percentage of net sales, general and administrative expenses decreased to 25.5% for the three months ended November 30, 2016 from 31.0% for the three months ended November 30, 2015 due primarily to the increase in net sales, partially offset by the increase in general and administrative expenses, as previously described.</w:t>
      </w:r>
    </w:p>
    <w:p>
      <w:pPr>
        <w:spacing w:after="0" w:line="19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NTIC’s research and development expenses decreased 36.0% for the three months ended November 30, 2016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fiscal 2016 due primarily to the transition of resources that were previously devoted towards research and development to selling and general and administrative efforts, as previously described.</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$3,563 during the three months ended November 30, 2016 compared to $14,173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2015 due to lower average cash balances.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$4,623 during the three months ended November 30, 2016 compared to $4,726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30, 2015.</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i w:val="1"/>
          <w:iCs w:val="1"/>
          <w:color w:val="auto"/>
        </w:rPr>
        <w:t>Income (Loss) Before Income Tax Expense</w:t>
      </w:r>
      <w:r>
        <w:rPr>
          <w:rFonts w:ascii="Arial" w:cs="Arial" w:eastAsia="Arial" w:hAnsi="Arial"/>
          <w:sz w:val="17"/>
          <w:szCs w:val="17"/>
          <w:color w:val="auto"/>
        </w:rPr>
        <w:t>. NTIC incurred income before income tax expense equal to $524,406 for the three months ended November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2016 compared to a loss before income tax expense equal to $(76,144) for the three months ended November 30, 2015.</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Income tax expense was $117,713 during the three months ended November 30, 2016 compared to an income tax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$(3,502) during the three months ended November 30, 2015. Income tax expense was calculated based on management’s estimate of NTIC’s annual effective income tax rate.</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$17,978,218 and $17,779,912 at November 30, 2016 and August 31, 2016,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Comprehensive (Loss) Income - Foreign Currency Translations Adjustment. </w:t>
      </w:r>
      <w:r>
        <w:rPr>
          <w:rFonts w:ascii="Arial" w:cs="Arial" w:eastAsia="Arial" w:hAnsi="Arial"/>
          <w:sz w:val="18"/>
          <w:szCs w:val="18"/>
          <w:color w:val="auto"/>
        </w:rPr>
        <w:t>The significant changes in the foreign currency translations adjustment was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strengthening of the U.S. dollar compared to the Euro and other foreign currencies during the three months ended November 30, 2016 compared to the same period in fiscal 2016.</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was $15,883,792 at November 30, 2016, including $2,529,140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$1,745,968 in available for sale securities, compared to $16,948,069 at August 31, 2016, including $3,395,274 in cash and cash equivalents and $2,243,864 in available for sale securities.</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As of November 30, 2016,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January 11, 2017, NTIC and PNC Bank extended the maturity date of the line of credit retroactively from January 7, 2017 to January 7, 2018.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and any stock repurchases for at least the next 12 months. During the remainder of fiscal 2017, NTIC expects to continue to invest in NTIC China, research and development and in marketing efforts and resources into the application of its corrosion prevention technology into the oil and gas industry and its Natur-Tec®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their respective operations and/or liquidity.</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Net cash used in operating activities during the three months ended November 30, 2016 was $924,426, which resulted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from NTIC’s equity in income from joint ventures, a decrease in inventory and increases in trade receivables, prepaid expenses, accrued liabilities, and income tax payable, partially offset by NTIC’s net income, depreciation and amortization. Net cash used in operating activities during the three months ended November 30, 2015 was $750,248, which resulted principally from NTIC’s equity in income from joint ventures, a decrease in accrued liabilities and increases in receivables and prepaid expenses, partially offset by depreciation and amortization.</w:t>
      </w:r>
    </w:p>
    <w:p>
      <w:pPr>
        <w:spacing w:after="0" w:line="17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jc w:val="both"/>
        <w:ind w:right="260"/>
        <w:spacing w:after="0" w:line="264" w:lineRule="auto"/>
        <w:rPr>
          <w:sz w:val="20"/>
          <w:szCs w:val="20"/>
          <w:color w:val="auto"/>
        </w:rPr>
      </w:pPr>
      <w:r>
        <w:rPr>
          <w:rFonts w:ascii="Arial" w:cs="Arial" w:eastAsia="Arial" w:hAnsi="Arial"/>
          <w:sz w:val="18"/>
          <w:szCs w:val="18"/>
          <w:color w:val="auto"/>
        </w:rPr>
        <w:t>NTIC experienced an increase in trade receivables and a decrease in inventory as of November 30, 2016 compared to August 31, 2016. Trade receivables excluding joint ventures as of November 30, 2016 increased $699,421 compared to August 31, 2016, primarily related to the timing of collections and the increase in sales.</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Outstanding trade receivables excluding joint ventures balances as of November 30, 2016 increased 5 days to an average of 55 days from balances outstanding from these customers as of August 31, 2016.</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Outstanding trade receivables from joint ventures as of November 30, 2016 decreased $91,385 compared to August 31, 2016 primarily due to the timing of payments. Outstanding balances from trade receivables from joint ventures decreased an average of 16 days from an average of 106 days from balances outstanding from these customers compared to August 31, 2016. The significant average days outstanding of trade receivables from joint ventures as of November 30, 2016 were primarily due to the receivables balances at NTIC’s joint venture in South Korea and Tianjin Zerust.</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Outstanding receivables for services provided to joint ventures as of November 30, 2016 increased $15,518 compared to August 31, 2016 and decreased 2 days to an average of 98 days compared to August 31, 2016.</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investing activities for the three months ended November 30, 2016 was $327,105, which was primarily the result of cash proceeds from the sale of available for sale securities, partially offset by additions to property and equipment and additions to patents. Net cash provided by investing activities for the three months ended November 30, 2015 was $1,221,787, which was primarily the result of cash proceeds from the sale of available for sale securities, partially offset by additions to property and equipment and additions to patents.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financing activities for the three months ended November 30, 2016 was $238,757, which resulted from dividends paid to a non-controlling interest and stock repurchases, partially offset by proceeds from NTIC’s employee stock purchase plan. Net cash used in financing activities for the three months ended November 30, 2015 was $12,706, which resulted from stock repurchases, partially offset by proceeds from NTIC’s employee stock purchase plan.</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Share Repurchase Plan</w:t>
      </w:r>
      <w:r>
        <w:rPr>
          <w:rFonts w:ascii="Arial" w:cs="Arial" w:eastAsia="Arial" w:hAnsi="Arial"/>
          <w:sz w:val="18"/>
          <w:szCs w:val="18"/>
          <w:color w:val="auto"/>
        </w:rPr>
        <w:t>. On January 15, 2015, NTIC’s Board of Directors authorized the repurchase of up to $3,000,000 in shares of NTIC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market purchases or unsolicited or solicited privately negotiated transactions. This program has no expiration date but may be terminated by NTIC’s Board of Directors at any time. As of November 30, 2016, up to $2,764,884 in shares of NTIC common stock remained available for repurchase under NTIC’s stock repurchase program.</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$112,589 on capital expenditures during the three months ended November 30, 2016, which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purchase of new equipment. NTIC expects to spend an aggregate of approximately $200,000 to $400,000 on capital expenditures during fiscal 2017, which it expects will relate primarily to the purchase of new equipment.</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There has been no material change to NTIC’s contractual obligations as provided in “Part II. Item 7, Management’s Discussion and Analysis of Financial Condition and Results of Operations—Contractual Obligations,” included in NTIC’s annual report on Form 10-K for the fiscal year ended August 31,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now some seasonality in its business. NTIC anticipates its net sales in second fiscal quarter may be adversely affected by the long Chinese New Year, the North American holiday season and overall less corrosion taking place at lower winter temperatures worldwide.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2016, NTIC had no borrowings under the line of credit.</w:t>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right="24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operations in China, the termination of the joint venture agreements with Tianjin Zerust, the ongoing litigation against Mr. Tao Meng and Cortec Corporation and the anticipated liquidation of Tianjin Zerust and the effect of all these events on NTIC’s business and future operating results;</w:t>
      </w:r>
    </w:p>
    <w:p>
      <w:pPr>
        <w:spacing w:after="0" w:line="181"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4" w:lineRule="exact"/>
        <w:rPr>
          <w:rFonts w:ascii="Arial" w:cs="Arial" w:eastAsia="Arial" w:hAnsi="Arial"/>
          <w:sz w:val="18"/>
          <w:szCs w:val="18"/>
          <w:color w:val="auto"/>
        </w:rPr>
      </w:pPr>
    </w:p>
    <w:p>
      <w:pPr>
        <w:ind w:left="980" w:right="500" w:hanging="324"/>
        <w:spacing w:after="0" w:line="202" w:lineRule="auto"/>
        <w:tabs>
          <w:tab w:leader="none" w:pos="98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color w:val="auto"/>
        </w:rPr>
        <w:t>The variability in NTIC’s sales of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NTIC’s equity income of joint ventures, which variability in sales and equity in income of joint venture in turn, subject NTIC’s earnings to quarterly fluctuations;</w:t>
      </w:r>
    </w:p>
    <w:p>
      <w:pPr>
        <w:spacing w:after="0" w:line="204" w:lineRule="exact"/>
        <w:rPr>
          <w:rFonts w:ascii="Arial" w:cs="Arial" w:eastAsia="Arial" w:hAnsi="Arial"/>
          <w:sz w:val="36"/>
          <w:szCs w:val="36"/>
          <w:color w:val="auto"/>
          <w:vertAlign w:val="superscript"/>
        </w:rPr>
      </w:pPr>
    </w:p>
    <w:p>
      <w:pPr>
        <w:ind w:left="980" w:right="3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and taxes;</w:t>
      </w: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9" w:name="page30"/>
    <w:bookmarkEnd w:id="29"/>
    <w:p>
      <w:pPr>
        <w:ind w:left="324" w:right="60" w:hanging="324"/>
        <w:spacing w:after="0" w:line="277"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the referendum vote of the United Kingdom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health of the U.S. automotive industry on NTIC’s business;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324" w:right="120" w:hanging="324"/>
        <w:spacing w:after="0" w:line="277"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324" w:right="60" w:hanging="324"/>
        <w:spacing w:after="0" w:line="222"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2"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324" w:right="300" w:hanging="324"/>
        <w:spacing w:after="0" w:line="186" w:lineRule="auto"/>
        <w:tabs>
          <w:tab w:leader="none" w:pos="324"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7" w:lineRule="exact"/>
        <w:rPr>
          <w:rFonts w:ascii="Arial" w:cs="Arial" w:eastAsia="Arial" w:hAnsi="Arial"/>
          <w:sz w:val="36"/>
          <w:szCs w:val="36"/>
          <w:color w:val="auto"/>
          <w:vertAlign w:val="superscript"/>
        </w:rPr>
      </w:pPr>
    </w:p>
    <w:p>
      <w:pPr>
        <w:ind w:left="324" w:hanging="324"/>
        <w:spacing w:after="0" w:line="186" w:lineRule="auto"/>
        <w:tabs>
          <w:tab w:leader="none" w:pos="324"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into the oil and gas industry;</w:t>
      </w:r>
    </w:p>
    <w:p>
      <w:pPr>
        <w:spacing w:after="0" w:line="78" w:lineRule="exact"/>
        <w:rPr>
          <w:rFonts w:ascii="Arial" w:cs="Arial" w:eastAsia="Arial" w:hAnsi="Arial"/>
          <w:sz w:val="36"/>
          <w:szCs w:val="36"/>
          <w:color w:val="auto"/>
          <w:vertAlign w:val="superscript"/>
        </w:rPr>
      </w:pPr>
    </w:p>
    <w:p>
      <w:pPr>
        <w:ind w:left="324" w:right="300" w:hanging="324"/>
        <w:spacing w:after="0" w:line="277" w:lineRule="auto"/>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00" w:lineRule="exact"/>
        <w:rPr>
          <w:sz w:val="20"/>
          <w:szCs w:val="20"/>
          <w:color w:val="auto"/>
        </w:rPr>
      </w:pPr>
    </w:p>
    <w:p>
      <w:pPr>
        <w:spacing w:after="0" w:line="234" w:lineRule="exact"/>
        <w:rPr>
          <w:sz w:val="20"/>
          <w:szCs w:val="20"/>
          <w:color w:val="auto"/>
        </w:rPr>
      </w:pPr>
    </w:p>
    <w:p>
      <w:pPr>
        <w:jc w:val="center"/>
        <w:ind w:right="556"/>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24"/>
          </w:cols>
          <w:pgMar w:left="896" w:top="692" w:right="279" w:bottom="1440" w:gutter="0" w:footer="0" w:header="0"/>
        </w:sectPr>
      </w:pPr>
    </w:p>
    <w:bookmarkStart w:id="30" w:name="page31"/>
    <w:bookmarkEnd w:id="30"/>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NTIC’s effective tax rate;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2016 under the heading “Part I. Item 1A. Risk Factors.”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1" w:name="page32"/>
    <w:bookmarkEnd w:id="31"/>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2016,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November 30, 2016 that has materially affected, or is reasonably likely to materially affect NTIC’s internal control over financial reporting.</w:t>
      </w: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March 23, 2015, NTIC and NTI Asean LLC, a majority-owned subsidiary of NTIC,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The lawsuit alleges, among other things, that Mr. Tao Meng and Xu Hui have engaged in self-dealing, usurped business opportunities, and received economic benefits that were required to go to Tianjin Zerust. At this point it is too early in the lawsuit to reasonably estimate the amount of any recovery to NTI Asean.</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April 21, 2015, NTIC and NTI Asean initiated a lawsuit in the District Court for the Second Judicial District, County of Ramsey, State of Minnesota against Cortec Corporation alleging, among other things, that Cortec Corporation aided and abetted breaches of duties and contractual commitments owed to the Company and NTI Asean related to NTIC’s joint venture in China, Tianjin Zerust. On November 4, 2015, NTIC and NTI Asean were permitted to file an amended complaint adding new counts, including, but not limited to, one for breach of contract, arising out of Cortec’s breach of a 2005 Settlement Agreement and Consent Order. The case was subsequently assigned to the complex civil jury trial calendar, extending deadlines for discovery and trial. NTIC and NTI Asean intend to bring a further motion to amend in order to add a claim for punitive damages and to move the court for summary judgment. The case has been set for a mandatory settlement conference with the court on May 30, 2017 and the case will be set for the trial block beginning July 31, 2017 and ending August 18,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three months ended November 30, 2016,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first quarter of fiscal 2017 stock repurchase activity.</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5440" w:type="dxa"/>
            <w:vAlign w:val="bottom"/>
            <w:tcBorders>
              <w:top w:val="single" w:sz="8" w:color="auto"/>
              <w:left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 Number</w:t>
            </w:r>
          </w:p>
        </w:tc>
      </w:tr>
      <w:tr>
        <w:trPr>
          <w:trHeight w:val="216"/>
        </w:trPr>
        <w:tc>
          <w:tcPr>
            <w:tcW w:w="544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Shares (or Units)</w:t>
            </w:r>
          </w:p>
        </w:tc>
      </w:tr>
      <w:tr>
        <w:trPr>
          <w:trHeight w:val="216"/>
        </w:trPr>
        <w:tc>
          <w:tcPr>
            <w:tcW w:w="544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Purchased As</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that May Yet Be</w:t>
            </w:r>
          </w:p>
        </w:tc>
      </w:tr>
      <w:tr>
        <w:trPr>
          <w:trHeight w:val="216"/>
        </w:trPr>
        <w:tc>
          <w:tcPr>
            <w:tcW w:w="544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of Shares</w:t>
            </w: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Average Price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544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(or Units)</w:t>
            </w: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Paid Per Share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 Plans</w:t>
            </w:r>
          </w:p>
        </w:tc>
        <w:tc>
          <w:tcPr>
            <w:tcW w:w="162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5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4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Purchased</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(or Unit)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r>
      <w:tr>
        <w:trPr>
          <w:trHeight w:val="223"/>
        </w:trPr>
        <w:tc>
          <w:tcPr>
            <w:tcW w:w="54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1, 2016 through September 30, 2016</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12.70</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620" w:type="dxa"/>
            <w:vAlign w:val="bottom"/>
            <w:tcBorders>
              <w:bottom w:val="single" w:sz="8" w:color="auto"/>
              <w:right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(1)</w:t>
            </w:r>
          </w:p>
        </w:tc>
      </w:tr>
      <w:tr>
        <w:trPr>
          <w:trHeight w:val="223"/>
        </w:trPr>
        <w:tc>
          <w:tcPr>
            <w:tcW w:w="5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October 1, 2016 through October 31, 2016</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300</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13.00</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62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(1)</w:t>
            </w:r>
          </w:p>
        </w:tc>
      </w:tr>
      <w:tr>
        <w:trPr>
          <w:trHeight w:val="223"/>
        </w:trPr>
        <w:tc>
          <w:tcPr>
            <w:tcW w:w="544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1, 2016 through November 30, 2016</w:t>
            </w:r>
          </w:p>
        </w:tc>
        <w:tc>
          <w:tcPr>
            <w:tcW w:w="144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12.89</w:t>
            </w:r>
          </w:p>
        </w:tc>
        <w:tc>
          <w:tcPr>
            <w:tcW w:w="1460" w:type="dxa"/>
            <w:vAlign w:val="bottom"/>
            <w:tcBorders>
              <w:bottom w:val="single" w:sz="8" w:color="auto"/>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620" w:type="dxa"/>
            <w:vAlign w:val="bottom"/>
            <w:tcBorders>
              <w:bottom w:val="single" w:sz="8" w:color="auto"/>
              <w:right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90"/>
              </w:rPr>
              <w:t>(1)(2)</w:t>
            </w:r>
          </w:p>
        </w:tc>
      </w:tr>
      <w:tr>
        <w:trPr>
          <w:trHeight w:val="223"/>
        </w:trPr>
        <w:tc>
          <w:tcPr>
            <w:tcW w:w="54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12.86</w:t>
            </w:r>
          </w:p>
        </w:tc>
        <w:tc>
          <w:tcPr>
            <w:tcW w:w="14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w:t>
            </w:r>
          </w:p>
        </w:tc>
        <w:tc>
          <w:tcPr>
            <w:tcW w:w="1620" w:type="dxa"/>
            <w:vAlign w:val="bottom"/>
            <w:tcBorders>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w w:val="90"/>
              </w:rPr>
              <w:t>(1)(2)</w:t>
            </w:r>
          </w:p>
        </w:tc>
      </w:tr>
    </w:tbl>
    <w:p>
      <w:pPr>
        <w:spacing w:after="0" w:line="202" w:lineRule="exact"/>
        <w:rPr>
          <w:sz w:val="20"/>
          <w:szCs w:val="20"/>
          <w:color w:val="auto"/>
        </w:rPr>
      </w:pPr>
    </w:p>
    <w:p>
      <w:pPr>
        <w:ind w:left="660" w:right="44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November 30, 2016, up to $2,764,683 in shares of NTIC common stock remained available for repurchase under NTIC’s stock repurchase program.</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of Line of Credit</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January 11, 2017, NTIC and PNC Bank entered into a letter agreement extending the maturity date of NTIC’s line of credit with PNC Bank retroactively from January 7, 2017 to January 7, 2018. All other terms of the line of credit and the loan agreement and other documents evidencing the line of credit remain the same. The foregoing represents only a summary of the material terms of the letter agreement, does not purport to be complete and is qualified in its entirety by reference to the complete text of the letter agreement, which is filed as Exhibit 10.1 to this report, and is incorporated by reference herein.</w:t>
      </w:r>
    </w:p>
    <w:p>
      <w:pPr>
        <w:spacing w:after="0" w:line="15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PNC Bank and its affiliates have in the past performed, and may in the future from time to time perform, investment banking, financial advisory, lending and/or commercial banking services for NTIC and its subsidiaries in arm’s length transactions, on terms customarily available to unrelated third-parties and for which services it has in the past received, and may in the future receive, customary compensation and reimbursement of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 with Bioplastic Polymers LLC</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previously disclosed, NTIC paid consulting fees to Bioplastic Polymers LLC which is owned by Ramani Narayan, Ph.D., one of NTIC’s directors, in the aggregate amount of $100,000 and royalty fees in an aggregate amount of $31,463 during the fiscal year ended August 31, 2016. The consulting services rendered by Bioplastic Polymers LLC related to research and development associated with various new technologies and the royalty fees were paid pursuant to an oral agreement pursuant to which NTIC agreed to pay Bioplastic Polymers LLC and Dr. Narayan certain royalties on net sales of products incorporating the biodegradable polymer technology transferred to NTIC by Bioplastic Polymers LLC and Dr. Narayan in consideration of the transfer and assignment of such technology to NTIC.</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34" w:name="page35"/>
    <w:bookmarkEnd w:id="34"/>
    <w:p>
      <w:pPr>
        <w:spacing w:after="0" w:line="270" w:lineRule="auto"/>
        <w:rPr>
          <w:sz w:val="20"/>
          <w:szCs w:val="20"/>
          <w:color w:val="auto"/>
        </w:rPr>
      </w:pPr>
      <w:r>
        <w:rPr>
          <w:rFonts w:ascii="Arial" w:cs="Arial" w:eastAsia="Arial" w:hAnsi="Arial"/>
          <w:sz w:val="17"/>
          <w:szCs w:val="17"/>
          <w:color w:val="auto"/>
        </w:rPr>
        <w:t>On January 11, 2017, NTIC, Bioplastic Polymers LLC and Dr. Narayan entered into a consulting agreement which supersedes and replaces the oral agreements described above. Under the terms of the consulting agreement, Dr. Narayan must personally provide certain consulting services to NTIC relating to NTIC’s Natur-Tec® business and bioplastics program. The consulting agreement sets out terms for clear separation between Dr. Narayan’s work at Michigan State University (“University”) and any related University inventions and his work with NTIC and any related NTIC inventions. In exchange for the consulting services, NTIC has agreed to pay Dr. Narayan $12,000 per month. The term of the consulting agreement is five (5) years, and unless earlier terminated by the parties, will terminate on January 11, 2022. Either party may terminate the consulting agreement earlier upon thirty (30) days prior written notice. The consulting agreement will terminate automatically upon the death of Dr. Narayan or in the event of his disability that prevents him from performing the consulting services under the agreement. The foregoing represents only a summary of the material terms of the consulting agreement, does not purport to be complete and is qualified in its entirety by reference to the complete text of the consulting agreement, which is filed as Exhibit 10.2 to this report,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7"/>
                <w:szCs w:val="17"/>
                <w:color w:val="auto"/>
              </w:rPr>
            </w:pPr>
          </w:p>
        </w:tc>
        <w:tc>
          <w:tcPr>
            <w:tcW w:w="10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Letter Agreement effective as of January 11, 2017 between PNC Bank, National Association and Northern Technologies International</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Corporation (filed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Consulting Agreement dated January 11, 2017 by and among Northern Technologies International Corporation, BioPlastic Polymers LLC,</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and Ramani Narayan, Ph.D. (filed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Exchange Act Rules 13a-14(a)/15d-14(a), as Adopted Pursuant to Section 302 of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Exchange Act Rules 13a-14(a)/15d-14(a), as Adopted Pursuant to Section 302 of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Sarbanes-Oxley Act of 2002 (filed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 Sarbanes-Oxley</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 (furnished herewith)</w:t>
            </w:r>
          </w:p>
        </w:tc>
      </w:t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Act of 2002 (furnished herewith)</w:t>
            </w:r>
          </w:p>
        </w:tc>
      </w:tr>
    </w:tbl>
    <w:p>
      <w:pPr>
        <w:ind w:left="1380" w:right="20" w:hanging="933"/>
        <w:spacing w:after="0" w:line="273" w:lineRule="auto"/>
        <w:tabs>
          <w:tab w:leader="none" w:pos="1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following materials from NTIC’s Quarterly Report on Form 10-Q for the fiscal quarter ended November 30, 2016, formatted in XBRL (Extensible Business Reporting Language): (i) the unaudited Consolidated Balance Sheets, (ii) the unaudited Consolidated Statements of Operations, (iii) the unaudited Consolidated Statements of Comprehensive Income (Loss), (iv) the unaudited Consolidated Statements of Cash Flows, and (v) Notes to Consolidated Financial Statements (filed herewith)</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6720" w:type="dxa"/>
            <w:vAlign w:val="bottom"/>
            <w:gridSpan w:val="3"/>
          </w:tcPr>
          <w:p>
            <w:pPr>
              <w:ind w:left="116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0" w:type="dxa"/>
            <w:vAlign w:val="bottom"/>
          </w:tcPr>
          <w:p>
            <w:pPr>
              <w:spacing w:after="0"/>
              <w:rPr>
                <w:sz w:val="1"/>
                <w:szCs w:val="1"/>
                <w:color w:val="auto"/>
              </w:rPr>
            </w:pPr>
          </w:p>
        </w:tc>
      </w:tr>
      <w:tr>
        <w:trPr>
          <w:trHeight w:val="729"/>
        </w:trPr>
        <w:tc>
          <w:tcPr>
            <w:tcW w:w="2840" w:type="dxa"/>
            <w:vAlign w:val="bottom"/>
            <w:vMerge w:val="restart"/>
          </w:tcPr>
          <w:p>
            <w:pPr>
              <w:spacing w:after="0"/>
              <w:rPr>
                <w:sz w:val="20"/>
                <w:szCs w:val="20"/>
                <w:color w:val="auto"/>
              </w:rPr>
            </w:pPr>
            <w:r>
              <w:rPr>
                <w:rFonts w:ascii="Arial" w:cs="Arial" w:eastAsia="Arial" w:hAnsi="Arial"/>
                <w:sz w:val="18"/>
                <w:szCs w:val="18"/>
                <w:color w:val="auto"/>
              </w:rPr>
              <w:t>Date: January 17, 2017</w:t>
            </w:r>
          </w:p>
        </w:tc>
        <w:tc>
          <w:tcPr>
            <w:tcW w:w="288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40" w:type="dxa"/>
            <w:vAlign w:val="bottom"/>
            <w:vMerge w:val="continue"/>
          </w:tcPr>
          <w:p>
            <w:pPr>
              <w:spacing w:after="0"/>
              <w:rPr>
                <w:sz w:val="16"/>
                <w:szCs w:val="16"/>
                <w:color w:val="auto"/>
              </w:rPr>
            </w:pPr>
          </w:p>
        </w:tc>
        <w:tc>
          <w:tcPr>
            <w:tcW w:w="288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Matthew C. Wolsfeld, CPA</w:t>
            </w: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 and</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2"/>
              </w:rPr>
              <w:t>Duly Authorized to Sign on Behalf of the Registrant)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-865505</wp:posOffset>
            </wp:positionV>
            <wp:extent cx="951865"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518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400" w:type="dxa"/>
            <w:vAlign w:val="bottom"/>
            <w:tcBorders>
              <w:top w:val="single" w:sz="8" w:color="auto"/>
              <w:left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Exhibit No.</w:t>
            </w:r>
          </w:p>
        </w:tc>
        <w:tc>
          <w:tcPr>
            <w:tcW w:w="6280" w:type="dxa"/>
            <w:vAlign w:val="bottom"/>
            <w:tcBorders>
              <w:top w:val="single" w:sz="8" w:color="auto"/>
              <w:right w:val="single" w:sz="8" w:color="auto"/>
            </w:tcBorders>
            <w:vMerge w:val="restart"/>
          </w:tcPr>
          <w:p>
            <w:pPr>
              <w:ind w:left="2680"/>
              <w:spacing w:after="0"/>
              <w:rPr>
                <w:sz w:val="20"/>
                <w:szCs w:val="20"/>
                <w:color w:val="auto"/>
              </w:rPr>
            </w:pPr>
            <w:r>
              <w:rPr>
                <w:rFonts w:ascii="Arial" w:cs="Arial" w:eastAsia="Arial" w:hAnsi="Arial"/>
                <w:sz w:val="18"/>
                <w:szCs w:val="18"/>
                <w:b w:val="1"/>
                <w:bCs w:val="1"/>
                <w:color w:val="auto"/>
              </w:rPr>
              <w:t>Description</w:t>
            </w:r>
          </w:p>
        </w:tc>
        <w:tc>
          <w:tcPr>
            <w:tcW w:w="37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Method of Filing</w:t>
            </w:r>
          </w:p>
        </w:tc>
        <w:tc>
          <w:tcPr>
            <w:tcW w:w="0" w:type="dxa"/>
            <w:vAlign w:val="bottom"/>
          </w:tcPr>
          <w:p>
            <w:pPr>
              <w:spacing w:after="0"/>
              <w:rPr>
                <w:sz w:val="1"/>
                <w:szCs w:val="1"/>
                <w:color w:val="auto"/>
              </w:rPr>
            </w:pPr>
          </w:p>
        </w:tc>
      </w:tr>
      <w:tr>
        <w:trPr>
          <w:trHeight w:val="198"/>
        </w:trPr>
        <w:tc>
          <w:tcPr>
            <w:tcW w:w="1400" w:type="dxa"/>
            <w:vAlign w:val="bottom"/>
            <w:tcBorders>
              <w:left w:val="single" w:sz="8" w:color="auto"/>
              <w:bottom w:val="single" w:sz="8" w:color="auto"/>
              <w:right w:val="single" w:sz="8" w:color="auto"/>
            </w:tcBorders>
          </w:tcPr>
          <w:p>
            <w:pPr>
              <w:spacing w:after="0"/>
              <w:rPr>
                <w:sz w:val="17"/>
                <w:szCs w:val="17"/>
                <w:color w:val="auto"/>
              </w:rPr>
            </w:pPr>
          </w:p>
        </w:tc>
        <w:tc>
          <w:tcPr>
            <w:tcW w:w="6280" w:type="dxa"/>
            <w:vAlign w:val="bottom"/>
            <w:tcBorders>
              <w:bottom w:val="single" w:sz="8" w:color="auto"/>
              <w:right w:val="single" w:sz="8" w:color="auto"/>
            </w:tcBorders>
            <w:vMerge w:val="continue"/>
          </w:tcPr>
          <w:p>
            <w:pPr>
              <w:spacing w:after="0"/>
              <w:rPr>
                <w:sz w:val="17"/>
                <w:szCs w:val="17"/>
                <w:color w:val="auto"/>
              </w:rPr>
            </w:pPr>
          </w:p>
        </w:tc>
        <w:tc>
          <w:tcPr>
            <w:tcW w:w="37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10.1</w:t>
            </w:r>
          </w:p>
        </w:tc>
        <w:tc>
          <w:tcPr>
            <w:tcW w:w="6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7"/>
              </w:rPr>
              <w:t>Letter Agreement effective as of January 11, 2017 between PNC Bank, National</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Association and Northern Technologies International Corporation</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10.2</w:t>
            </w:r>
          </w:p>
        </w:tc>
        <w:tc>
          <w:tcPr>
            <w:tcW w:w="6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1"/>
              </w:rPr>
              <w:t>Consulting Agreement dated January 11, 2017 by and among Northern Technologies</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7"/>
              </w:rPr>
              <w:t>International Corporation, BioPlastic Polymers LLC, and Ramani Narayan, Ph.D.</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6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Certification of Chief Executive Officer Pursuant to Exchange Act Rules 13a-</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14(a)/15d-14(a), as Adopted Pursuant to Section 302 of the Sarbanes-Oxley Act of</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2002</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31.2</w:t>
            </w:r>
          </w:p>
        </w:tc>
        <w:tc>
          <w:tcPr>
            <w:tcW w:w="6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Certification of Chief Financial Officer Pursuant to Exchange Act Rules 13a-</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14(a)/15d-14(a), as Adopted Pursuant to Section 302 of the Sarbanes-Oxley Act of</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2002</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32.1</w:t>
            </w:r>
          </w:p>
        </w:tc>
        <w:tc>
          <w:tcPr>
            <w:tcW w:w="6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Certification of Chief Executive Officer Pursuant to 18 U.S.C. Section 1350, as</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Adopted Pursuant to Section 906 of the Sarbanes-Oxley Act of 2002</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32.2</w:t>
            </w:r>
          </w:p>
        </w:tc>
        <w:tc>
          <w:tcPr>
            <w:tcW w:w="6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Certification of Chief Financial Officer Pursuant to 18 U.S.C. Section 1350, as</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Furnished herewith</w:t>
            </w: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Adopted Pursuant to Section 906 of the Sarbanes-Oxley Act of 2002</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101</w:t>
            </w:r>
          </w:p>
        </w:tc>
        <w:tc>
          <w:tcPr>
            <w:tcW w:w="62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9"/>
              </w:rPr>
              <w:t>The following materials from Northern Technologies International Corporation’s</w:t>
            </w:r>
          </w:p>
        </w:tc>
        <w:tc>
          <w:tcPr>
            <w:tcW w:w="3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Quarterly Report on Form 10-Q for the fiscal quarter ended November 30, 2016,</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formatted in XBRL (Extensible Business Reporting Language): (i) the unaudited</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Consolidated Balance Sheets, (ii) the unaudited Consolidated Statements of</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Operations, (iii) the unaudited Consolidated Statements of Comprehensive Income</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(Loss), (iv) the unaudited Consolidated Statements of Cash Flows, and (v) Notes to</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Consolidated Financial Statements</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sz w:val="1"/>
          <w:szCs w:val="1"/>
          <w:color w:val="auto"/>
        </w:rPr>
        <w:drawing>
          <wp:inline distT="0" distB="0" distL="0" distR="0">
            <wp:extent cx="368935" cy="37719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8935" cy="377190"/>
                    </a:xfrm>
                    <a:prstGeom prst="rect">
                      <a:avLst/>
                    </a:prstGeom>
                    <a:noFill/>
                    <a:ln>
                      <a:noFill/>
                    </a:ln>
                  </pic:spPr>
                </pic:pic>
              </a:graphicData>
            </a:graphic>
          </wp:inline>
        </w:drawing>
      </w:r>
      <w:r>
        <w:rPr>
          <w:rFonts w:ascii="Arial" w:cs="Arial" w:eastAsia="Arial" w:hAnsi="Arial"/>
          <w:sz w:val="52"/>
          <w:szCs w:val="52"/>
          <w:b w:val="1"/>
          <w:bCs w:val="1"/>
          <w:color w:val="auto"/>
        </w:rPr>
        <w:t>PNC BANK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January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MN 55014-0069</w:t>
      </w:r>
    </w:p>
    <w:p>
      <w:pPr>
        <w:sectPr>
          <w:pgSz w:w="11900" w:h="16838" w:orient="portrait"/>
          <w:cols w:equalWidth="0" w:num="1">
            <w:col w:w="11420"/>
          </w:cols>
          <w:pgMar w:left="240" w:top="112"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Renewal of Expiration Date for that certain $3,000,000.00 Committed Line of Credit ("Line of Credit") extended by PNC Bank, National Association (the "Bank") to NORTHERN TECHNOLOGIES INTERNATIONAL CORPORATION (the "Borrower")</w:t>
      </w:r>
    </w:p>
    <w:p>
      <w:pPr>
        <w:spacing w:after="0" w:line="170" w:lineRule="exact"/>
        <w:rPr>
          <w:sz w:val="20"/>
          <w:szCs w:val="20"/>
          <w:color w:val="auto"/>
        </w:rPr>
      </w:pPr>
    </w:p>
    <w:p>
      <w:pPr>
        <w:sectPr>
          <w:pgSz w:w="11900" w:h="16838" w:orient="portrait"/>
          <w:cols w:equalWidth="0" w:num="2">
            <w:col w:w="260" w:space="400"/>
            <w:col w:w="10760"/>
          </w:cols>
          <w:pgMar w:left="240" w:top="112"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Ladies/Gentlemen: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pleased to inform you that the Line of Credit has been renewed. The Expiration Date of the Line of Credit, as set forth in that certain promissory note executed and delivered by the Borrower to the Bank dated December 14, 2006 (the "Note") and/or that certain loan agreement governing the Line of Credit (the "Loan Agreement"), has been extended from January 07, 2017 to January 07, 2018, or such later date as may, in the Bank's sole discretion, be designated by the Bank by written notice from the Bank to the Borrower, effective on January 11, 2017. All sums due under the Note, the Loan Agreement or any related documents, instruments and agreements (collectively as amended from time to time, the "Loan Documents") shall be due and payable on the Expiration Date, as extended hereby. All other terms and conditions of the Loan Documents governing the Line of Credit remain in full force and effect.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has been a pleasure working with you and I look forward to a continued successful relationship. Thank you again for your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indicate your agreement with the foregoing renewal and extension by signing the acknowledgement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this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Matthew Wolsfeld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2" w:right="2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3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This Consulting Agreement (this “Agreement”) is made effective as of the 11</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2017 (“Effective Date”) by and among Northern Technologies International Corporation, a Delaware corporation, located at 4201 Woodland Road, Circle Pines, MN 55014 (“NTIC”), BioPlastic Polymers LLC, a Michigan limited liability company, located at 4275 Conifer Circle, Okemos, Michigan, 48864 (the “Consultant”), and Ramani Narayan, Ph.D., an individual residing at 4275 Conifer Circle, Okemos, Michigan, 48864 (“Dr. Narayan”) (NTIC, Consultant and Dr. Narayan being referred to individually as a “Party” and collectively as the “Parties”).</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of the mutual promises exchanged herein and other good and valuable consideration, the receipt and sufficiency of which are hereby acknowledged, the Parties hereby agree as follows:</w:t>
      </w:r>
    </w:p>
    <w:p>
      <w:pPr>
        <w:spacing w:after="0" w:line="170" w:lineRule="exact"/>
        <w:rPr>
          <w:sz w:val="20"/>
          <w:szCs w:val="20"/>
          <w:color w:val="auto"/>
        </w:rPr>
      </w:pPr>
    </w:p>
    <w:p>
      <w:pPr>
        <w:jc w:val="both"/>
        <w:ind w:firstLine="8"/>
        <w:spacing w:after="0" w:line="297" w:lineRule="auto"/>
        <w:tabs>
          <w:tab w:leader="none" w:pos="81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Consulting Services</w:t>
      </w:r>
      <w:r>
        <w:rPr>
          <w:rFonts w:ascii="Arial" w:cs="Arial" w:eastAsia="Arial" w:hAnsi="Arial"/>
          <w:sz w:val="16"/>
          <w:szCs w:val="16"/>
          <w:color w:val="auto"/>
        </w:rPr>
        <w:t>. The Consultant, and specifically Dr. Narayan, agrees to render consulting services of the nature described in the Addendum signed by the Parties and attached hereto, and as may be reasonably requested from time to time by NTIC’s Vice President and Director – Global Market Development – Natur-Tec® or his or her designee. The Consultant agrees that this Agreement is specifically for the services of Dr. Narayan, and accordingly, the Consultant agrees to make available Dr. Narayan for purposes of providing the consulting services under this Agreement. The Addendum is incorporated into, and made part of, this Agreement. The Consultant may set its own hours with respect to its duties under this Agreement.</w:t>
      </w:r>
    </w:p>
    <w:p>
      <w:pPr>
        <w:spacing w:after="0" w:line="158" w:lineRule="exact"/>
        <w:rPr>
          <w:rFonts w:ascii="Arial" w:cs="Arial" w:eastAsia="Arial" w:hAnsi="Arial"/>
          <w:sz w:val="16"/>
          <w:szCs w:val="16"/>
          <w:color w:val="auto"/>
        </w:rPr>
      </w:pPr>
    </w:p>
    <w:p>
      <w:pPr>
        <w:jc w:val="both"/>
        <w:ind w:firstLine="8"/>
        <w:spacing w:after="0" w:line="255" w:lineRule="auto"/>
        <w:tabs>
          <w:tab w:leader="none" w:pos="73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Consulting Fee; Expense Reimbursement</w:t>
      </w:r>
      <w:r>
        <w:rPr>
          <w:rFonts w:ascii="Arial" w:cs="Arial" w:eastAsia="Arial" w:hAnsi="Arial"/>
          <w:sz w:val="18"/>
          <w:szCs w:val="18"/>
          <w:color w:val="auto"/>
        </w:rPr>
        <w:t xml:space="preserve">. NTIC shall pay to the Consultant, a consulting fee for the consulting services performed hereunder in the amount or amounts as described in the </w:t>
      </w:r>
      <w:r>
        <w:rPr>
          <w:rFonts w:ascii="Arial" w:cs="Arial" w:eastAsia="Arial" w:hAnsi="Arial"/>
          <w:sz w:val="18"/>
          <w:szCs w:val="18"/>
          <w:u w:val="single" w:color="auto"/>
          <w:color w:val="auto"/>
        </w:rPr>
        <w:t>Addendum</w:t>
      </w:r>
      <w:r>
        <w:rPr>
          <w:rFonts w:ascii="Arial" w:cs="Arial" w:eastAsia="Arial" w:hAnsi="Arial"/>
          <w:sz w:val="18"/>
          <w:szCs w:val="18"/>
          <w:color w:val="auto"/>
        </w:rPr>
        <w:t xml:space="preserve"> signed by the Parties and attached hereto (the “Consulting Fee”). Invoices for consulting services shall be monthly as work progresses (but in no event later than forty-five (45) days after such services are rendered). NTIC shall pay all direct out-of-pocket reasonable expenses in connection with the consulting services provided to NTIC by the Consultant under this Agreement; provided, however, that the Consultant obtains NTIC’s advanced written authorization before obligating NTIC for any such out-of-pocket expenses that fall outside the description of NTIC’s Travel and Expense Policy.</w:t>
      </w:r>
    </w:p>
    <w:p>
      <w:pPr>
        <w:spacing w:after="0" w:line="193" w:lineRule="exact"/>
        <w:rPr>
          <w:rFonts w:ascii="Arial" w:cs="Arial" w:eastAsia="Arial" w:hAnsi="Arial"/>
          <w:sz w:val="18"/>
          <w:szCs w:val="18"/>
          <w:color w:val="auto"/>
        </w:rPr>
      </w:pPr>
    </w:p>
    <w:p>
      <w:pPr>
        <w:ind w:left="720" w:hanging="71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3.1 Except as expressly permitted by NTIC and only if required by the Consultant’s services to NTIC under this Agreement, neither the Consultant nor Dr. Narayan shall, at any time during the Term (as defined below) of this Agreement or thereafter, directly or indirectly disclose, furnish, make use of, or make accessible to any person, firm, corporation, or other entity, any Confidential Information (as defined in Section 3.2 below) developed or obtained by the Consultant or Dr. Narayan during the Term of this Agreement or while Dr. Narayan is or was a director of NTIC.</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3.2 As used in this Agreement, Confidential Information means all information of NTIC, whether or not developed by the Consultant, and all information of NTIC’s customers and suppliers, including without limitation any formula, pattern, compilation, program, device, method, technique or process, that derives independent economic value, actual or potential, from not being generally known to, and not being readily ascertainable by proper means by, other persons who can derive economic value from its disclosure or use. Confidential Information includes but is not limited to trade secrets, and it may relate to such matters as research and development, manufacturing processes, management systems and techniques, the identity and requirements of customers, the identity of suppliers, strategic or financial data or plans, and sales and marketing plans and information. Confidential Information does not lose its confidential status merely because it was known by a limited number of persons or entities or because it did not originate entirely with NTIC.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both"/>
        <w:ind w:firstLine="648"/>
        <w:spacing w:after="0" w:line="276" w:lineRule="auto"/>
        <w:rPr>
          <w:sz w:val="20"/>
          <w:szCs w:val="20"/>
          <w:color w:val="auto"/>
        </w:rPr>
      </w:pPr>
      <w:r>
        <w:rPr>
          <w:rFonts w:ascii="Arial" w:cs="Arial" w:eastAsia="Arial" w:hAnsi="Arial"/>
          <w:sz w:val="17"/>
          <w:szCs w:val="17"/>
          <w:color w:val="auto"/>
        </w:rPr>
        <w:t>3.3 Each of the Consultant and Dr. Narayan acknowledges that the above-described knowledge and information constitutes a unique and valuable asset of NTIC and represents a substantial investment of time and expense by NTIC, that NTIC would not grant the Consultant and Dr. Narayan access to such knowledge and information in the absence of this Agreement, and that any disclosure or other use of such knowledge or information other than for the sole benefit of NTIC would be wrongful and would cause irreparable harm to NTIC. The Consultant and Dr. Narayan shall refrain from intentionally committing any acts that would materially reduce the value of such knowledge or information to NTIC.</w:t>
      </w:r>
    </w:p>
    <w:p>
      <w:pPr>
        <w:spacing w:after="0" w:line="173" w:lineRule="exact"/>
        <w:rPr>
          <w:sz w:val="20"/>
          <w:szCs w:val="20"/>
          <w:color w:val="auto"/>
        </w:rPr>
      </w:pPr>
    </w:p>
    <w:p>
      <w:pPr>
        <w:ind w:left="720" w:hanging="712"/>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Patents, Copyrights, Inventions and Related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University Inventions</w:t>
      </w:r>
      <w:r>
        <w:rPr>
          <w:rFonts w:ascii="Arial" w:cs="Arial" w:eastAsia="Arial" w:hAnsi="Arial"/>
          <w:sz w:val="17"/>
          <w:szCs w:val="17"/>
          <w:color w:val="auto"/>
        </w:rPr>
        <w:t>. The Parties acknowledge and agree that so long as Dr. Narayan is employed by Michigan State University (“MSU”), he is subject to the MSU Patent Policy that results in MSU owning the rights to any discovery or invention which (a) results from research carried on by, or under the direction of, any employee of MSU which is supported by MSU funds or by funds controlled or administered by MSU, or (b) results from an employee’s duties with the University, or (c) has been developed in whole or in part through the utilization of MSU resources or facilities not available to the general public (“University Inventions”). The Parties acknowledge and agree that NTIC does not desire to receive consulting services that will result in University Inventions. The Consultant and Dr. Narayan covenant and agree to (a) provide the consulting services in a manner that does not result in the creation of University Inventions, unless expressly authorized by NTIC, and (b) refrain from using MSU facilities, equipment, or funds controlled or administered by the MSU in the performance of the consulting services unless requested by NTIC and in accordance with MSU policy. To the extent the Consultant or Dr. Narayan believe the requested consulting services will result in a University Invention they will notify NTIC prior to rendering such services, and receive NTIC’s express written approval prior to providing such services.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Inventions</w:t>
      </w:r>
      <w:r>
        <w:rPr>
          <w:rFonts w:ascii="Arial" w:cs="Arial" w:eastAsia="Arial" w:hAnsi="Arial"/>
          <w:sz w:val="16"/>
          <w:szCs w:val="16"/>
          <w:color w:val="auto"/>
        </w:rPr>
        <w:t>. As used in this Agreement, the term “Invention” means discoveries, inventions, innovations, materials, suggestions, mask works, works of authorship, know-how, ideas (whether or not shown or described in writing or reduced to practice), conceived, reduced to practice, authored, or developed by the Consultant or Dr. Narayan or jointly with others, whether or not patentable, copyrightable or registerable. “NTIC Inventions” means any Inventions which (a) relate directly to the bioplastics or Natur-Tec® business of NTIC; (b) relate to NTIC’s research or development; (c) result from services provided by the Consultant or Dr. Narayan for NTIC under this Agreement (except to the extent they are approved University Inventions); or (d) is developed by the Consultant or Dr. Narayan in connection with the performance of services under this Agreement or at any time prior to this Agreement.</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Obligations Regarding NTIC Inventions</w:t>
      </w:r>
      <w:r>
        <w:rPr>
          <w:rFonts w:ascii="Arial" w:cs="Arial" w:eastAsia="Arial" w:hAnsi="Arial"/>
          <w:sz w:val="16"/>
          <w:szCs w:val="16"/>
          <w:color w:val="auto"/>
        </w:rPr>
        <w:t>. Each of the Consultant and Dr. Narayan understands that NTIC is continually developing new Inventions, products, processes and systems of which the Consultant or Dr. Narayan may have knowledge. Each of the Consultant and Dr. Narayan agrees that during the Term of this Agreement, to the extent the Consultant or Dr. Narayan is involved with NTIC Inventions, the Consultant and Dr. Narayan will</w:t>
      </w:r>
    </w:p>
    <w:p>
      <w:pPr>
        <w:jc w:val="both"/>
        <w:ind w:firstLine="8"/>
        <w:spacing w:after="0" w:line="266"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keep accurate, complete and timely written records of all NTIC Inventions, which records shall be NTIC’s property; (b) promptly and fully disclose and describe all NTIC Inventions in writing in sufficient detail to allow NTIC, in its sole discretion, to file patent applications thereon; (c) assign (and each of the Consultant and Dr. Narayan does hereby assign) to NTIC all of the Consultant’s and Dr. Narayan’s rights to all NTIC Inventions, and to applications for letters patent, copyright registrations and/or mask work registrations in all countries and to letters patent, copyright registrations and/or mask work registrations granted upon such NTIC Inventions in all countries; and (d) acknowledge and deliver promptly to NTIC (without charge to NTIC but at NTIC’s expense) such written instruments and to do such other acts, and continue to do such other acts after the Term as requested by NTIC, and as may be necessary in the opinion of NTIC to preserve NTIC Inventions against forfeiture, abandonment, or loss, and to obtain, defend or maintain such letters patent, copyright registrations and/or mask work registrations, and to vest the entire right and title thereto in NTIC. NTIC shall have the sole and exclusive right, but not the obligation, to file patent applications on NTIC Inventions anywhere in the world. Each of the Consultant and Dr. Narayan agrees that any materials protectable by copyright developed by Consultant or Dr. Narayan as provided in this Section 5 shall be “works made for hire” to the extent possible under U.S. or foreign copyright laws, and thus the property of NTIC (except to the extent they are approved University Inventions). To the extent such materials do not qualify as works made for hire, each of the Consultant and Dr. Narayan agrees to assign and does hereby expressly assign to NTIC the copyright in such materials on a worldwide basis (except to the extent they are approved University Inventions). Each of the Consultant and Dr. Narayan further agrees that NTIC may add to, subtract from, arrange, rearrange, revise, modify, change and adapt all Inventions, including any copyrightable or copyrighted works, created or provided by the Consultant or Dr. Narayan to NTIC under this Agreement. Each of the Consultant and Dr. Narayan hereby waives all of the Consultant’s and Dr. Narayan’s rights under the United States Copyright Act, including any rights provided in 17 U.S.C. § 106 and § 106A and any rights of attribution and integrity and other “moral rights of authors” with respect to the results and proceeds of the Consultant’s and Dr. Narayan’s work under this Agreement to the extent now or hereafter permitted by the laws of the United States of America or the laws of any other countries (except to the extent they are approved University Inventions).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Future Inventions</w:t>
      </w:r>
      <w:r>
        <w:rPr>
          <w:rFonts w:ascii="Arial" w:cs="Arial" w:eastAsia="Arial" w:hAnsi="Arial"/>
          <w:sz w:val="18"/>
          <w:szCs w:val="18"/>
          <w:color w:val="auto"/>
        </w:rPr>
        <w:t>. Each of the Consultant and Dr. Narayan recognizes that NTIC Inventions or Confidential Information relating to the Consultant’s or Dr. Narayan’s services to NTIC under this Agreement and conceived or made by the Consultant or Dr. Narayan, alone or with others, within one year after expiration or termination of this Agreement may have been conceived in significant part during the Term of this Agreement and in connection with the Consultant’s or Dr. Narayan’s performance of consulting services to NTIC under this Agreement. Accordingly, each of the Consultant and Dr. Narayan agrees that such post-Agreement Inventions and proprietary information will be presumed to have been conceived during the Term of this Agreement and are to be assigned and are hereby assigned to NTIC unless and until the Consultant or Dr. Narayan has established the contrary or the Parties agree in writing otherwise.</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Appointment of Company as Agent/Attorney-in-Fact</w:t>
      </w:r>
      <w:r>
        <w:rPr>
          <w:rFonts w:ascii="Arial" w:cs="Arial" w:eastAsia="Arial" w:hAnsi="Arial"/>
          <w:sz w:val="18"/>
          <w:szCs w:val="18"/>
          <w:color w:val="auto"/>
        </w:rPr>
        <w:t>. In the event that NTIC is unable for any reason to secure the Consultant’s or Dr. Narayan’s signature to any document required to apply for or execute any patent, copyright, maskwork or other applications with respect to any Inventions (including improvements, renewals, extensions, continuations, divisions or continuations in part thereof), each of the Consultant and Dr. Narayan hereby irrevocably designates and appoints NTIC and its duly authorized officers and agents as the Consultant’s or Dr. Narayan’s agents and attorneys-in-fact to act for and on behalf and instead of the Consultant or Dr. Narayan, to execute and file any such application and to do all other lawfully permitted acts to further the prosecution and issuance of patents, copyrights, maskworks or other rights thereon with the same legal force and effect as if executed by the Consultant or Dr. Narayan.</w:t>
      </w:r>
    </w:p>
    <w:p>
      <w:pPr>
        <w:spacing w:after="0" w:line="189" w:lineRule="exact"/>
        <w:rPr>
          <w:sz w:val="20"/>
          <w:szCs w:val="20"/>
          <w:color w:val="auto"/>
        </w:rPr>
      </w:pPr>
    </w:p>
    <w:p>
      <w:pPr>
        <w:jc w:val="both"/>
        <w:ind w:firstLine="8"/>
        <w:spacing w:after="0" w:line="257" w:lineRule="auto"/>
        <w:tabs>
          <w:tab w:leader="none" w:pos="868"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Consultant shall have sole responsibility for payment of all federal, state and local taxes or contributions imposed or required under unemployment insurance, social security and income tax laws and for filing all required tax forms with respect to any amounts paid by NTIC to the Consultant hereunder and any amounts paid by the Consultant to Dr. Narayan. The Consultant and Dr. Narayan shall indemnify and hold NTIC harmless against any claim or liability (including penalties) resulting from failure of the Consultant to pay such taxes or contributions, or failure of the Consultant to file any such tax forms.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720" w:hanging="71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7.1 Each of the Consultant and Dr. Narayan represents that during the term of this Agreement no business relationships, employment relationships and consulting obligations of the Consultant or Dr. Narayan shall be a conflict with the obligations to NTIC set forth herein, or involve the disclosure of Confidential Information, and/or interfere with the performance of the Consultant’s and Dr. Narayan’s obligations under this Agreement.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7.2 Each of the Consultant and Dr. Narayan warrants to NTIC that each of the Consultant and Dr. Narayan: (a) has the right to enter into this Agreement, (b) has no obligations to any other person or organization that are in conflict with its obligations under this Agreement, except to MSU obligations and policy and (c) that all NTIC Inventions and proprietary materials (referred to in Section 8 below) are and will be original, and will not infringe the copyrights, trade secrets, rights of privacy or similar proprietary rights of others.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7.3 Each of the Consultant and Dr. Narayan agrees to indemnify and hold harmless NTIC against any expenses, damages, costs, losses and fees (including legal fees) incurred by NTIC in any suit, claim or proceeding brought by a third party and which is based on facts which constitute a breach of any of the warranties in this Section 7.</w:t>
      </w:r>
    </w:p>
    <w:p>
      <w:pPr>
        <w:spacing w:after="0" w:line="181" w:lineRule="exact"/>
        <w:rPr>
          <w:sz w:val="20"/>
          <w:szCs w:val="20"/>
          <w:color w:val="auto"/>
        </w:rPr>
      </w:pPr>
    </w:p>
    <w:p>
      <w:pPr>
        <w:jc w:val="both"/>
        <w:ind w:firstLine="8"/>
        <w:spacing w:after="0" w:line="273"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Incorporated Proprietary Materials</w:t>
      </w:r>
      <w:r>
        <w:rPr>
          <w:rFonts w:ascii="Arial" w:cs="Arial" w:eastAsia="Arial" w:hAnsi="Arial"/>
          <w:sz w:val="17"/>
          <w:szCs w:val="17"/>
          <w:color w:val="auto"/>
        </w:rPr>
        <w:t>. Each of the Consultant and Dr. Narayan agrees to notify NTIC in writing prior to incorporating any proprietary materials, whether or not patentable or patented which are owned or controlled by the Consultant or Dr. Narayan, into the goods, equipment and/or services furnished to NTIC by the Consultant or Dr. Narayan under this Agreement. Each of the Consultant and Dr. Narayan will either obtain NTIC’s written agreement to the incorporation of such proprietary materials without a license of such rights to NTIC, or the Consultant or Dr. Narayan will obtain permission to grant to NTIC an irrevocable, perpetual, transferable, nonexclusive, worldwide, royalty-free license to make, use and sell, and to have others make, use and sell on its behalf goods, equipment, services or the like incorporating such proprietary materials.</w:t>
      </w:r>
    </w:p>
    <w:p>
      <w:pPr>
        <w:spacing w:after="0" w:line="178" w:lineRule="exact"/>
        <w:rPr>
          <w:rFonts w:ascii="Arial" w:cs="Arial" w:eastAsia="Arial" w:hAnsi="Arial"/>
          <w:sz w:val="17"/>
          <w:szCs w:val="17"/>
          <w:color w:val="auto"/>
        </w:rPr>
      </w:pPr>
    </w:p>
    <w:p>
      <w:pPr>
        <w:ind w:left="680" w:hanging="67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9.1 The term of this Agreement shall be five (5) years until January 11, 2022 (the “Term”). Unless earlier terminated by the Parties, this Agreement shall terminate on January 11, 2022. Prior to January 11, 2022, the Parties shall discuss whether to extend the Term of this Agreement. Any extension of the Term of this Agreement must be mutually agreed upon by the Parties and set forth in writing as an amendment to this Agreement or as a new written agreement. For the sake of clarity and the avoidance of any doubt, if the Parties do not extend the Term of this Agreement by written amendment to this Agreement or as a new written agreement, this Agreement shall terminate on January 11, 2022.</w:t>
      </w:r>
    </w:p>
    <w:p>
      <w:pPr>
        <w:spacing w:after="0" w:line="17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This Agreement may be terminated by any Party upon thirty (30) days prior written notice.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9.3 This Agreement will terminate automatically upon the death of Dr. Narayan or in the event of his disability that prevents him from performing the Consultant's duties under this Agreement for a continuous sixty (60) day period.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color w:val="auto"/>
        </w:rPr>
        <w:t>9.4 This Agreement may be terminated by any Party if the other Party fails to perform any of the obligations imposed upon it under the terms of this Agreement so as to be in default hereunder and fails to cure such default within ten (10) days after written notice.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9.5 Upon termination of this Agreement, the provisions of Sections 3 through 18 of this Agreement shall survive to the extent necessary to give effect to the provisions thereof.</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9.6 Upon termination of this Agreement, each of the Consultant and Dr. Narayan shall return and will not retain in any form or format, all Confidential Information and all NTIC documents, data and other property in its possession or control, including without limitation NTIC-owned equipment such as computers, iPads, smart phones, cell phones, etc. and after returning these documents, data and other property, the Consultant will permanently delete from any electronic media in the Consultant’s possession, custody or control (such as computers, smart phones, cell phones, hand-held devices, back-up devices, zip drives, etc.) or to which the Consultant or Dr. Narayan has or may have had access (such as remote e-mail exchange servers, back-up servers, off-site storage, etc.), all documents or electronically stored images of NTIC, including writings, drawings, graphs, charts, sound recordings, images, and other data or data compilations stored in any medium from which such information can be obtained. Each of the Consultant and Dr. Narayan agrees to provide NTIC with a list of any documents that the Consultant or Dr. Narayan created or is otherwise aware that are password-protected and the password(s) necessary to access such password-protected documents. NTIC “documents, data, and other property” includes, without limitation, computers, fax machines, cell and smart phones, access cards, keys, reports, manuals, records, product samples, trunk stock, correspondence and/or other documents or materials related to the business of NTIC that the Consultant or Dr. Narayan has compiled, generated or received while providing services to NTIC, including all copies, samples, computer data, disks, or records of such material. Notwithstanding the foregoing, if upon termination of this Agreement, Dr. Narayan will continue to be a member of the Board of Directors of NTIC, then he will not be required to return Confidential Information and NTIC documents, data and other property in his possession or control, in each case as necessary or appropriate in connection with his obligations and services as a member of the Board of Directors of NTIC.</w:t>
      </w:r>
    </w:p>
    <w:p>
      <w:pPr>
        <w:spacing w:after="0" w:line="183" w:lineRule="exact"/>
        <w:rPr>
          <w:sz w:val="20"/>
          <w:szCs w:val="20"/>
          <w:color w:val="auto"/>
        </w:rPr>
      </w:pPr>
    </w:p>
    <w:p>
      <w:pPr>
        <w:jc w:val="both"/>
        <w:ind w:firstLine="8"/>
        <w:spacing w:after="0" w:line="269" w:lineRule="auto"/>
        <w:tabs>
          <w:tab w:leader="none" w:pos="82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Independent Contractor; No Agency</w:t>
      </w:r>
      <w:r>
        <w:rPr>
          <w:rFonts w:ascii="Arial" w:cs="Arial" w:eastAsia="Arial" w:hAnsi="Arial"/>
          <w:sz w:val="17"/>
          <w:szCs w:val="17"/>
          <w:color w:val="auto"/>
        </w:rPr>
        <w:t>. Nothing in this Agreement may be construed to establish NTIC as an employer and the Consultant or Dr. Narayan as an employee, to establish any Party as a partner or agent of the other Parties, or to create any other form of legal association that would impose liability upon a Party for any act or omission of the other Party or provide a Party with the right, power, or authority to create or impose any duty or obligation on the other Party, it being intended that each Party shall remain an independent contractor acting in its own name and for its own account. Each of the Consultant and Dr. Narayan agrees that neither the Consultant nor Dr. Narayan is entitled to any NTIC employee benefits or benefit plans of any other kind, including but not limited to, participation in NTIC’s annual bonus plan, worker’s compensation insurance or unemployment insurance. In the event the Internal Revenue Service (“IRS”) makes a determination contrary to the status of consultant, the Consultant will furnish to NTIC a completed and fully executed IRS Form 4669 on or before April 15 of the year such request is made by NTIC. The submission of such Form 4669 will not be deemed to create an employer-employee relationship. The Consultant will not take a position on the Consultant’s income tax return inconsistent with the Consultant’s status as an independent contractor and will cooperate in any inquiry and dispute regarding the Consultant’s status as an independent contractor that may arise from an IRS audit of NTIC.</w:t>
      </w:r>
    </w:p>
    <w:p>
      <w:pPr>
        <w:spacing w:after="0" w:line="182" w:lineRule="exact"/>
        <w:rPr>
          <w:rFonts w:ascii="Arial" w:cs="Arial" w:eastAsia="Arial" w:hAnsi="Arial"/>
          <w:sz w:val="17"/>
          <w:szCs w:val="17"/>
          <w:color w:val="auto"/>
        </w:rPr>
      </w:pPr>
    </w:p>
    <w:p>
      <w:pPr>
        <w:jc w:val="both"/>
        <w:ind w:firstLine="8"/>
        <w:spacing w:after="0" w:line="312" w:lineRule="auto"/>
        <w:tabs>
          <w:tab w:leader="none" w:pos="77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Third-Party Confidential Information</w:t>
      </w:r>
      <w:r>
        <w:rPr>
          <w:rFonts w:ascii="Arial" w:cs="Arial" w:eastAsia="Arial" w:hAnsi="Arial"/>
          <w:sz w:val="16"/>
          <w:szCs w:val="16"/>
          <w:color w:val="auto"/>
        </w:rPr>
        <w:t>. Each of the Consultant and Dr. Narayan understands that NTIC does not desire to receive any confidential information in breach of their obligation to others and agrees that during the term of this Agreement, each of the Consultant and Dr. Narayan will not disclose to NTIC or use in the performance of services for NTIC, any confidential information in breach of the obligations to any third party.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left="-8" w:firstLine="8"/>
        <w:spacing w:after="0" w:line="259" w:lineRule="auto"/>
        <w:tabs>
          <w:tab w:leader="none" w:pos="79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Use of Consultant’s Written Materials</w:t>
      </w:r>
      <w:r>
        <w:rPr>
          <w:rFonts w:ascii="Arial" w:cs="Arial" w:eastAsia="Arial" w:hAnsi="Arial"/>
          <w:sz w:val="18"/>
          <w:szCs w:val="18"/>
          <w:color w:val="auto"/>
        </w:rPr>
        <w:t>. NTIC shall have the right, at no additional charge, to use, modify, reproduce and prepare derivative works based on the Consultant’s or Dr. Narayan’s documentation and literature, provided to NTIC by the Consultant or Dr. Narayan in connection with the performance of services under this Agreement, including without limitation, operating and maintenance manuals, technical publications, prints, drawings, training manuals, sales literature, and other similar materials.</w:t>
      </w:r>
    </w:p>
    <w:p>
      <w:pPr>
        <w:spacing w:after="0" w:line="186" w:lineRule="exact"/>
        <w:rPr>
          <w:rFonts w:ascii="Arial" w:cs="Arial" w:eastAsia="Arial" w:hAnsi="Arial"/>
          <w:sz w:val="18"/>
          <w:szCs w:val="18"/>
          <w:color w:val="auto"/>
        </w:rPr>
      </w:pPr>
    </w:p>
    <w:p>
      <w:pPr>
        <w:jc w:val="both"/>
        <w:ind w:left="-8" w:firstLine="8"/>
        <w:spacing w:after="0" w:line="302" w:lineRule="auto"/>
        <w:tabs>
          <w:tab w:leader="none" w:pos="79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For the purpose of this Agreement, notices and all other communications provided for in this Agreement shall be in writing and shall be deemed to have been duly given when delivered by hand or overnight courier or three postal delivery days after it has been mailed by registered mail, return receipt requested, postage prepaid, addressed to the respective addresses set forth on the first page of this Agreement, or to such other address as any Party may have furnished to the other Parties in writing in accordance herewith, except that notice of change of address shall be effective only upon receipt.</w:t>
      </w:r>
    </w:p>
    <w:p>
      <w:pPr>
        <w:spacing w:after="0" w:line="154" w:lineRule="exact"/>
        <w:rPr>
          <w:rFonts w:ascii="Arial" w:cs="Arial" w:eastAsia="Arial" w:hAnsi="Arial"/>
          <w:sz w:val="16"/>
          <w:szCs w:val="16"/>
          <w:color w:val="auto"/>
        </w:rPr>
      </w:pPr>
    </w:p>
    <w:p>
      <w:pPr>
        <w:jc w:val="both"/>
        <w:ind w:left="-8" w:firstLine="8"/>
        <w:spacing w:after="0" w:line="279" w:lineRule="auto"/>
        <w:tabs>
          <w:tab w:leader="none" w:pos="83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Injunctive Relief</w:t>
      </w:r>
      <w:r>
        <w:rPr>
          <w:rFonts w:ascii="Arial" w:cs="Arial" w:eastAsia="Arial" w:hAnsi="Arial"/>
          <w:sz w:val="17"/>
          <w:szCs w:val="17"/>
          <w:color w:val="auto"/>
        </w:rPr>
        <w:t>. Each of the Consultant and Dr. Narayan agrees that, in the event of any breach or threatened breach of this Agreement by the Consultant or Dr. Narayan, NTIC will be entitled to equitable relief, including injunctive relief and specific performance without posting a bond. Such relief will not be exclusive of NTIC, but will be in addition to all other remedies. In the event disclosure is legally compelled, Each of the Consultant and Dr. Narayan shall provide NTIC with prompt written notice so that NTIC can seek appropriate protections and remedies.</w:t>
      </w:r>
    </w:p>
    <w:p>
      <w:pPr>
        <w:spacing w:after="0" w:line="171" w:lineRule="exact"/>
        <w:rPr>
          <w:rFonts w:ascii="Arial" w:cs="Arial" w:eastAsia="Arial" w:hAnsi="Arial"/>
          <w:sz w:val="17"/>
          <w:szCs w:val="17"/>
          <w:color w:val="auto"/>
        </w:rPr>
      </w:pPr>
    </w:p>
    <w:p>
      <w:pPr>
        <w:jc w:val="both"/>
        <w:ind w:left="-8" w:firstLine="8"/>
        <w:spacing w:after="0" w:line="287" w:lineRule="auto"/>
        <w:tabs>
          <w:tab w:leader="none" w:pos="79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Applicable Law and Jurisdiction</w:t>
      </w:r>
      <w:r>
        <w:rPr>
          <w:rFonts w:ascii="Arial" w:cs="Arial" w:eastAsia="Arial" w:hAnsi="Arial"/>
          <w:sz w:val="16"/>
          <w:szCs w:val="16"/>
          <w:color w:val="auto"/>
        </w:rPr>
        <w:t>. The provisions of this Agreement shall be construed and interpreted in accordance with the laws of the State of Minnesota (without giving effect to the choice of law principles thereof). Each of NTIC, the Consultant and Dr. Narayan hereby (a) agrees that any action, cause of action, claim, or dispute arising under or relating to this Agreement must be brought only in the courts of the State of Minnesota, located in the County of Anoka, or the federal court of the United States located in the District of Minnesota, (b) expressly consents to personal jurisdiction in the State of Minnesota, with respect to such action, cause of action, claim, or dispute, (c) irrevocably and unconditionally consents to the exclusive jurisdiction and venue of such courts for the purposes of enforcing the terms of this Agreement or interpreting any provision, remedying any breach, or otherwise adjudicating any action, cause of action, claim, or dispute of or under this Agreement, (d) irrevocably and unconditionally waives any objection to the jurisdiction and venue required in this Section 17, and (e) agrees not to plead or claim in any such court that any such action, cause of action, claim, or dispute has been brought in an inconvenient forum. Each of the Consultant and Dr. Narayan hereby irrevocably appoints the Secretary of State of the State of Minnesota as the Consultant’s and Dr. Narayan’s agent for service of any process, summons or other document related to initiating any action hereunder to enforce the rights of NTIC. The Parties agree that before bringing any action as a result of a dispute hereunder in any permitted court in Minnesota, the Parties will first negotiate in good faith to achieve a resolution and hereby agree to a non-binding mediation of any such dispute.</w:t>
      </w:r>
    </w:p>
    <w:p>
      <w:pPr>
        <w:spacing w:after="0" w:line="168" w:lineRule="exact"/>
        <w:rPr>
          <w:rFonts w:ascii="Arial" w:cs="Arial" w:eastAsia="Arial" w:hAnsi="Arial"/>
          <w:sz w:val="16"/>
          <w:szCs w:val="16"/>
          <w:color w:val="auto"/>
        </w:rPr>
      </w:pPr>
    </w:p>
    <w:p>
      <w:pPr>
        <w:jc w:val="both"/>
        <w:ind w:left="-8" w:firstLine="8"/>
        <w:spacing w:after="0" w:line="273" w:lineRule="auto"/>
        <w:tabs>
          <w:tab w:leader="none" w:pos="725"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Addendum attached hereto, is the entire agreement among NTIC, the Consultant and Dr. Narayan relating to the Consultant’s consulting relationship with NTIC. Except as expressly provided otherwise in this Agreement, this Agreement supersedes all prior oral and written agreements and communications between the Parties with respect to such subject matter. The Parties specifically and explicitly understand, acknowledge and agree that this Agreement supersedes and replaces in its entirety that certain oral agreement between NTIC and BioPlastic Polymers LLC, the material terms of which were described most recently in NTIC’s definitive proxy statement for its annual meeting of stockholders to be held on January 13, 2017 filed with the U.S. Securities and Exchange Commission on November 28, 2016.</w:t>
      </w:r>
    </w:p>
    <w:p>
      <w:pPr>
        <w:spacing w:after="0" w:line="3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45" w:name="page46"/>
    <w:bookmarkEnd w:id="45"/>
    <w:p>
      <w:pPr>
        <w:jc w:val="both"/>
        <w:ind w:firstLine="8"/>
        <w:spacing w:after="0" w:line="271" w:lineRule="auto"/>
        <w:tabs>
          <w:tab w:leader="none" w:pos="747"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No amendment to this Agreement shall be binding upon the Parties unless it is in writing and executed by all Parties. The failure of any Party at any time to require performance of any provision of this Agreement or to exercise any right provided for herein shall not be deemed a waiver of such provision or such right. All waivers must be in writing. Unless the written waiver contains an express statement to the contrary, no waiver by any Party of any breach of any provision of this Agreement or of any right provided for herein shall be construed as a waiver of any continuing or succeeding breach of such provision, a waiver of the provision itself, or a waiver of any right under this Agreement. All remedies provided for in this Agreement shall be cumulative and in addition to and not in lieu of any other remedies available to any Party at law, in equity or otherwise. If any provision or clause of this Agreement, or the application thereof under certain circumstances is held invalid, the remainder of this Agreement, or the application of such provision or clause under other circumstances, shall not be affected thereby.</w:t>
      </w:r>
    </w:p>
    <w:p>
      <w:pPr>
        <w:spacing w:after="0" w:line="178" w:lineRule="exact"/>
        <w:rPr>
          <w:rFonts w:ascii="Arial" w:cs="Arial" w:eastAsia="Arial" w:hAnsi="Arial"/>
          <w:sz w:val="17"/>
          <w:szCs w:val="17"/>
          <w:color w:val="auto"/>
        </w:rPr>
      </w:pPr>
    </w:p>
    <w:p>
      <w:pPr>
        <w:ind w:firstLine="8"/>
        <w:spacing w:after="0" w:line="277" w:lineRule="auto"/>
        <w:tabs>
          <w:tab w:leader="none" w:pos="747"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NTIC reserves the right to assign all or part of its rights and obligations under this Agreement to another party. Neither the Consultant nor Dr. Narayan may assign any of its right or obligations under this Agreement to another party.</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caused this Agreement to be executed by their authorized representatives as of the date written below.</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BIOPLASTIC POLYMERS LLC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Dr. Ramani Narayan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Ramani Narayan,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Sole Member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Jan 11,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Dr. Ramani Narayan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Ramani Narayan,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TECHNOLOGIES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Matthew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1697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21697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Jan 11,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21697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93" w:lineRule="exact"/>
        <w:rPr>
          <w:sz w:val="20"/>
          <w:szCs w:val="20"/>
          <w:color w:val="auto"/>
        </w:rPr>
      </w:pPr>
    </w:p>
    <w:p>
      <w:pPr>
        <w:sectPr>
          <w:pgSz w:w="11900" w:h="16838" w:orient="portrait"/>
          <w:cols w:equalWidth="0" w:num="2">
            <w:col w:w="3860" w:space="720"/>
            <w:col w:w="6840"/>
          </w:cols>
          <w:pgMar w:left="240" w:top="908" w:right="239" w:bottom="1440" w:gutter="0" w:footer="0" w:header="0"/>
          <w:type w:val="continuous"/>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ADDENDUM TO THE CONSULTING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NATURE OF CONSULTING SERVICES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NTIC hereby retains the Consultant to perform the following consulting services and such other services reasonably requested by NTIC’s Vice President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 – Global Market Development – Natur-Tec® or his designee from time to time:</w:t>
      </w:r>
    </w:p>
    <w:p>
      <w:pPr>
        <w:spacing w:after="0" w:line="21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Help Natur-Tec® with technology and applications development.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Advise on Natur-Tec® product branding/positioning.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Bring business, scientific and technical opportunities to the attention of Natur-Tec® team at NTIC.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Introduce business and market contacts to Natur-Tec® team at NTIC and presentation opportunities.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presentations to targeted customers to articulate the value proposition for biobased and compostable plastics and Natur-Tec® team’s unique skills and expertise.</w:t>
      </w:r>
    </w:p>
    <w:p>
      <w:pPr>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potential Federal grants and help write SBIR/STTR funding proposals. Note -- 2 NSF Phase I SBIR grants; 1 NSF Phase II STTR, and one DOD Phase I and Phase II grants totaling $1.5 million to date.</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Participate in strategy development, and suggest new product ideas and line extension to Natur-Tec®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services as may be requested from time to time related to NTIC’s bioplastics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Consultant agrees to not provide any direction for and on behalf of NTIC to outside third parties, such as vendors, etc.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CONSULTING FEE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agrees to pay the Consultant $12,000 per month of consulting services provided to NTIC by the Consultant under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CONSULTANT’S POINT OF CONTACT AT TORNIER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Consultant’s point of contact at NTIC shall be NTIC’s Vice President and Director – Global Market Development – Natur-Tec® or his designee. All questions regarding this Agreement should be directed to the point of contact.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BIOPLASTIC POLYMERS LLC</w:t>
            </w:r>
          </w:p>
        </w:tc>
        <w:tc>
          <w:tcPr>
            <w:tcW w:w="3420" w:type="dxa"/>
            <w:vAlign w:val="bottom"/>
          </w:tcPr>
          <w:p>
            <w:pPr>
              <w:spacing w:after="0"/>
              <w:rPr>
                <w:sz w:val="20"/>
                <w:szCs w:val="20"/>
                <w:color w:val="auto"/>
              </w:rPr>
            </w:pPr>
            <w:r>
              <w:rPr>
                <w:rFonts w:ascii="Arial" w:cs="Arial" w:eastAsia="Arial" w:hAnsi="Arial"/>
                <w:sz w:val="18"/>
                <w:szCs w:val="18"/>
                <w:b w:val="1"/>
                <w:bCs w:val="1"/>
                <w:color w:val="auto"/>
              </w:rPr>
              <w:t>NORTHERN TECHNOLOGIES</w:t>
            </w: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INTERNATIONAL CORPORATION</w:t>
            </w:r>
          </w:p>
        </w:tc>
      </w:tr>
      <w:tr>
        <w:trPr>
          <w:trHeight w:val="432"/>
        </w:trPr>
        <w:tc>
          <w:tcPr>
            <w:tcW w:w="4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Dr. Ramani Narayan</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Wolsfeld</w:t>
            </w:r>
          </w:p>
        </w:tc>
      </w:tr>
      <w:tr>
        <w:trPr>
          <w:trHeight w:val="224"/>
        </w:trPr>
        <w:tc>
          <w:tcPr>
            <w:tcW w:w="4580" w:type="dxa"/>
            <w:vAlign w:val="bottom"/>
            <w:gridSpan w:val="3"/>
          </w:tcPr>
          <w:p>
            <w:pPr>
              <w:spacing w:after="0"/>
              <w:rPr>
                <w:sz w:val="20"/>
                <w:szCs w:val="20"/>
                <w:color w:val="auto"/>
              </w:rPr>
            </w:pPr>
            <w:r>
              <w:rPr>
                <w:rFonts w:ascii="Arial" w:cs="Arial" w:eastAsia="Arial" w:hAnsi="Arial"/>
                <w:sz w:val="18"/>
                <w:szCs w:val="18"/>
                <w:color w:val="auto"/>
              </w:rPr>
              <w:t>Ramani Narayan, Ph.D. President and Sole Member</w:t>
            </w:r>
          </w:p>
        </w:tc>
        <w:tc>
          <w:tcPr>
            <w:tcW w:w="3420" w:type="dxa"/>
            <w:vAlign w:val="bottom"/>
          </w:tcPr>
          <w:p>
            <w:pPr>
              <w:spacing w:after="0"/>
              <w:rPr>
                <w:sz w:val="19"/>
                <w:szCs w:val="19"/>
                <w:color w:val="auto"/>
              </w:rPr>
            </w:pPr>
          </w:p>
        </w:tc>
      </w:tr>
      <w:tr>
        <w:trPr>
          <w:trHeight w:val="418"/>
        </w:trPr>
        <w:tc>
          <w:tcPr>
            <w:tcW w:w="4580" w:type="dxa"/>
            <w:vAlign w:val="bottom"/>
            <w:gridSpan w:val="3"/>
          </w:tcPr>
          <w:p>
            <w:pPr>
              <w:spacing w:after="0"/>
              <w:rPr>
                <w:sz w:val="20"/>
                <w:szCs w:val="20"/>
                <w:color w:val="auto"/>
              </w:rPr>
            </w:pPr>
            <w:r>
              <w:rPr>
                <w:rFonts w:ascii="Arial" w:cs="Arial" w:eastAsia="Arial" w:hAnsi="Arial"/>
                <w:sz w:val="18"/>
                <w:szCs w:val="18"/>
                <w:color w:val="auto"/>
              </w:rPr>
              <w:t>Jan 11, 2017</w:t>
            </w:r>
          </w:p>
        </w:tc>
        <w:tc>
          <w:tcPr>
            <w:tcW w:w="3420" w:type="dxa"/>
            <w:vAlign w:val="bottom"/>
          </w:tcPr>
          <w:p>
            <w:pPr>
              <w:spacing w:after="0"/>
              <w:rPr>
                <w:sz w:val="20"/>
                <w:szCs w:val="20"/>
                <w:color w:val="auto"/>
              </w:rPr>
            </w:pPr>
            <w:r>
              <w:rPr>
                <w:rFonts w:ascii="Arial" w:cs="Arial" w:eastAsia="Arial" w:hAnsi="Arial"/>
                <w:sz w:val="18"/>
                <w:szCs w:val="18"/>
                <w:color w:val="auto"/>
              </w:rPr>
              <w:t>CFO</w:t>
            </w:r>
          </w:p>
        </w:tc>
      </w:tr>
      <w:tr>
        <w:trPr>
          <w:trHeight w:val="224"/>
        </w:trPr>
        <w:tc>
          <w:tcPr>
            <w:tcW w:w="20" w:type="dxa"/>
            <w:vAlign w:val="bottom"/>
          </w:tcPr>
          <w:p>
            <w:pPr>
              <w:spacing w:after="0"/>
              <w:rPr>
                <w:sz w:val="19"/>
                <w:szCs w:val="19"/>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140" w:type="dxa"/>
            <w:vAlign w:val="bottom"/>
          </w:tcPr>
          <w:p>
            <w:pPr>
              <w:spacing w:after="0"/>
              <w:rPr>
                <w:sz w:val="19"/>
                <w:szCs w:val="19"/>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r>
      <w:tr>
        <w:trPr>
          <w:trHeight w:val="41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Jan 11, 2017</w:t>
            </w: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Date</w:t>
            </w:r>
          </w:p>
        </w:tc>
      </w:tr>
      <w:tr>
        <w:trPr>
          <w:trHeight w:val="418"/>
        </w:trPr>
        <w:tc>
          <w:tcPr>
            <w:tcW w:w="4580" w:type="dxa"/>
            <w:vAlign w:val="bottom"/>
            <w:gridSpan w:val="3"/>
          </w:tcPr>
          <w:p>
            <w:pPr>
              <w:spacing w:after="0"/>
              <w:rPr>
                <w:sz w:val="20"/>
                <w:szCs w:val="20"/>
                <w:color w:val="auto"/>
              </w:rPr>
            </w:pPr>
            <w:r>
              <w:rPr>
                <w:rFonts w:ascii="Arial" w:cs="Arial" w:eastAsia="Arial" w:hAnsi="Arial"/>
                <w:sz w:val="18"/>
                <w:szCs w:val="18"/>
                <w:color w:val="auto"/>
              </w:rPr>
              <w:t>/s/ Dr. Ramani Narayan</w:t>
            </w:r>
          </w:p>
        </w:tc>
        <w:tc>
          <w:tcPr>
            <w:tcW w:w="3420" w:type="dxa"/>
            <w:vAlign w:val="bottom"/>
          </w:tcPr>
          <w:p>
            <w:pPr>
              <w:spacing w:after="0"/>
              <w:rPr>
                <w:sz w:val="24"/>
                <w:szCs w:val="24"/>
                <w:color w:val="auto"/>
              </w:rPr>
            </w:pPr>
          </w:p>
        </w:tc>
      </w:tr>
      <w:tr>
        <w:trPr>
          <w:trHeight w:val="224"/>
        </w:trPr>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Ramani Narayan, Ph.D.</w:t>
            </w:r>
          </w:p>
        </w:tc>
        <w:tc>
          <w:tcPr>
            <w:tcW w:w="114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90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20" w:firstLine="8"/>
        <w:spacing w:after="0" w:line="264" w:lineRule="auto"/>
        <w:tabs>
          <w:tab w:leader="none" w:pos="1595"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160" w:firstLine="8"/>
        <w:spacing w:after="0" w:line="264" w:lineRule="auto"/>
        <w:tabs>
          <w:tab w:leader="none" w:pos="1605"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1080" w:right="120" w:firstLine="8"/>
        <w:spacing w:after="0" w:line="342" w:lineRule="auto"/>
        <w:tabs>
          <w:tab w:leader="none" w:pos="1595" w:val="left"/>
        </w:tabs>
        <w:numPr>
          <w:ilvl w:val="2"/>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80" w:right="80" w:firstLine="8"/>
        <w:spacing w:after="0" w:line="264" w:lineRule="auto"/>
        <w:tabs>
          <w:tab w:leader="none" w:pos="1605" w:val="left"/>
        </w:tabs>
        <w:numPr>
          <w:ilvl w:val="2"/>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60" w:hanging="512"/>
        <w:spacing w:after="0" w:line="308" w:lineRule="auto"/>
        <w:tabs>
          <w:tab w:leader="none" w:pos="5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320"/>
        <w:spacing w:after="0" w:line="308" w:lineRule="auto"/>
        <w:tabs>
          <w:tab w:leader="none" w:pos="1545"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40" w:right="60" w:firstLine="5"/>
        <w:spacing w:after="0" w:line="277" w:lineRule="auto"/>
        <w:tabs>
          <w:tab w:leader="none" w:pos="15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2169795" cy="3517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69795" cy="3517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January 17,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20" w:firstLine="8"/>
        <w:spacing w:after="0" w:line="264" w:lineRule="auto"/>
        <w:tabs>
          <w:tab w:leader="none" w:pos="1595" w:val="left"/>
        </w:tabs>
        <w:numPr>
          <w:ilvl w:val="2"/>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160" w:firstLine="8"/>
        <w:spacing w:after="0" w:line="264" w:lineRule="auto"/>
        <w:tabs>
          <w:tab w:leader="none" w:pos="1605" w:val="left"/>
        </w:tabs>
        <w:numPr>
          <w:ilvl w:val="2"/>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1080" w:right="120" w:firstLine="8"/>
        <w:spacing w:after="0" w:line="342" w:lineRule="auto"/>
        <w:tabs>
          <w:tab w:leader="none" w:pos="1595" w:val="left"/>
        </w:tabs>
        <w:numPr>
          <w:ilvl w:val="2"/>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80" w:right="80" w:firstLine="8"/>
        <w:spacing w:after="0" w:line="264" w:lineRule="auto"/>
        <w:tabs>
          <w:tab w:leader="none" w:pos="1605" w:val="left"/>
        </w:tabs>
        <w:numPr>
          <w:ilvl w:val="2"/>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60" w:hanging="512"/>
        <w:spacing w:after="0" w:line="308"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320"/>
        <w:spacing w:after="0" w:line="308" w:lineRule="auto"/>
        <w:tabs>
          <w:tab w:leader="none" w:pos="1545"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40" w:right="60" w:firstLine="5"/>
        <w:spacing w:after="0" w:line="277" w:lineRule="auto"/>
        <w:tabs>
          <w:tab w:leader="none" w:pos="15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85" w:lineRule="exact"/>
        <w:rPr>
          <w:sz w:val="20"/>
          <w:szCs w:val="20"/>
          <w:color w:val="auto"/>
        </w:rPr>
      </w:pPr>
    </w:p>
    <w:p>
      <w:pPr>
        <w:ind w:left="5720" w:right="3740" w:hanging="5712"/>
        <w:spacing w:after="0"/>
        <w:rPr>
          <w:sz w:val="20"/>
          <w:szCs w:val="20"/>
          <w:color w:val="auto"/>
        </w:rPr>
      </w:pPr>
      <w:r>
        <w:rPr>
          <w:rFonts w:ascii="Arial" w:cs="Arial" w:eastAsia="Arial" w:hAnsi="Arial"/>
          <w:sz w:val="18"/>
          <w:szCs w:val="18"/>
          <w:color w:val="auto"/>
        </w:rPr>
        <w:t xml:space="preserve">Date: January 17, 2017 </w:t>
      </w:r>
      <w:r>
        <w:rPr>
          <w:sz w:val="1"/>
          <w:szCs w:val="1"/>
          <w:color w:val="auto"/>
        </w:rPr>
        <w:drawing>
          <wp:inline distT="0" distB="0" distL="0" distR="0">
            <wp:extent cx="951865" cy="30861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51865" cy="308610"/>
                    </a:xfrm>
                    <a:prstGeom prst="rect">
                      <a:avLst/>
                    </a:prstGeom>
                    <a:noFill/>
                    <a:ln>
                      <a:noFill/>
                    </a:ln>
                  </pic:spPr>
                </pic:pic>
              </a:graphicData>
            </a:graphic>
          </wp:inline>
        </w:drawing>
      </w:r>
      <w:r>
        <w:rPr>
          <w:rFonts w:ascii="Arial" w:cs="Arial" w:eastAsia="Arial" w:hAnsi="Arial"/>
          <w:sz w:val="18"/>
          <w:szCs w:val="18"/>
          <w:color w:val="auto"/>
        </w:rPr>
        <w:t xml:space="preserve"> 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-145415</wp:posOffset>
            </wp:positionV>
            <wp:extent cx="21697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9" w:name="page50"/>
    <w:bookmarkEnd w:id="49"/>
    <w:p>
      <w:pPr>
        <w:ind w:left="10480"/>
        <w:spacing w:after="0"/>
        <w:rPr>
          <w:sz w:val="20"/>
          <w:szCs w:val="20"/>
          <w:color w:val="auto"/>
        </w:rPr>
      </w:pPr>
      <w:r>
        <w:rPr>
          <w:rFonts w:ascii="Arial" w:cs="Arial" w:eastAsia="Arial" w:hAnsi="Arial"/>
          <w:sz w:val="16"/>
          <w:szCs w:val="16"/>
          <w:b w:val="1"/>
          <w:bCs w:val="1"/>
          <w:color w:val="auto"/>
        </w:rPr>
        <w:t>Exhibit 32.1</w:t>
      </w:r>
    </w:p>
    <w:p>
      <w:pPr>
        <w:spacing w:after="0" w:line="239"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2016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6" w:lineRule="exact"/>
        <w:rPr>
          <w:rFonts w:ascii="Arial" w:cs="Arial" w:eastAsia="Arial" w:hAnsi="Arial"/>
          <w:sz w:val="18"/>
          <w:szCs w:val="18"/>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1294765" cy="342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94765" cy="3429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17, 2017</w:t>
      </w:r>
    </w:p>
    <w:p>
      <w:pPr>
        <w:sectPr>
          <w:pgSz w:w="11900" w:h="16838" w:orient="portrait"/>
          <w:cols w:equalWidth="0" w:num="1">
            <w:col w:w="11420"/>
          </w:cols>
          <w:pgMar w:left="240" w:top="121" w:right="239" w:bottom="1440" w:gutter="0" w:footer="0" w:header="0"/>
        </w:sectPr>
      </w:pPr>
    </w:p>
    <w:bookmarkStart w:id="50" w:name="page51"/>
    <w:bookmarkEnd w:id="50"/>
    <w:p>
      <w:pPr>
        <w:ind w:left="10480"/>
        <w:spacing w:after="0"/>
        <w:rPr>
          <w:sz w:val="20"/>
          <w:szCs w:val="20"/>
          <w:color w:val="auto"/>
        </w:rPr>
      </w:pPr>
      <w:r>
        <w:rPr>
          <w:rFonts w:ascii="Arial" w:cs="Arial" w:eastAsia="Arial" w:hAnsi="Arial"/>
          <w:sz w:val="16"/>
          <w:szCs w:val="16"/>
          <w:b w:val="1"/>
          <w:bCs w:val="1"/>
          <w:color w:val="auto"/>
        </w:rPr>
        <w:t>Exhibit 32.2</w:t>
      </w:r>
    </w:p>
    <w:p>
      <w:pPr>
        <w:spacing w:after="0" w:line="239" w:lineRule="exact"/>
        <w:rPr>
          <w:sz w:val="20"/>
          <w:szCs w:val="20"/>
          <w:color w:val="auto"/>
        </w:rPr>
      </w:pPr>
    </w:p>
    <w:p>
      <w:pPr>
        <w:jc w:val="center"/>
        <w:ind w:left="260" w:right="14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November 30, 2016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951865"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518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17,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5"/>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6"/>
    </w:lvl>
  </w:abstractNum>
  <w:abstractNum w:abstractNumId="6">
    <w:nsid w:val="333AB105"/>
    <w:multiLevelType w:val="hybridMultilevel"/>
    <w:lvl w:ilvl="0">
      <w:lvlJc w:val="left"/>
      <w:lvlText w:val="%1."/>
      <w:numFmt w:val="decimal"/>
      <w:start w:val="7"/>
    </w:lvl>
  </w:abstractNum>
  <w:abstractNum w:abstractNumId="7">
    <w:nsid w:val="721DA317"/>
    <w:multiLevelType w:val="hybridMultilevel"/>
    <w:lvl w:ilvl="0">
      <w:lvlJc w:val="left"/>
      <w:lvlText w:val="%1."/>
      <w:numFmt w:val="decimal"/>
      <w:start w:val="8"/>
    </w:lvl>
  </w:abstractNum>
  <w:abstractNum w:abstractNumId="8">
    <w:nsid w:val="2443A858"/>
    <w:multiLevelType w:val="hybridMultilevel"/>
    <w:lvl w:ilvl="0">
      <w:lvlJc w:val="left"/>
      <w:lvlText w:val="%1."/>
      <w:numFmt w:val="decimal"/>
      <w:start w:val="9"/>
    </w:lvl>
  </w:abstractNum>
  <w:abstractNum w:abstractNumId="9">
    <w:nsid w:val="2D1D5AE9"/>
    <w:multiLevelType w:val="hybridMultilevel"/>
    <w:lvl w:ilvl="0">
      <w:lvlJc w:val="left"/>
      <w:lvlText w:val="%1."/>
      <w:numFmt w:val="decimal"/>
      <w:start w:val="10"/>
    </w:lvl>
  </w:abstractNum>
  <w:abstractNum w:abstractNumId="10">
    <w:nsid w:val="6763845E"/>
    <w:multiLevelType w:val="hybridMultilevel"/>
    <w:lvl w:ilvl="0">
      <w:lvlJc w:val="left"/>
      <w:lvlText w:val="%1."/>
      <w:numFmt w:val="decimal"/>
      <w:start w:val="11"/>
    </w:lvl>
  </w:abstractNum>
  <w:abstractNum w:abstractNumId="11">
    <w:nsid w:val="75A2A8D4"/>
    <w:multiLevelType w:val="hybridMultilevel"/>
    <w:lvl w:ilvl="0">
      <w:lvlJc w:val="left"/>
      <w:lvlText w:val="%1."/>
      <w:numFmt w:val="decimal"/>
      <w:start w:val="12"/>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3"/>
    </w:lvl>
  </w:abstractNum>
  <w:abstractNum w:abstractNumId="14">
    <w:nsid w:val="4353D0CD"/>
    <w:multiLevelType w:val="hybridMultilevel"/>
    <w:lvl w:ilvl="0">
      <w:lvlJc w:val="left"/>
      <w:lvlText w:val="%1."/>
      <w:numFmt w:val="decimal"/>
      <w:start w:val="14"/>
    </w:lvl>
  </w:abstractNum>
  <w:abstractNum w:abstractNumId="15">
    <w:nsid w:val="B03E0C6"/>
    <w:multiLevelType w:val="hybridMultilevel"/>
    <w:lvl w:ilvl="0">
      <w:lvlJc w:val="left"/>
      <w:lvlText w:val="%1."/>
      <w:numFmt w:val="decimal"/>
      <w:start w:val="15"/>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0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4"/>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decimal"/>
      <w:start w:val="6"/>
    </w:lvl>
  </w:abstractNum>
  <w:abstractNum w:abstractNumId="25">
    <w:nsid w:val="7C3DBD3D"/>
    <w:multiLevelType w:val="hybridMultilevel"/>
    <w:lvl w:ilvl="0">
      <w:lvlJc w:val="left"/>
      <w:lvlText w:val="%1."/>
      <w:numFmt w:val="decimal"/>
      <w:start w:val="7"/>
    </w:lvl>
  </w:abstractNum>
  <w:abstractNum w:abstractNumId="26">
    <w:nsid w:val="737B8DDC"/>
    <w:multiLevelType w:val="hybridMultilevel"/>
    <w:lvl w:ilvl="0">
      <w:lvlJc w:val="left"/>
      <w:lvlText w:val="%1."/>
      <w:numFmt w:val="decimal"/>
      <w:start w:val="8"/>
    </w:lvl>
  </w:abstractNum>
  <w:abstractNum w:abstractNumId="27">
    <w:nsid w:val="6CEAF087"/>
    <w:multiLevelType w:val="hybridMultilevel"/>
    <w:lvl w:ilvl="0">
      <w:lvlJc w:val="left"/>
      <w:lvlText w:val="%1."/>
      <w:numFmt w:val="decimal"/>
      <w:start w:val="10"/>
    </w:lvl>
  </w:abstractNum>
  <w:abstractNum w:abstractNumId="28">
    <w:nsid w:val="22221A70"/>
    <w:multiLevelType w:val="hybridMultilevel"/>
    <w:lvl w:ilvl="0">
      <w:lvlJc w:val="left"/>
      <w:lvlText w:val="%1."/>
      <w:numFmt w:val="decimal"/>
      <w:start w:val="12"/>
    </w:lvl>
  </w:abstractNum>
  <w:abstractNum w:abstractNumId="29">
    <w:nsid w:val="4516DDE9"/>
    <w:multiLevelType w:val="hybridMultilevel"/>
    <w:lvl w:ilvl="0">
      <w:lvlJc w:val="left"/>
      <w:lvlText w:val="%1."/>
      <w:numFmt w:val="decimal"/>
      <w:start w:val="17"/>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3">
    <w:nsid w:val="5577F8E1"/>
    <w:multiLevelType w:val="hybridMultilevel"/>
    <w:lvl w:ilvl="0">
      <w:lvlJc w:val="left"/>
      <w:lvlText w:val="%1"/>
      <w:numFmt w:val="upperLetter"/>
      <w:start w:val="1"/>
    </w:lvl>
    <w:lvl w:ilvl="1">
      <w:lvlJc w:val="left"/>
      <w:lvlText w:val="(%2)"/>
      <w:numFmt w:val="decimal"/>
      <w:start w:val="1"/>
    </w:lvl>
  </w:abstractNum>
  <w:abstractNum w:abstractNumId="34">
    <w:nsid w:val="440BADFC"/>
    <w:multiLevelType w:val="hybridMultilevel"/>
    <w:lvl w:ilvl="0">
      <w:lvlJc w:val="left"/>
      <w:lvlText w:val="%1."/>
      <w:numFmt w:val="upperLetter"/>
      <w:start w:val="7"/>
    </w:lvl>
    <w:lvl w:ilvl="1">
      <w:lvlJc w:val="left"/>
      <w:lvlText w:val="%2"/>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2019-12-29T08:58:59Z</dcterms:created>
  <dcterms:modified xsi:type="dcterms:W3CDTF">2019-12-29T08:58:59Z</dcterms:modified>
</cp:coreProperties>
</file>