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10-QSB</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UNDER SECTION 13 OR 15(d) OF THE SECURITIES EXCHANGE ACT OF 1934</w:t>
      </w:r>
    </w:p>
    <w:p>
      <w:pPr>
        <w:spacing w:after="0" w:line="12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May 31, 2006</w:t>
      </w:r>
    </w:p>
    <w:p>
      <w:pPr>
        <w:spacing w:after="0" w:line="14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UNDER SECTION 13 OR 15(d) OF THE SECURITIES EXCHANGE ACT OF 1934</w:t>
      </w:r>
    </w:p>
    <w:p>
      <w:pPr>
        <w:spacing w:after="0" w:line="152" w:lineRule="exact"/>
        <w:rPr>
          <w:sz w:val="24"/>
          <w:szCs w:val="24"/>
          <w:color w:val="auto"/>
        </w:rPr>
      </w:pPr>
    </w:p>
    <w:p>
      <w:pPr>
        <w:ind w:left="2920"/>
        <w:spacing w:after="0"/>
        <w:rPr>
          <w:sz w:val="20"/>
          <w:szCs w:val="20"/>
          <w:color w:val="auto"/>
        </w:rPr>
      </w:pPr>
      <w:r>
        <w:rPr>
          <w:rFonts w:ascii="Arial" w:cs="Arial" w:eastAsia="Arial" w:hAnsi="Arial"/>
          <w:sz w:val="18"/>
          <w:szCs w:val="18"/>
          <w:b w:val="1"/>
          <w:bCs w:val="1"/>
          <w:color w:val="auto"/>
        </w:rPr>
        <w:t>For the transition period from ________________ to __________________.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149860</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small business issuer in its charter)</w:t>
      </w:r>
    </w:p>
    <w:p>
      <w:pPr>
        <w:spacing w:after="0" w:line="216" w:lineRule="exact"/>
        <w:rPr>
          <w:sz w:val="24"/>
          <w:szCs w:val="24"/>
          <w:color w:val="auto"/>
        </w:rPr>
      </w:pPr>
    </w:p>
    <w:tbl>
      <w:tblPr>
        <w:tblLayout w:type="fixed"/>
        <w:tblInd w:w="980" w:type="dxa"/>
        <w:tblCellMar>
          <w:top w:w="0" w:type="dxa"/>
          <w:left w:w="0" w:type="dxa"/>
          <w:bottom w:w="0" w:type="dxa"/>
          <w:right w:w="0" w:type="dxa"/>
        </w:tblCellMar>
      </w:tblPr>
      <w:tr>
        <w:trPr>
          <w:trHeight w:val="218"/>
        </w:trPr>
        <w:tc>
          <w:tcPr>
            <w:tcW w:w="6420" w:type="dxa"/>
            <w:vAlign w:val="bottom"/>
          </w:tcPr>
          <w:p>
            <w:pPr>
              <w:jc w:val="center"/>
              <w:ind w:right="2861"/>
              <w:spacing w:after="0"/>
              <w:rPr>
                <w:sz w:val="20"/>
                <w:szCs w:val="20"/>
                <w:color w:val="auto"/>
              </w:rPr>
            </w:pPr>
            <w:r>
              <w:rPr>
                <w:rFonts w:ascii="Arial" w:cs="Arial" w:eastAsia="Arial" w:hAnsi="Arial"/>
                <w:sz w:val="18"/>
                <w:szCs w:val="18"/>
                <w:b w:val="1"/>
                <w:bCs w:val="1"/>
                <w:color w:val="auto"/>
                <w:w w:val="91"/>
              </w:rPr>
              <w:t>Delaware</w:t>
            </w:r>
          </w:p>
        </w:tc>
        <w:tc>
          <w:tcPr>
            <w:tcW w:w="2340" w:type="dxa"/>
            <w:vAlign w:val="bottom"/>
          </w:tcPr>
          <w:p>
            <w:pPr>
              <w:jc w:val="right"/>
              <w:ind w:right="542"/>
              <w:spacing w:after="0"/>
              <w:rPr>
                <w:sz w:val="20"/>
                <w:szCs w:val="20"/>
                <w:color w:val="auto"/>
              </w:rPr>
            </w:pPr>
            <w:r>
              <w:rPr>
                <w:rFonts w:ascii="Arial" w:cs="Arial" w:eastAsia="Arial" w:hAnsi="Arial"/>
                <w:sz w:val="18"/>
                <w:szCs w:val="18"/>
                <w:b w:val="1"/>
                <w:bCs w:val="1"/>
                <w:color w:val="auto"/>
              </w:rPr>
              <w:t>41-0857886</w:t>
            </w:r>
          </w:p>
        </w:tc>
      </w:tr>
      <w:tr>
        <w:trPr>
          <w:trHeight w:val="174"/>
        </w:trPr>
        <w:tc>
          <w:tcPr>
            <w:tcW w:w="6420" w:type="dxa"/>
            <w:vAlign w:val="bottom"/>
          </w:tcPr>
          <w:p>
            <w:pPr>
              <w:jc w:val="center"/>
              <w:ind w:right="2861"/>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340" w:type="dxa"/>
            <w:vAlign w:val="bottom"/>
          </w:tcPr>
          <w:p>
            <w:pPr>
              <w:jc w:val="center"/>
              <w:ind w:left="20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7"/>
        </w:trPr>
        <w:tc>
          <w:tcPr>
            <w:tcW w:w="6420" w:type="dxa"/>
            <w:vAlign w:val="bottom"/>
          </w:tcPr>
          <w:p>
            <w:pPr>
              <w:jc w:val="center"/>
              <w:ind w:right="2881"/>
              <w:spacing w:after="0"/>
              <w:rPr>
                <w:sz w:val="20"/>
                <w:szCs w:val="20"/>
                <w:color w:val="auto"/>
              </w:rPr>
            </w:pPr>
            <w:r>
              <w:rPr>
                <w:rFonts w:ascii="Arial" w:cs="Arial" w:eastAsia="Arial" w:hAnsi="Arial"/>
                <w:sz w:val="18"/>
                <w:szCs w:val="18"/>
                <w:b w:val="1"/>
                <w:bCs w:val="1"/>
                <w:color w:val="auto"/>
                <w:w w:val="89"/>
              </w:rPr>
              <w:t>6680 N. Highway 49</w:t>
            </w:r>
          </w:p>
        </w:tc>
        <w:tc>
          <w:tcPr>
            <w:tcW w:w="2340" w:type="dxa"/>
            <w:vAlign w:val="bottom"/>
          </w:tcPr>
          <w:p>
            <w:pPr>
              <w:spacing w:after="0"/>
              <w:rPr>
                <w:sz w:val="24"/>
                <w:szCs w:val="24"/>
                <w:color w:val="auto"/>
              </w:rPr>
            </w:pPr>
          </w:p>
        </w:tc>
      </w:tr>
      <w:tr>
        <w:trPr>
          <w:trHeight w:val="218"/>
        </w:trPr>
        <w:tc>
          <w:tcPr>
            <w:tcW w:w="6420" w:type="dxa"/>
            <w:vAlign w:val="bottom"/>
          </w:tcPr>
          <w:p>
            <w:pPr>
              <w:jc w:val="center"/>
              <w:ind w:right="2861"/>
              <w:spacing w:after="0"/>
              <w:rPr>
                <w:sz w:val="20"/>
                <w:szCs w:val="20"/>
                <w:color w:val="auto"/>
              </w:rPr>
            </w:pPr>
            <w:r>
              <w:rPr>
                <w:rFonts w:ascii="Arial" w:cs="Arial" w:eastAsia="Arial" w:hAnsi="Arial"/>
                <w:sz w:val="18"/>
                <w:szCs w:val="18"/>
                <w:b w:val="1"/>
                <w:bCs w:val="1"/>
                <w:color w:val="auto"/>
                <w:w w:val="89"/>
              </w:rPr>
              <w:t>Lino Lakes, Minnesota</w:t>
            </w:r>
          </w:p>
        </w:tc>
        <w:tc>
          <w:tcPr>
            <w:tcW w:w="2340" w:type="dxa"/>
            <w:vAlign w:val="bottom"/>
          </w:tcPr>
          <w:p>
            <w:pPr>
              <w:jc w:val="right"/>
              <w:ind w:right="742"/>
              <w:spacing w:after="0"/>
              <w:rPr>
                <w:sz w:val="20"/>
                <w:szCs w:val="20"/>
                <w:color w:val="auto"/>
              </w:rPr>
            </w:pPr>
            <w:r>
              <w:rPr>
                <w:rFonts w:ascii="Arial" w:cs="Arial" w:eastAsia="Arial" w:hAnsi="Arial"/>
                <w:sz w:val="18"/>
                <w:szCs w:val="18"/>
                <w:b w:val="1"/>
                <w:bCs w:val="1"/>
                <w:color w:val="auto"/>
              </w:rPr>
              <w:t>55014</w:t>
            </w:r>
          </w:p>
        </w:tc>
      </w:tr>
      <w:tr>
        <w:trPr>
          <w:trHeight w:val="174"/>
        </w:trPr>
        <w:tc>
          <w:tcPr>
            <w:tcW w:w="6420" w:type="dxa"/>
            <w:vAlign w:val="bottom"/>
          </w:tcPr>
          <w:p>
            <w:pPr>
              <w:jc w:val="center"/>
              <w:ind w:right="286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40" w:type="dxa"/>
            <w:vAlign w:val="bottom"/>
          </w:tcPr>
          <w:p>
            <w:pPr>
              <w:jc w:val="center"/>
              <w:ind w:left="202"/>
              <w:spacing w:after="0"/>
              <w:rPr>
                <w:sz w:val="20"/>
                <w:szCs w:val="20"/>
                <w:color w:val="auto"/>
              </w:rPr>
            </w:pPr>
            <w:r>
              <w:rPr>
                <w:rFonts w:ascii="Arial" w:cs="Arial" w:eastAsia="Arial" w:hAnsi="Arial"/>
                <w:sz w:val="14"/>
                <w:szCs w:val="14"/>
                <w:b w:val="1"/>
                <w:bCs w:val="1"/>
                <w:color w:val="auto"/>
                <w:w w:val="89"/>
              </w:rPr>
              <w:t>(Zip Code)</w:t>
            </w:r>
          </w:p>
        </w:tc>
      </w:tr>
      <w:tr>
        <w:trPr>
          <w:trHeight w:val="406"/>
        </w:trPr>
        <w:tc>
          <w:tcPr>
            <w:tcW w:w="6420" w:type="dxa"/>
            <w:vAlign w:val="bottom"/>
          </w:tcPr>
          <w:p>
            <w:pPr>
              <w:jc w:val="right"/>
              <w:ind w:right="1061"/>
              <w:spacing w:after="0"/>
              <w:rPr>
                <w:sz w:val="20"/>
                <w:szCs w:val="20"/>
                <w:color w:val="auto"/>
              </w:rPr>
            </w:pPr>
            <w:r>
              <w:rPr>
                <w:rFonts w:ascii="Arial" w:cs="Arial" w:eastAsia="Arial" w:hAnsi="Arial"/>
                <w:sz w:val="18"/>
                <w:szCs w:val="18"/>
                <w:b w:val="1"/>
                <w:bCs w:val="1"/>
                <w:color w:val="auto"/>
              </w:rPr>
              <w:t>(651) 784-1250</w:t>
            </w:r>
          </w:p>
        </w:tc>
        <w:tc>
          <w:tcPr>
            <w:tcW w:w="2340" w:type="dxa"/>
            <w:vAlign w:val="bottom"/>
          </w:tcPr>
          <w:p>
            <w:pPr>
              <w:spacing w:after="0"/>
              <w:rPr>
                <w:sz w:val="24"/>
                <w:szCs w:val="24"/>
                <w:color w:val="auto"/>
              </w:rPr>
            </w:pPr>
          </w:p>
        </w:tc>
      </w:tr>
      <w:tr>
        <w:trPr>
          <w:trHeight w:val="174"/>
        </w:trPr>
        <w:tc>
          <w:tcPr>
            <w:tcW w:w="6420" w:type="dxa"/>
            <w:vAlign w:val="bottom"/>
          </w:tcPr>
          <w:p>
            <w:pPr>
              <w:jc w:val="center"/>
              <w:ind w:left="2981"/>
              <w:spacing w:after="0"/>
              <w:rPr>
                <w:sz w:val="20"/>
                <w:szCs w:val="20"/>
                <w:color w:val="auto"/>
              </w:rPr>
            </w:pPr>
            <w:r>
              <w:rPr>
                <w:rFonts w:ascii="Arial" w:cs="Arial" w:eastAsia="Arial" w:hAnsi="Arial"/>
                <w:sz w:val="14"/>
                <w:szCs w:val="14"/>
                <w:b w:val="1"/>
                <w:bCs w:val="1"/>
                <w:color w:val="auto"/>
                <w:w w:val="85"/>
              </w:rPr>
              <w:t>(Issuer’s telephone number, including area code)</w:t>
            </w:r>
          </w:p>
        </w:tc>
        <w:tc>
          <w:tcPr>
            <w:tcW w:w="2340" w:type="dxa"/>
            <w:vAlign w:val="bottom"/>
          </w:tcPr>
          <w:p>
            <w:pPr>
              <w:spacing w:after="0"/>
              <w:rPr>
                <w:sz w:val="15"/>
                <w:szCs w:val="15"/>
                <w:color w:val="auto"/>
              </w:rPr>
            </w:pPr>
          </w:p>
        </w:tc>
      </w:tr>
    </w:tbl>
    <w:p>
      <w:pPr>
        <w:spacing w:after="0" w:line="195" w:lineRule="exact"/>
        <w:rPr>
          <w:sz w:val="24"/>
          <w:szCs w:val="24"/>
          <w:color w:val="auto"/>
        </w:rPr>
      </w:pPr>
    </w:p>
    <w:p>
      <w:pPr>
        <w:spacing w:after="0" w:line="332" w:lineRule="auto"/>
        <w:rPr>
          <w:sz w:val="20"/>
          <w:szCs w:val="20"/>
          <w:color w:val="auto"/>
        </w:rPr>
      </w:pPr>
      <w:r>
        <w:rPr>
          <w:rFonts w:ascii="Arial" w:cs="Arial" w:eastAsia="Arial" w:hAnsi="Arial"/>
          <w:sz w:val="16"/>
          <w:szCs w:val="16"/>
          <w:color w:val="auto"/>
        </w:rPr>
        <w:t>Check whether the issuer (1) filed all reports required to be filed by Section 13 or 15(d) of the Securities Exchange Act of 1934 during the past 12 months (or for such shorter period that the issuer was required to file such reports) and (2) has been subject to such filing requirements for the past 90 days.</w:t>
      </w:r>
    </w:p>
    <w:p>
      <w:pPr>
        <w:spacing w:after="0" w:line="166" w:lineRule="exact"/>
        <w:rPr>
          <w:sz w:val="24"/>
          <w:szCs w:val="24"/>
          <w:color w:val="auto"/>
        </w:rPr>
      </w:pPr>
    </w:p>
    <w:p>
      <w:pPr>
        <w:jc w:val="center"/>
        <w:ind w:right="160"/>
        <w:spacing w:after="0"/>
        <w:tabs>
          <w:tab w:leader="none" w:pos="3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No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2" w:lineRule="exact"/>
        <w:rPr>
          <w:sz w:val="24"/>
          <w:szCs w:val="24"/>
          <w:color w:val="auto"/>
        </w:rPr>
      </w:pPr>
    </w:p>
    <w:p>
      <w:pPr>
        <w:jc w:val="center"/>
        <w:ind w:right="160"/>
        <w:spacing w:after="0"/>
        <w:tabs>
          <w:tab w:leader="none" w:pos="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State the number of shares outstanding of each of the issuer’s classes of common equity, as of the latest practicable date.</w:t>
      </w:r>
    </w:p>
    <w:p>
      <w:pPr>
        <w:spacing w:after="0" w:line="221" w:lineRule="exact"/>
        <w:rPr>
          <w:sz w:val="24"/>
          <w:szCs w:val="24"/>
          <w:color w:val="auto"/>
        </w:rPr>
      </w:pPr>
    </w:p>
    <w:tbl>
      <w:tblPr>
        <w:tblLayout w:type="fixed"/>
        <w:tblInd w:w="2300" w:type="dxa"/>
        <w:tblCellMar>
          <w:top w:w="0" w:type="dxa"/>
          <w:left w:w="0" w:type="dxa"/>
          <w:bottom w:w="0" w:type="dxa"/>
          <w:right w:w="0" w:type="dxa"/>
        </w:tblCellMar>
      </w:tblPr>
      <w:tr>
        <w:trPr>
          <w:trHeight w:val="174"/>
        </w:trPr>
        <w:tc>
          <w:tcPr>
            <w:tcW w:w="3120" w:type="dxa"/>
            <w:vAlign w:val="bottom"/>
          </w:tcPr>
          <w:p>
            <w:pPr>
              <w:ind w:left="1380"/>
              <w:spacing w:after="0"/>
              <w:rPr>
                <w:sz w:val="20"/>
                <w:szCs w:val="20"/>
                <w:color w:val="auto"/>
              </w:rPr>
            </w:pPr>
            <w:r>
              <w:rPr>
                <w:rFonts w:ascii="Arial" w:cs="Arial" w:eastAsia="Arial" w:hAnsi="Arial"/>
                <w:sz w:val="14"/>
                <w:szCs w:val="14"/>
                <w:b w:val="1"/>
                <w:bCs w:val="1"/>
                <w:color w:val="auto"/>
              </w:rPr>
              <w:t>Class</w:t>
            </w:r>
          </w:p>
        </w:tc>
        <w:tc>
          <w:tcPr>
            <w:tcW w:w="640" w:type="dxa"/>
            <w:vAlign w:val="bottom"/>
          </w:tcPr>
          <w:p>
            <w:pPr>
              <w:spacing w:after="0"/>
              <w:rPr>
                <w:sz w:val="15"/>
                <w:szCs w:val="15"/>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85"/>
              </w:rPr>
              <w:t>Outstanding as of July 14, 2006</w:t>
            </w:r>
          </w:p>
        </w:tc>
      </w:tr>
      <w:tr>
        <w:trPr>
          <w:trHeight w:val="95"/>
        </w:trPr>
        <w:tc>
          <w:tcPr>
            <w:tcW w:w="31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3100" w:type="dxa"/>
            <w:vAlign w:val="bottom"/>
            <w:tcBorders>
              <w:bottom w:val="single" w:sz="8" w:color="auto"/>
            </w:tcBorders>
          </w:tcPr>
          <w:p>
            <w:pPr>
              <w:spacing w:after="0"/>
              <w:rPr>
                <w:sz w:val="8"/>
                <w:szCs w:val="8"/>
                <w:color w:val="auto"/>
              </w:rPr>
            </w:pPr>
          </w:p>
        </w:tc>
      </w:tr>
      <w:tr>
        <w:trPr>
          <w:trHeight w:val="316"/>
        </w:trPr>
        <w:tc>
          <w:tcPr>
            <w:tcW w:w="3120" w:type="dxa"/>
            <w:vAlign w:val="bottom"/>
          </w:tcPr>
          <w:p>
            <w:pPr>
              <w:spacing w:after="0"/>
              <w:rPr>
                <w:sz w:val="20"/>
                <w:szCs w:val="20"/>
                <w:color w:val="auto"/>
              </w:rPr>
            </w:pPr>
            <w:r>
              <w:rPr>
                <w:rFonts w:ascii="Arial" w:cs="Arial" w:eastAsia="Arial" w:hAnsi="Arial"/>
                <w:sz w:val="18"/>
                <w:szCs w:val="18"/>
                <w:color w:val="auto"/>
              </w:rPr>
              <w:t>Common Stock, $0.02 par value</w:t>
            </w:r>
          </w:p>
        </w:tc>
        <w:tc>
          <w:tcPr>
            <w:tcW w:w="3740" w:type="dxa"/>
            <w:vAlign w:val="bottom"/>
            <w:gridSpan w:val="2"/>
          </w:tcPr>
          <w:p>
            <w:pPr>
              <w:jc w:val="right"/>
              <w:ind w:right="1152"/>
              <w:spacing w:after="0"/>
              <w:rPr>
                <w:sz w:val="20"/>
                <w:szCs w:val="20"/>
                <w:color w:val="auto"/>
              </w:rPr>
            </w:pPr>
            <w:r>
              <w:rPr>
                <w:rFonts w:ascii="Arial" w:cs="Arial" w:eastAsia="Arial" w:hAnsi="Arial"/>
                <w:sz w:val="18"/>
                <w:szCs w:val="18"/>
                <w:color w:val="auto"/>
              </w:rPr>
              <w:t>3,610,993</w:t>
            </w:r>
          </w:p>
        </w:tc>
      </w:tr>
    </w:tbl>
    <w:p>
      <w:pPr>
        <w:spacing w:after="0" w:line="237" w:lineRule="exact"/>
        <w:rPr>
          <w:sz w:val="24"/>
          <w:szCs w:val="24"/>
          <w:color w:val="auto"/>
        </w:rPr>
      </w:pPr>
    </w:p>
    <w:p>
      <w:pPr>
        <w:jc w:val="center"/>
        <w:ind w:right="-99"/>
        <w:spacing w:after="0"/>
        <w:tabs>
          <w:tab w:leader="none" w:pos="120" w:val="left"/>
          <w:tab w:leader="none" w:pos="120" w:val="left"/>
        </w:tabs>
        <w:rPr>
          <w:sz w:val="20"/>
          <w:szCs w:val="20"/>
          <w:color w:val="auto"/>
        </w:rPr>
      </w:pPr>
      <w:r>
        <w:rPr>
          <w:rFonts w:ascii="Arial" w:cs="Arial" w:eastAsia="Arial" w:hAnsi="Arial"/>
          <w:sz w:val="16"/>
          <w:szCs w:val="16"/>
          <w:color w:val="auto"/>
        </w:rPr>
        <w:t>Transitional Small Business Disclosure Format (check one): Yes</w:t>
      </w:r>
      <w:r>
        <w:rPr>
          <w:sz w:val="20"/>
          <w:szCs w:val="20"/>
          <w:color w:val="auto"/>
        </w:rPr>
        <w:tab/>
      </w:r>
      <w:r>
        <w:rPr>
          <w:rFonts w:ascii="Arial" w:cs="Arial" w:eastAsia="Arial" w:hAnsi="Arial"/>
          <w:sz w:val="18"/>
          <w:szCs w:val="18"/>
          <w:color w:val="auto"/>
        </w:rPr>
        <w:t>o No</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476"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10-QSB</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May 31, 2006</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20"/>
                <w:szCs w:val="20"/>
                <w:color w:val="auto"/>
              </w:rPr>
            </w:pPr>
            <w:r>
              <w:rPr>
                <w:rFonts w:ascii="Arial" w:cs="Arial" w:eastAsia="Arial" w:hAnsi="Arial"/>
                <w:sz w:val="14"/>
                <w:szCs w:val="14"/>
                <w:b w:val="1"/>
                <w:bCs w:val="1"/>
                <w:color w:val="auto"/>
                <w:w w:val="98"/>
              </w:rPr>
              <w:t>Description</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Page</w:t>
            </w:r>
          </w:p>
        </w:tc>
      </w:tr>
      <w:tr>
        <w:trPr>
          <w:trHeight w:val="95"/>
        </w:trPr>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277"/>
        </w:trPr>
        <w:tc>
          <w:tcPr>
            <w:tcW w:w="780" w:type="dxa"/>
            <w:vAlign w:val="bottom"/>
            <w:tcBorders>
              <w:bottom w:val="single" w:sz="8" w:color="0000EE"/>
            </w:tcBorders>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2440" w:type="dxa"/>
            <w:vAlign w:val="bottom"/>
            <w:tcBorders>
              <w:bottom w:val="single" w:sz="8" w:color="0000EE"/>
            </w:tcBorders>
            <w:gridSpan w:val="9"/>
          </w:tcPr>
          <w:p>
            <w:pPr>
              <w:ind w:left="10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658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5"/>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380" w:type="dxa"/>
            <w:vAlign w:val="bottom"/>
          </w:tcPr>
          <w:p>
            <w:pPr>
              <w:spacing w:after="0"/>
              <w:rPr>
                <w:sz w:val="24"/>
                <w:szCs w:val="24"/>
                <w:color w:val="auto"/>
              </w:rPr>
            </w:pPr>
          </w:p>
        </w:tc>
        <w:tc>
          <w:tcPr>
            <w:tcW w:w="864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345"/>
        </w:trPr>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 as of May 31, 2006 (unaudited) and August 31, 2005 (audited)</w:t>
              </w:r>
            </w:hyperlink>
          </w:p>
        </w:tc>
        <w:tc>
          <w:tcPr>
            <w:tcW w:w="2160" w:type="dxa"/>
            <w:vAlign w:val="bottom"/>
            <w:gridSpan w:val="3"/>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for the Three and Nine Months Ended May 31, 2006 and 2005</w:t>
              </w:r>
            </w:hyperlink>
          </w:p>
        </w:tc>
        <w:tc>
          <w:tcPr>
            <w:tcW w:w="1460" w:type="dxa"/>
            <w:vAlign w:val="bottom"/>
            <w:gridSpan w:val="2"/>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Months ended May 31, 2006 and 2005</w:t>
              </w:r>
            </w:hyperlink>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40" w:type="dxa"/>
            <w:vAlign w:val="bottom"/>
            <w:tcBorders>
              <w:top w:val="single" w:sz="8" w:color="0000EE"/>
            </w:tcBorders>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200" w:type="dxa"/>
            <w:vAlign w:val="bottom"/>
            <w:gridSpan w:val="4"/>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6-14</w:t>
            </w: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345"/>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380" w:type="dxa"/>
            <w:vAlign w:val="bottom"/>
          </w:tcPr>
          <w:p>
            <w:pPr>
              <w:spacing w:after="0"/>
              <w:rPr>
                <w:sz w:val="24"/>
                <w:szCs w:val="24"/>
                <w:color w:val="auto"/>
              </w:rPr>
            </w:pPr>
          </w:p>
        </w:tc>
        <w:tc>
          <w:tcPr>
            <w:tcW w:w="8640" w:type="dxa"/>
            <w:vAlign w:val="bottom"/>
            <w:gridSpan w:val="1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or Plan of Operation</w:t>
              </w:r>
            </w:hyperlink>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15-29</w:t>
            </w:r>
          </w:p>
        </w:tc>
      </w:tr>
      <w:tr>
        <w:trPr>
          <w:trHeight w:val="345"/>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380" w:type="dxa"/>
            <w:vAlign w:val="bottom"/>
          </w:tcPr>
          <w:p>
            <w:pPr>
              <w:spacing w:after="0"/>
              <w:rPr>
                <w:sz w:val="24"/>
                <w:szCs w:val="24"/>
                <w:color w:val="auto"/>
              </w:rPr>
            </w:pPr>
          </w:p>
        </w:tc>
        <w:tc>
          <w:tcPr>
            <w:tcW w:w="4280" w:type="dxa"/>
            <w:vAlign w:val="bottom"/>
            <w:tcBorders>
              <w:top w:val="single" w:sz="8" w:color="0000EE"/>
            </w:tcBorders>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4360" w:type="dxa"/>
            <w:vAlign w:val="bottom"/>
            <w:gridSpan w:val="5"/>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45"/>
        </w:trPr>
        <w:tc>
          <w:tcPr>
            <w:tcW w:w="780" w:type="dxa"/>
            <w:vAlign w:val="bottom"/>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w:t>
              </w:r>
            </w:hyperlink>
          </w:p>
        </w:tc>
        <w:tc>
          <w:tcPr>
            <w:tcW w:w="9020" w:type="dxa"/>
            <w:vAlign w:val="bottom"/>
            <w:gridSpan w:val="16"/>
          </w:tcPr>
          <w:p>
            <w:pPr>
              <w:ind w:left="140"/>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OTHER INFORMATION</w:t>
              </w:r>
            </w:hyperlink>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5"/>
        </w:trPr>
        <w:tc>
          <w:tcPr>
            <w:tcW w:w="7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380" w:type="dxa"/>
            <w:vAlign w:val="bottom"/>
            <w:tcBorders>
              <w:top w:val="single" w:sz="8" w:color="0000EE"/>
            </w:tcBorders>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Legal Proceedings</w:t>
              </w:r>
            </w:hyperlink>
          </w:p>
        </w:tc>
        <w:tc>
          <w:tcPr>
            <w:tcW w:w="420" w:type="dxa"/>
            <w:vAlign w:val="bottom"/>
            <w:tcBorders>
              <w:top w:val="single" w:sz="8" w:color="0000EE"/>
            </w:tcBorders>
            <w:gridSpan w:val="2"/>
          </w:tcPr>
          <w:p>
            <w:pPr>
              <w:spacing w:after="0"/>
              <w:rPr>
                <w:sz w:val="24"/>
                <w:szCs w:val="24"/>
                <w:color w:val="auto"/>
              </w:rPr>
            </w:pPr>
          </w:p>
        </w:tc>
        <w:tc>
          <w:tcPr>
            <w:tcW w:w="6920" w:type="dxa"/>
            <w:vAlign w:val="bottom"/>
            <w:gridSpan w:val="8"/>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380" w:type="dxa"/>
            <w:vAlign w:val="bottom"/>
          </w:tcPr>
          <w:p>
            <w:pPr>
              <w:spacing w:after="0"/>
              <w:rPr>
                <w:sz w:val="24"/>
                <w:szCs w:val="24"/>
                <w:color w:val="auto"/>
              </w:rPr>
            </w:pPr>
          </w:p>
        </w:tc>
        <w:tc>
          <w:tcPr>
            <w:tcW w:w="806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Unregistered Sales of Equity Securities, Use of Proceeds and Small Business Issuer Purchases of Equity Securities</w:t>
              </w:r>
            </w:hyperlink>
          </w:p>
        </w:tc>
        <w:tc>
          <w:tcPr>
            <w:tcW w:w="58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380" w:type="dxa"/>
            <w:vAlign w:val="bottom"/>
          </w:tcPr>
          <w:p>
            <w:pPr>
              <w:spacing w:after="0"/>
              <w:rPr>
                <w:sz w:val="24"/>
                <w:szCs w:val="24"/>
                <w:color w:val="auto"/>
              </w:rPr>
            </w:pP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Other Information</w:t>
              </w:r>
            </w:hyperlink>
          </w:p>
        </w:tc>
        <w:tc>
          <w:tcPr>
            <w:tcW w:w="7360" w:type="dxa"/>
            <w:vAlign w:val="bottom"/>
            <w:gridSpan w:val="11"/>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380" w:type="dxa"/>
            <w:vAlign w:val="bottom"/>
          </w:tcPr>
          <w:p>
            <w:pPr>
              <w:spacing w:after="0"/>
              <w:rPr>
                <w:sz w:val="24"/>
                <w:szCs w:val="24"/>
                <w:color w:val="auto"/>
              </w:rPr>
            </w:pPr>
          </w:p>
        </w:tc>
        <w:tc>
          <w:tcPr>
            <w:tcW w:w="864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116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60" w:type="dxa"/>
            <w:vAlign w:val="bottom"/>
            <w:gridSpan w:val="1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345"/>
        </w:trPr>
        <w:tc>
          <w:tcPr>
            <w:tcW w:w="1560" w:type="dxa"/>
            <w:vAlign w:val="bottom"/>
            <w:tcBorders>
              <w:bottom w:val="single" w:sz="8" w:color="0000EE"/>
            </w:tcBorders>
            <w:gridSpan w:val="4"/>
          </w:tcPr>
          <w:p>
            <w:pPr>
              <w:spacing w:after="0"/>
              <w:rPr>
                <w:rFonts w:ascii="Arial" w:cs="Arial" w:eastAsia="Arial" w:hAnsi="Arial"/>
                <w:sz w:val="18"/>
                <w:szCs w:val="18"/>
                <w:b w:val="1"/>
                <w:bCs w:val="1"/>
                <w:color w:val="0000EE"/>
                <w:w w:val="95"/>
              </w:rPr>
            </w:pPr>
            <w:hyperlink w:anchor="page34">
              <w:r>
                <w:rPr>
                  <w:rFonts w:ascii="Arial" w:cs="Arial" w:eastAsia="Arial" w:hAnsi="Arial"/>
                  <w:sz w:val="18"/>
                  <w:szCs w:val="18"/>
                  <w:b w:val="1"/>
                  <w:bCs w:val="1"/>
                  <w:color w:val="0000EE"/>
                  <w:w w:val="95"/>
                </w:rPr>
                <w:t>SIGNATURE PAGE</w:t>
              </w:r>
            </w:hyperlink>
          </w:p>
        </w:tc>
        <w:tc>
          <w:tcPr>
            <w:tcW w:w="8240" w:type="dxa"/>
            <w:vAlign w:val="bottom"/>
            <w:gridSpan w:val="13"/>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345"/>
        </w:trPr>
        <w:tc>
          <w:tcPr>
            <w:tcW w:w="9800" w:type="dxa"/>
            <w:vAlign w:val="bottom"/>
            <w:gridSpan w:val="17"/>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EXHIBIT INDEX</w:t>
              </w:r>
            </w:hyperlink>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3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and its subsidiaries.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NTIC owns or has the rights to use various trademarks, trade names or service marks used in this Report, including ZERUST,® Excor® and AXXA™.</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58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00" w:type="dxa"/>
            <w:vAlign w:val="bottom"/>
          </w:tcPr>
          <w:p>
            <w:pPr>
              <w:ind w:left="340"/>
              <w:spacing w:after="0"/>
              <w:rPr>
                <w:sz w:val="20"/>
                <w:szCs w:val="20"/>
                <w:color w:val="auto"/>
              </w:rPr>
            </w:pPr>
            <w:r>
              <w:rPr>
                <w:rFonts w:ascii="Arial" w:cs="Arial" w:eastAsia="Arial" w:hAnsi="Arial"/>
                <w:sz w:val="18"/>
                <w:szCs w:val="18"/>
                <w:b w:val="1"/>
                <w:bCs w:val="1"/>
                <w:color w:val="auto"/>
              </w:rPr>
              <w:t>FINANCIAL STATEMENTS</w:t>
            </w:r>
          </w:p>
        </w:tc>
        <w:tc>
          <w:tcPr>
            <w:tcW w:w="125" w:type="dxa"/>
            <w:vAlign w:val="bottom"/>
          </w:tcPr>
          <w:p>
            <w:pPr>
              <w:spacing w:after="0"/>
              <w:rPr>
                <w:sz w:val="19"/>
                <w:szCs w:val="19"/>
                <w:color w:val="auto"/>
              </w:rPr>
            </w:pPr>
          </w:p>
        </w:tc>
        <w:tc>
          <w:tcPr>
            <w:tcW w:w="1155"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125" w:type="dxa"/>
            <w:vAlign w:val="bottom"/>
          </w:tcPr>
          <w:p>
            <w:pPr>
              <w:spacing w:after="0"/>
              <w:rPr>
                <w:sz w:val="24"/>
                <w:szCs w:val="24"/>
                <w:color w:val="auto"/>
              </w:rPr>
            </w:pPr>
          </w:p>
        </w:tc>
        <w:tc>
          <w:tcPr>
            <w:tcW w:w="1155"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(Unaudited)</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560" w:type="dxa"/>
            <w:vAlign w:val="bottom"/>
            <w:gridSpan w:val="3"/>
          </w:tcPr>
          <w:p>
            <w:pPr>
              <w:spacing w:after="0"/>
              <w:rPr>
                <w:sz w:val="20"/>
                <w:szCs w:val="20"/>
                <w:color w:val="auto"/>
              </w:rPr>
            </w:pPr>
            <w:r>
              <w:rPr>
                <w:rFonts w:ascii="Arial" w:cs="Arial" w:eastAsia="Arial" w:hAnsi="Arial"/>
                <w:sz w:val="18"/>
                <w:szCs w:val="18"/>
                <w:b w:val="1"/>
                <w:bCs w:val="1"/>
                <w:color w:val="auto"/>
              </w:rPr>
              <w:t>as of MAY 31, 2006 and AUGUST 31, 2005</w:t>
            </w:r>
          </w:p>
        </w:tc>
        <w:tc>
          <w:tcPr>
            <w:tcW w:w="125" w:type="dxa"/>
            <w:vAlign w:val="bottom"/>
          </w:tcPr>
          <w:p>
            <w:pPr>
              <w:spacing w:after="0"/>
              <w:rPr>
                <w:sz w:val="19"/>
                <w:szCs w:val="19"/>
                <w:color w:val="auto"/>
              </w:rPr>
            </w:pPr>
          </w:p>
        </w:tc>
        <w:tc>
          <w:tcPr>
            <w:tcW w:w="1155"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155" w:type="dxa"/>
            <w:vAlign w:val="bottom"/>
          </w:tcPr>
          <w:p>
            <w:pPr>
              <w:jc w:val="right"/>
              <w:ind w:right="133"/>
              <w:spacing w:after="0"/>
              <w:rPr>
                <w:sz w:val="20"/>
                <w:szCs w:val="20"/>
                <w:color w:val="auto"/>
              </w:rPr>
            </w:pPr>
            <w:r>
              <w:rPr>
                <w:rFonts w:ascii="Arial" w:cs="Arial" w:eastAsia="Arial" w:hAnsi="Arial"/>
                <w:sz w:val="14"/>
                <w:szCs w:val="14"/>
                <w:b w:val="1"/>
                <w:bCs w:val="1"/>
                <w:color w:val="auto"/>
              </w:rPr>
              <w:t>May 31, 2006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25" w:type="dxa"/>
            <w:vAlign w:val="bottom"/>
          </w:tcPr>
          <w:p>
            <w:pPr>
              <w:spacing w:after="0"/>
              <w:rPr>
                <w:sz w:val="21"/>
                <w:szCs w:val="21"/>
                <w:color w:val="auto"/>
              </w:rPr>
            </w:pPr>
          </w:p>
        </w:tc>
        <w:tc>
          <w:tcPr>
            <w:tcW w:w="1155" w:type="dxa"/>
            <w:vAlign w:val="bottom"/>
          </w:tcPr>
          <w:p>
            <w:pPr>
              <w:jc w:val="right"/>
              <w:ind w:right="173"/>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ASSETS</w:t>
            </w:r>
          </w:p>
        </w:tc>
        <w:tc>
          <w:tcPr>
            <w:tcW w:w="780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CURRENT ASSETS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577,683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Receivables: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Trade excluding corporate joint ventures, less allowance for doubtful accounts of $8,792 and</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0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$13,085 at May 31, 2006 and August 31, 2005</w:t>
            </w:r>
          </w:p>
        </w:tc>
        <w:tc>
          <w:tcPr>
            <w:tcW w:w="125" w:type="dxa"/>
            <w:vAlign w:val="bottom"/>
            <w:shd w:val="clear" w:color="auto" w:fill="CCEEFF"/>
          </w:tcPr>
          <w:p>
            <w:pPr>
              <w:spacing w:after="0"/>
              <w:rPr>
                <w:sz w:val="19"/>
                <w:szCs w:val="19"/>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2,258,821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540"/>
              <w:spacing w:after="0"/>
              <w:rPr>
                <w:sz w:val="20"/>
                <w:szCs w:val="20"/>
                <w:color w:val="auto"/>
              </w:rPr>
            </w:pPr>
            <w:r>
              <w:rPr>
                <w:rFonts w:ascii="Arial" w:cs="Arial" w:eastAsia="Arial" w:hAnsi="Arial"/>
                <w:sz w:val="18"/>
                <w:szCs w:val="18"/>
                <w:color w:val="auto"/>
              </w:rPr>
              <w:t>Trade corporate joint ventures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405,909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Technical and other services, corporate joint ventures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1,130,639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540"/>
              <w:spacing w:after="0"/>
              <w:rPr>
                <w:sz w:val="20"/>
                <w:szCs w:val="20"/>
                <w:color w:val="auto"/>
              </w:rPr>
            </w:pPr>
            <w:r>
              <w:rPr>
                <w:rFonts w:ascii="Arial" w:cs="Arial" w:eastAsia="Arial" w:hAnsi="Arial"/>
                <w:sz w:val="18"/>
                <w:szCs w:val="18"/>
                <w:color w:val="auto"/>
              </w:rPr>
              <w:t>Income taxes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542,210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Prepaid expenses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286,018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current assets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6,520,600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gridSpan w:val="2"/>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AND EQUIPMENT, net</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2,164,848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gridSpan w:val="2"/>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Investments in corporate joint ventures: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Industrial chemical</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9,894,889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540"/>
              <w:spacing w:after="0"/>
              <w:rPr>
                <w:sz w:val="20"/>
                <w:szCs w:val="20"/>
                <w:color w:val="auto"/>
              </w:rPr>
            </w:pPr>
            <w:r>
              <w:rPr>
                <w:rFonts w:ascii="Arial" w:cs="Arial" w:eastAsia="Arial" w:hAnsi="Arial"/>
                <w:sz w:val="18"/>
                <w:szCs w:val="18"/>
                <w:color w:val="auto"/>
              </w:rPr>
              <w:t>Industrial non-chemical</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375,208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Notes receivable and foreign deposit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1,138,953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1,522,922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 from employee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Industrial patents and trademarks, net</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1,058,558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1,060,217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Other</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363,869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13,695,859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22,381,307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gridSpan w:val="2"/>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25" w:type="dxa"/>
            <w:vAlign w:val="bottom"/>
          </w:tcPr>
          <w:p>
            <w:pPr>
              <w:spacing w:after="0"/>
              <w:rPr>
                <w:sz w:val="9"/>
                <w:szCs w:val="9"/>
                <w:color w:val="auto"/>
              </w:rPr>
            </w:pPr>
          </w:p>
        </w:tc>
        <w:tc>
          <w:tcPr>
            <w:tcW w:w="1155"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CURRENT LIABILITIES: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1,305,809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Bank overdrafts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146,225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made on line of credit</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Note payable</w:t>
            </w:r>
          </w:p>
        </w:tc>
        <w:tc>
          <w:tcPr>
            <w:tcW w:w="125" w:type="dxa"/>
            <w:vAlign w:val="bottom"/>
          </w:tcPr>
          <w:p>
            <w:pPr>
              <w:spacing w:after="0"/>
              <w:rPr>
                <w:sz w:val="18"/>
                <w:szCs w:val="18"/>
                <w:color w:val="auto"/>
              </w:rPr>
            </w:pPr>
          </w:p>
        </w:tc>
        <w:tc>
          <w:tcPr>
            <w:tcW w:w="1155"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554,870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term loan</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25" w:type="dxa"/>
            <w:vAlign w:val="bottom"/>
          </w:tcPr>
          <w:p>
            <w:pPr>
              <w:spacing w:after="0"/>
              <w:rPr>
                <w:sz w:val="18"/>
                <w:szCs w:val="18"/>
                <w:color w:val="auto"/>
              </w:rPr>
            </w:pPr>
          </w:p>
        </w:tc>
        <w:tc>
          <w:tcPr>
            <w:tcW w:w="1155"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Payroll and related benefits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540"/>
              <w:spacing w:after="0"/>
              <w:rPr>
                <w:sz w:val="20"/>
                <w:szCs w:val="20"/>
                <w:color w:val="auto"/>
              </w:rPr>
            </w:pPr>
            <w:r>
              <w:rPr>
                <w:rFonts w:ascii="Arial" w:cs="Arial" w:eastAsia="Arial" w:hAnsi="Arial"/>
                <w:sz w:val="18"/>
                <w:szCs w:val="18"/>
                <w:color w:val="auto"/>
              </w:rPr>
              <w:t>Deferred joint venture royalties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72,000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current liabilities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3,265,357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gridSpan w:val="2"/>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TERM LOAN, NET OF CURRENT PORTION</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ind w:left="420"/>
              <w:spacing w:after="0"/>
              <w:rPr>
                <w:sz w:val="20"/>
                <w:szCs w:val="20"/>
                <w:color w:val="auto"/>
              </w:rPr>
            </w:pPr>
            <w:r>
              <w:rPr>
                <w:rFonts w:ascii="Arial" w:cs="Arial" w:eastAsia="Arial" w:hAnsi="Arial"/>
                <w:sz w:val="18"/>
                <w:szCs w:val="18"/>
                <w:color w:val="auto"/>
              </w:rPr>
              <w:t>DEFERRED GROSS PROFIT</w:t>
            </w:r>
          </w:p>
        </w:tc>
        <w:tc>
          <w:tcPr>
            <w:tcW w:w="125" w:type="dxa"/>
            <w:vAlign w:val="bottom"/>
          </w:tcPr>
          <w:p>
            <w:pPr>
              <w:spacing w:after="0"/>
              <w:rPr>
                <w:sz w:val="18"/>
                <w:szCs w:val="18"/>
                <w:color w:val="auto"/>
              </w:rPr>
            </w:pPr>
          </w:p>
        </w:tc>
        <w:tc>
          <w:tcPr>
            <w:tcW w:w="1155"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gridSpan w:val="2"/>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STOCKHOLDERS’ EQUITY:</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Preferred stock, no par value; authorized 10,000 shares; none issued &amp; outstanding</w:t>
            </w:r>
          </w:p>
        </w:tc>
        <w:tc>
          <w:tcPr>
            <w:tcW w:w="125" w:type="dxa"/>
            <w:vAlign w:val="bottom"/>
          </w:tcPr>
          <w:p>
            <w:pPr>
              <w:spacing w:after="0"/>
              <w:rPr>
                <w:sz w:val="18"/>
                <w:szCs w:val="18"/>
                <w:color w:val="auto"/>
              </w:rPr>
            </w:pPr>
          </w:p>
        </w:tc>
        <w:tc>
          <w:tcPr>
            <w:tcW w:w="1155"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Common stock, $0.02 par value per share; authorized 10,000,000 shares; issued &amp; outstanding 3,610,993</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3,589,993, respectively</w:t>
            </w:r>
          </w:p>
        </w:tc>
        <w:tc>
          <w:tcPr>
            <w:tcW w:w="125" w:type="dxa"/>
            <w:vAlign w:val="bottom"/>
            <w:shd w:val="clear" w:color="auto" w:fill="CCEEFF"/>
          </w:tcPr>
          <w:p>
            <w:pPr>
              <w:spacing w:after="0"/>
              <w:rPr>
                <w:sz w:val="19"/>
                <w:szCs w:val="19"/>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4,235,015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12,733,184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0" w:type="dxa"/>
            <w:vAlign w:val="bottom"/>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747,961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stockholders’ equity</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17,788,380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15,822,881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22,381,307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-4214495</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-4214495</wp:posOffset>
            </wp:positionV>
            <wp:extent cx="169354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354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4"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31" w:right="1440" w:bottom="1440" w:gutter="0" w:footer="0" w:header="0"/>
        </w:sectPr>
      </w:pPr>
    </w:p>
    <w:bookmarkStart w:id="4" w:name="page5"/>
    <w:bookmarkEnd w:id="4"/>
    <w:p>
      <w:pPr>
        <w:ind w:right="4220"/>
        <w:spacing w:after="0" w:line="262" w:lineRule="auto"/>
        <w:rPr>
          <w:sz w:val="20"/>
          <w:szCs w:val="20"/>
          <w:color w:val="auto"/>
        </w:rPr>
      </w:pPr>
      <w:r>
        <w:rPr>
          <w:rFonts w:ascii="Arial" w:cs="Arial" w:eastAsia="Arial" w:hAnsi="Arial"/>
          <w:sz w:val="18"/>
          <w:szCs w:val="18"/>
          <w:b w:val="1"/>
          <w:bCs w:val="1"/>
          <w:color w:val="auto"/>
        </w:rPr>
        <w:t>NORTHERN TECHNOLOGIES INTERNATIONAL CORPORATION AND SUBSIDIARIES - CONSOLIDATED STATEMENTS OF OPERATIONS (Unaudited) THREE AND NINE MONTHS ENDED MAY 31, 2006 AND MAY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May 31, 2006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May 31, 2005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May 31, 2006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May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NORTH AMERICAN OPERATIONS: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Sales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4,320,371</w:t>
            </w:r>
          </w:p>
        </w:tc>
        <w:tc>
          <w:tcPr>
            <w:tcW w:w="1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3,680,263</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12,499,693</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10,990,831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goods sold</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2,759,360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2,185,636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7,803,716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1,561,011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1,494,627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4,695,977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280"/>
              <w:spacing w:after="0"/>
              <w:rPr>
                <w:sz w:val="20"/>
                <w:szCs w:val="20"/>
                <w:color w:val="auto"/>
              </w:rPr>
            </w:pPr>
            <w:r>
              <w:rPr>
                <w:rFonts w:ascii="Arial" w:cs="Arial" w:eastAsia="Arial" w:hAnsi="Arial"/>
                <w:sz w:val="18"/>
                <w:szCs w:val="18"/>
                <w:color w:val="auto"/>
              </w:rPr>
              <w:t>Selling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871,828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781,454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2,444,017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2,114,805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344,167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1,888,954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1280"/>
              <w:spacing w:after="0"/>
              <w:rPr>
                <w:sz w:val="20"/>
                <w:szCs w:val="20"/>
                <w:color w:val="auto"/>
              </w:rPr>
            </w:pPr>
            <w:r>
              <w:rPr>
                <w:rFonts w:ascii="Arial" w:cs="Arial" w:eastAsia="Arial" w:hAnsi="Arial"/>
                <w:sz w:val="18"/>
                <w:szCs w:val="18"/>
                <w:color w:val="auto"/>
              </w:rPr>
              <w:t>Lab and technical support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65,411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213,837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1,575,723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4,546,808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NORTH AMERICAN OPERATING (LOSS) INCOME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217,281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CORPORATE JOINT VENTURES AND HOLDING COMPANIES: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rPr>
              <w:t>Equity in income of industrial chemical corporate joint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1060"/>
              <w:spacing w:after="0"/>
              <w:rPr>
                <w:sz w:val="20"/>
                <w:szCs w:val="20"/>
                <w:color w:val="auto"/>
              </w:rPr>
            </w:pPr>
            <w:r>
              <w:rPr>
                <w:rFonts w:ascii="Arial" w:cs="Arial" w:eastAsia="Arial" w:hAnsi="Arial"/>
                <w:sz w:val="18"/>
                <w:szCs w:val="18"/>
                <w:color w:val="auto"/>
              </w:rPr>
              <w:t>ventures and holding companies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793,378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590,899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2,084,042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1,459,451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Equity in income of industrial non-chemical corporate joint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ventures and holding companies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w w:val="97"/>
              </w:rPr>
              <w:t>Fees for technical support and other services provided to</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1060"/>
              <w:spacing w:after="0"/>
              <w:rPr>
                <w:sz w:val="20"/>
                <w:szCs w:val="20"/>
                <w:color w:val="auto"/>
              </w:rPr>
            </w:pPr>
            <w:r>
              <w:rPr>
                <w:rFonts w:ascii="Arial" w:cs="Arial" w:eastAsia="Arial" w:hAnsi="Arial"/>
                <w:sz w:val="18"/>
                <w:szCs w:val="18"/>
                <w:color w:val="auto"/>
              </w:rPr>
              <w:t>corporate joint ventures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1,123,978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824,844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3,258,027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2,829,115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Expenses incurred in support of corporate joint ventures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(1,204,929)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(1,240,560)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(3,661,459)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(3,739,934)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ALL CORPORATE JOINT VENTURES AND</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HOLDING COMPANIES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721,335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194,739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1,714,180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MINORITY INTEREST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9,053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(8,389)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717,963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373,615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1,556,676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8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3,610,993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3,582,036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3,599,677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3,585,007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3,638,795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3,590,924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3,625,061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5" w:name="page6"/>
    <w:bookmarkEnd w:id="5"/>
    <w:p>
      <w:pPr>
        <w:ind w:right="4220"/>
        <w:spacing w:after="0" w:line="262" w:lineRule="auto"/>
        <w:rPr>
          <w:sz w:val="20"/>
          <w:szCs w:val="20"/>
          <w:color w:val="auto"/>
        </w:rPr>
      </w:pPr>
      <w:r>
        <w:rPr>
          <w:rFonts w:ascii="Arial" w:cs="Arial" w:eastAsia="Arial" w:hAnsi="Arial"/>
          <w:sz w:val="18"/>
          <w:szCs w:val="18"/>
          <w:b w:val="1"/>
          <w:bCs w:val="1"/>
          <w:color w:val="auto"/>
        </w:rPr>
        <w:t>NORTHERN TECHNOLOGIES INTERNATIONAL CORPORATION AND SUBSIDIARIES - CONSOLIDATED STATEMENTS OF CASH FLOWS (Unaudited) NINE MONTHS ENDED MAY 31, 2006 and MAY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May 31, 2006</w:t>
            </w:r>
          </w:p>
        </w:tc>
        <w:tc>
          <w:tcPr>
            <w:tcW w:w="180" w:type="dxa"/>
            <w:vAlign w:val="bottom"/>
          </w:tcPr>
          <w:p>
            <w:pPr>
              <w:spacing w:after="0"/>
              <w:rPr>
                <w:sz w:val="22"/>
                <w:szCs w:val="22"/>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May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1,556,676</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559,251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Depreciation expense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148,273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Minority interest expense (income)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(income) loss from corporate joint ventures: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280"/>
              <w:spacing w:after="0"/>
              <w:rPr>
                <w:sz w:val="20"/>
                <w:szCs w:val="20"/>
                <w:color w:val="auto"/>
              </w:rPr>
            </w:pPr>
            <w:r>
              <w:rPr>
                <w:rFonts w:ascii="Arial" w:cs="Arial" w:eastAsia="Arial" w:hAnsi="Arial"/>
                <w:sz w:val="18"/>
                <w:szCs w:val="18"/>
                <w:color w:val="auto"/>
              </w:rPr>
              <w:t>Industrial chemical</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(2,083,986)</w:t>
            </w: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(1,459,451)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Industrial non-chemical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(33,570)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Deferred gross profit</w:t>
            </w:r>
          </w:p>
        </w:tc>
        <w:tc>
          <w:tcPr>
            <w:tcW w:w="16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joint venture royalties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Change in current assets and liabilities: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720"/>
              <w:spacing w:after="0"/>
              <w:rPr>
                <w:sz w:val="20"/>
                <w:szCs w:val="20"/>
                <w:color w:val="auto"/>
              </w:rPr>
            </w:pPr>
            <w:r>
              <w:rPr>
                <w:rFonts w:ascii="Arial" w:cs="Arial" w:eastAsia="Arial" w:hAnsi="Arial"/>
                <w:sz w:val="18"/>
                <w:szCs w:val="18"/>
                <w:color w:val="auto"/>
              </w:rPr>
              <w:t>Trade excluding corporate joint ventures</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(268,232)</w:t>
            </w: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Trade corporate joint ventures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1720"/>
              <w:spacing w:after="0"/>
              <w:rPr>
                <w:sz w:val="20"/>
                <w:szCs w:val="20"/>
                <w:color w:val="auto"/>
              </w:rPr>
            </w:pPr>
            <w:r>
              <w:rPr>
                <w:rFonts w:ascii="Arial" w:cs="Arial" w:eastAsia="Arial" w:hAnsi="Arial"/>
                <w:sz w:val="18"/>
                <w:szCs w:val="18"/>
                <w:color w:val="auto"/>
              </w:rPr>
              <w:t>Technical and other services receivables, corporate joint ventures</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(36,951)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(25,191)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255,537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(217,203)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(134,737)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Employee note receivable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376,280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(267,557)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(33,630)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corporate joint ventures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Dividends received from corporate joint ventures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783,304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Loans made</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(20,029)</w:t>
            </w: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(806,383)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on loans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Additions to property and equipment</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(1,592,476)</w:t>
            </w: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(138,080)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other 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Disposal of industrial patents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industrial patents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(136,409)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(80,908)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(525,840)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Bank overdrafts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146,225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(repayments) on line of credit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(152,000)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Borrowing on term loan</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1,275,000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note payable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(554,870)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95,340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(115,846)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327,458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662,038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584"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584" w:right="239" w:bottom="1440" w:gutter="0" w:footer="0" w:header="0"/>
          <w:type w:val="continuous"/>
        </w:sectPr>
      </w:pPr>
    </w:p>
    <w:bookmarkStart w:id="6" w:name="page7"/>
    <w:bookmarkEnd w:id="6"/>
    <w:p>
      <w:pPr>
        <w:ind w:right="4200"/>
        <w:spacing w:after="0" w:line="275" w:lineRule="auto"/>
        <w:rPr>
          <w:sz w:val="20"/>
          <w:szCs w:val="20"/>
          <w:color w:val="auto"/>
        </w:rPr>
      </w:pPr>
      <w:r>
        <w:rPr>
          <w:rFonts w:ascii="Arial" w:cs="Arial" w:eastAsia="Arial" w:hAnsi="Arial"/>
          <w:sz w:val="18"/>
          <w:szCs w:val="18"/>
          <w:b w:val="1"/>
          <w:bCs w:val="1"/>
          <w:color w:val="auto"/>
        </w:rPr>
        <w:t>NORTHERN TECHNOLOGIES INTERNATIONAL CORPORATION AND SUBSIDIARIES - NOTES TO CONSOLIDATED FINANCIAL STATEMENTS (Unaudited)</w:t>
      </w:r>
    </w:p>
    <w:p>
      <w:pPr>
        <w:spacing w:after="0" w:line="174"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2006 and the results of their operations for the three and nine months ended May 31, 2006 and May 31, 2005 and their cash flows for the nine months ended May 31, 2006 and May 31, 2005, in conformity with accounting principles generally accepted in the United States of America.</w:t>
      </w:r>
    </w:p>
    <w:p>
      <w:pPr>
        <w:spacing w:after="0" w:line="16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related notes contained in the Company’s annual report on Form 10-KSB for the fiscal year ended August 31, 2005 and with the Management’s Discussion and Analysis or Plan of Operation section appearing in this quarterly report. Operating results for the three and nine months ended May 31, 2006 are not necessarily indicative of the results that may be expected for the fiscal year ending August 31, 2006.</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Certain fiscal 2005 amounts have been reclassified to conform to fiscal year 2006 presentations. These reclassifications had no effect on stockholders’ equity or net income, as previously reported.</w:t>
      </w:r>
    </w:p>
    <w:p>
      <w:pPr>
        <w:spacing w:after="0" w:line="180"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Accounting Pronouncement – FIN 46R</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January 2003, the Financial Accounting Standards Board (FASB) issued FASB Interpretation No. 46 (FIN 46), “</w:t>
      </w:r>
      <w:r>
        <w:rPr>
          <w:rFonts w:ascii="Arial" w:cs="Arial" w:eastAsia="Arial" w:hAnsi="Arial"/>
          <w:sz w:val="18"/>
          <w:szCs w:val="18"/>
          <w:i w:val="1"/>
          <w:iCs w:val="1"/>
          <w:color w:val="auto"/>
        </w:rPr>
        <w:t>Consolidation of Variable Interest Entities, an</w:t>
      </w:r>
      <w:r>
        <w:rPr>
          <w:rFonts w:ascii="Arial" w:cs="Arial" w:eastAsia="Arial" w:hAnsi="Arial"/>
          <w:sz w:val="18"/>
          <w:szCs w:val="18"/>
          <w:color w:val="auto"/>
        </w:rPr>
        <w:t xml:space="preserve"> </w:t>
      </w:r>
      <w:r>
        <w:rPr>
          <w:rFonts w:ascii="Arial" w:cs="Arial" w:eastAsia="Arial" w:hAnsi="Arial"/>
          <w:sz w:val="18"/>
          <w:szCs w:val="18"/>
          <w:i w:val="1"/>
          <w:iCs w:val="1"/>
          <w:color w:val="auto"/>
        </w:rPr>
        <w:t>Interpretation of ARB No. 51</w:t>
      </w:r>
      <w:r>
        <w:rPr>
          <w:rFonts w:ascii="Arial" w:cs="Arial" w:eastAsia="Arial" w:hAnsi="Arial"/>
          <w:sz w:val="18"/>
          <w:szCs w:val="18"/>
          <w:color w:val="auto"/>
        </w:rPr>
        <w:t>”. In December 2003, the FASB issued FIN 46R,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w:t>
      </w:r>
      <w:r>
        <w:rPr>
          <w:rFonts w:ascii="Arial" w:cs="Arial" w:eastAsia="Arial" w:hAnsi="Arial"/>
          <w:sz w:val="18"/>
          <w:szCs w:val="18"/>
          <w:i w:val="1"/>
          <w:iCs w:val="1"/>
          <w:color w:val="auto"/>
        </w:rPr>
        <w:t xml:space="preserve"> a revision of FIN 46” </w:t>
      </w:r>
      <w:r>
        <w:rPr>
          <w:rFonts w:ascii="Arial" w:cs="Arial" w:eastAsia="Arial" w:hAnsi="Arial"/>
          <w:sz w:val="18"/>
          <w:szCs w:val="18"/>
          <w:color w:val="auto"/>
        </w:rPr>
        <w:t>which addresses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by business enterprises where equity investors do not bear the residual economic risks and rewards. The provisions of FIN 46R were effective for interests in variable interest entities (VIE) for the Company for all periods presented.</w:t>
      </w:r>
    </w:p>
    <w:p>
      <w:pPr>
        <w:spacing w:after="0" w:line="19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accordance with FIN 46R, the Company has elected to consolidate React-NTI LLC. The Company holds 75% of the equity and 75% of the voting rights, and has made significant advances to React-NTI LLC. Therefore, the Company has determined that it is the primary beneficiary of React-NTI LLC. Previously, the Company did not consolidate React-NTI LLC because under the terms of the joint venture agreement, there are certain matters requiring unanimous member approval. These rights represent substantive participating rights of the minority member as defined in Emerging Issues Task Force (EITF) No. 96-16, “</w:t>
      </w:r>
      <w:r>
        <w:rPr>
          <w:rFonts w:ascii="Arial" w:cs="Arial" w:eastAsia="Arial" w:hAnsi="Arial"/>
          <w:sz w:val="16"/>
          <w:szCs w:val="16"/>
          <w:i w:val="1"/>
          <w:iCs w:val="1"/>
          <w:color w:val="auto"/>
        </w:rPr>
        <w:t>Investor’s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an Investee When the Investor has a Majority of the Voting Interest but the Minority Shareholder or Shareholders Have Certain Approval or Veto Rights”</w:t>
      </w:r>
      <w:r>
        <w:rPr>
          <w:rFonts w:ascii="Arial" w:cs="Arial" w:eastAsia="Arial" w:hAnsi="Arial"/>
          <w:sz w:val="16"/>
          <w:szCs w:val="16"/>
          <w:color w:val="auto"/>
        </w:rPr>
        <w:t>. Accordingly, the Company did not control React-NTI LLC and previously accounted for its investment under the equity method rather than by</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until the Company’s adoption of FIN 46R during fiscal 2005.</w:t>
      </w:r>
    </w:p>
    <w:p>
      <w:pPr>
        <w:spacing w:after="0" w:line="166"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accordance with Accounting Principles Board (APB) Opinion No. 25 and related interpretations, the Company uses the intrinsic value-based method for measuring stock-based compensation cost, which measures compensation cost as the excess, if any, of quoted market price of the Company’s common stock at the grant date over the amount the employee must pay for the stock. The Company’s general policy is to grant stock options at fair value at the date of grant. The Company did not recognize any expense in the financial statements as all options granted by the Company were issued at fair market value. Options and warrants issued to non-employees are recorded at fair value, as required by EITF 96-18, using the Black-Scholes pricing method.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7" w:name="page8"/>
    <w:bookmarkEnd w:id="7"/>
    <w:p>
      <w:pPr>
        <w:ind w:right="20"/>
        <w:spacing w:after="0" w:line="318" w:lineRule="auto"/>
        <w:rPr>
          <w:sz w:val="20"/>
          <w:szCs w:val="20"/>
          <w:color w:val="auto"/>
        </w:rPr>
      </w:pPr>
      <w:r>
        <w:rPr>
          <w:rFonts w:ascii="Arial" w:cs="Arial" w:eastAsia="Arial" w:hAnsi="Arial"/>
          <w:sz w:val="15"/>
          <w:szCs w:val="15"/>
          <w:color w:val="auto"/>
        </w:rPr>
        <w:t>In December 2002, the FASB issued Statement of Financial Accounting Standards (SFAS) No. 148, “Accounting for Stock-Based Compensation - Transition and Disclosure.” SFAS No. 148 is an amendment to SFAS No. 123 providing alternative methods of transition for a voluntary change to the fair value based method of accounting for stock-based employee compensation and also provides required additional disclosures about the method of accounting for stock-based employee compensation. The Company adopted the annual disclosure provision of SFAS No. 148 during the fiscal year ended August 31, 2003. The Company chose not to adopt the voluntary change to the fair value based method of accounting for stock-based employee compensation, pursuant to SFAS No. 148.</w:t>
      </w:r>
    </w:p>
    <w:p>
      <w:pPr>
        <w:spacing w:after="0" w:line="154" w:lineRule="exact"/>
        <w:rPr>
          <w:sz w:val="20"/>
          <w:szCs w:val="20"/>
          <w:color w:val="auto"/>
        </w:rPr>
      </w:pPr>
    </w:p>
    <w:p>
      <w:pPr>
        <w:ind w:right="20" w:firstLine="41"/>
        <w:spacing w:after="0" w:line="256" w:lineRule="auto"/>
        <w:rPr>
          <w:sz w:val="20"/>
          <w:szCs w:val="20"/>
          <w:color w:val="auto"/>
        </w:rPr>
      </w:pPr>
      <w:r>
        <w:rPr>
          <w:rFonts w:ascii="Arial" w:cs="Arial" w:eastAsia="Arial" w:hAnsi="Arial"/>
          <w:sz w:val="18"/>
          <w:szCs w:val="18"/>
          <w:color w:val="auto"/>
        </w:rPr>
        <w:t>The Company has adopted the disclosure-only provisions of SFAS No. 148, Accounting for Stock-Based Compensation. Accordingly, no compensation cost has been recognized with respect to stock options granted by the Company. Had compensation cost for stock options been determined based on the fair value methodology prescribed by SFAS 123, the Company’s net income and net income per common share would have been reduced to the pro forma amounts indicated below:</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5"/>
          </w:tcPr>
          <w:p>
            <w:pPr>
              <w:ind w:lef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116"/>
              <w:spacing w:after="0"/>
              <w:rPr>
                <w:sz w:val="20"/>
                <w:szCs w:val="20"/>
                <w:color w:val="auto"/>
              </w:rPr>
            </w:pPr>
            <w:r>
              <w:rPr>
                <w:rFonts w:ascii="Arial" w:cs="Arial" w:eastAsia="Arial" w:hAnsi="Arial"/>
                <w:sz w:val="14"/>
                <w:szCs w:val="14"/>
                <w:b w:val="1"/>
                <w:bCs w:val="1"/>
                <w:color w:val="auto"/>
                <w:w w:val="93"/>
              </w:rPr>
              <w:t>May 31, 2006</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134"/>
              <w:spacing w:after="0"/>
              <w:rPr>
                <w:sz w:val="20"/>
                <w:szCs w:val="20"/>
                <w:color w:val="auto"/>
              </w:rPr>
            </w:pPr>
            <w:r>
              <w:rPr>
                <w:rFonts w:ascii="Arial" w:cs="Arial" w:eastAsia="Arial" w:hAnsi="Arial"/>
                <w:sz w:val="14"/>
                <w:szCs w:val="14"/>
                <w:b w:val="1"/>
                <w:bCs w:val="1"/>
                <w:color w:val="auto"/>
                <w:w w:val="91"/>
              </w:rPr>
              <w:t>May 31, 2005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36"/>
              <w:spacing w:after="0"/>
              <w:rPr>
                <w:sz w:val="20"/>
                <w:szCs w:val="20"/>
                <w:color w:val="auto"/>
              </w:rPr>
            </w:pPr>
            <w:r>
              <w:rPr>
                <w:rFonts w:ascii="Arial" w:cs="Arial" w:eastAsia="Arial" w:hAnsi="Arial"/>
                <w:sz w:val="14"/>
                <w:szCs w:val="14"/>
                <w:b w:val="1"/>
                <w:bCs w:val="1"/>
                <w:color w:val="auto"/>
                <w:w w:val="93"/>
              </w:rPr>
              <w:t>May 31, 2006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717,963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373,615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1,556,676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559,251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717,963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370,108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1,521,043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Pro forma</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Stock-based compensation, net: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60" w:type="dxa"/>
            <w:vAlign w:val="bottom"/>
          </w:tcPr>
          <w:p>
            <w:pPr>
              <w:ind w:left="420"/>
              <w:spacing w:after="0"/>
              <w:rPr>
                <w:sz w:val="20"/>
                <w:szCs w:val="20"/>
                <w:color w:val="auto"/>
              </w:rPr>
            </w:pPr>
            <w:r>
              <w:rPr>
                <w:rFonts w:ascii="Arial" w:cs="Arial" w:eastAsia="Arial" w:hAnsi="Arial"/>
                <w:sz w:val="18"/>
                <w:szCs w:val="18"/>
                <w:color w:val="auto"/>
              </w:rPr>
              <w:t>Pro forma</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3,507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35,633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10,521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As noted above, accounting principles require the Company to show, on a pro forma basis, the Company’s net income as if it recorded an expense for stock options at the time of grant. Other than disclosure in this footnote, the Company does not use these pro forma results for any purpose.</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May 31, 2006</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May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 years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2004, FASB issued SFAS No. 123 (revised 2004), “Share-Based Payment”, that focuses primarily on accounting for transactions in which an entity obtains employee services in share-based payment transactions. This statement replaces SFAS No. 123, “Accounting for Stock-Based Compensation”, and supersedes APB Opinion No. 25, “Accounting for Stock Issued to Employees.”</w:t>
      </w:r>
    </w:p>
    <w:p>
      <w:pPr>
        <w:spacing w:after="0" w:line="19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Beginning with the Company’s fiscal quarter that begins September 1, 2006, the Company will be required to expense the fair value of employee stock options and similar awards. As a public company, the Company is allowed to select from two alternative transition methods, each having different reporting implications. The anticipated impact of SFAS No. 123R on the Company’s consolidated operating results has not been determined at this time</w:t>
      </w:r>
      <w:r>
        <w:rPr>
          <w:rFonts w:ascii="Arial" w:cs="Arial" w:eastAsia="Arial" w:hAnsi="Arial"/>
          <w:sz w:val="16"/>
          <w:szCs w:val="16"/>
          <w:b w:val="1"/>
          <w:bCs w:val="1"/>
          <w:color w:val="auto"/>
        </w:rPr>
        <w: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90" w:right="279" w:bottom="1440" w:gutter="0" w:footer="0" w:header="0"/>
        </w:sectPr>
      </w:pPr>
    </w:p>
    <w:bookmarkStart w:id="8" w:name="page9"/>
    <w:bookmarkEnd w:id="8"/>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1275"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May 31, 2006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August 31, 2005</w:t>
            </w: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4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Pr>
          <w:p>
            <w:pPr>
              <w:spacing w:after="0"/>
              <w:rPr>
                <w:sz w:val="8"/>
                <w:szCs w:val="8"/>
                <w:color w:val="auto"/>
              </w:rPr>
            </w:pPr>
          </w:p>
        </w:tc>
        <w:tc>
          <w:tcPr>
            <w:tcW w:w="1175"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16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Finished goods</w:t>
            </w: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1,001,063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1,336,056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Pr>
          <w:p>
            <w:pPr>
              <w:spacing w:after="0"/>
              <w:rPr>
                <w:sz w:val="8"/>
                <w:szCs w:val="8"/>
                <w:color w:val="auto"/>
              </w:rPr>
            </w:pPr>
          </w:p>
        </w:tc>
        <w:tc>
          <w:tcPr>
            <w:tcW w:w="1175"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16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1,292,232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1,547,769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4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53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PROPERTY AND EQUIPMENT</w:t>
            </w:r>
          </w:p>
        </w:tc>
        <w:tc>
          <w:tcPr>
            <w:tcW w:w="2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40" w:type="dxa"/>
            <w:vAlign w:val="bottom"/>
            <w:vMerge w:val="continue"/>
          </w:tcPr>
          <w:p>
            <w:pPr>
              <w:spacing w:after="0"/>
              <w:rPr>
                <w:sz w:val="24"/>
                <w:szCs w:val="24"/>
                <w:color w:val="auto"/>
              </w:rPr>
            </w:pPr>
          </w:p>
        </w:tc>
        <w:tc>
          <w:tcPr>
            <w:tcW w:w="534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17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80" w:type="dxa"/>
            <w:vAlign w:val="bottom"/>
            <w:gridSpan w:val="3"/>
          </w:tcPr>
          <w:p>
            <w:pPr>
              <w:spacing w:after="0"/>
              <w:rPr>
                <w:sz w:val="20"/>
                <w:szCs w:val="20"/>
                <w:color w:val="auto"/>
              </w:rPr>
            </w:pPr>
            <w:r>
              <w:rPr>
                <w:rFonts w:ascii="Arial" w:cs="Arial" w:eastAsia="Arial" w:hAnsi="Arial"/>
                <w:sz w:val="18"/>
                <w:szCs w:val="18"/>
                <w:color w:val="auto"/>
              </w:rPr>
              <w:t>Property and equipment consisted of the following:</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17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275"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May 31, 2006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August 31, 2005</w:t>
            </w: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165" w:type="dxa"/>
            <w:vAlign w:val="bottom"/>
            <w:gridSpan w:val="3"/>
          </w:tcPr>
          <w:p>
            <w:pPr>
              <w:spacing w:after="0"/>
              <w:rPr>
                <w:sz w:val="8"/>
                <w:szCs w:val="8"/>
                <w:color w:val="auto"/>
              </w:rPr>
            </w:pPr>
          </w:p>
        </w:tc>
        <w:tc>
          <w:tcPr>
            <w:tcW w:w="1175"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4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top w:val="single" w:sz="8" w:color="auto"/>
            </w:tcBorders>
          </w:tcPr>
          <w:p>
            <w:pPr>
              <w:spacing w:after="0"/>
              <w:rPr>
                <w:sz w:val="8"/>
                <w:szCs w:val="8"/>
                <w:color w:val="auto"/>
              </w:rPr>
            </w:pPr>
          </w:p>
        </w:tc>
        <w:tc>
          <w:tcPr>
            <w:tcW w:w="1175"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16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2,348,533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804,734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730,943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1175"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Pr>
          <w:p>
            <w:pPr>
              <w:spacing w:after="0"/>
              <w:rPr>
                <w:sz w:val="8"/>
                <w:szCs w:val="8"/>
                <w:color w:val="auto"/>
              </w:rPr>
            </w:pPr>
          </w:p>
        </w:tc>
        <w:tc>
          <w:tcPr>
            <w:tcW w:w="1175"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3,157,254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1,564,778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1275" w:type="dxa"/>
            <w:vAlign w:val="bottom"/>
            <w:gridSpan w:val="3"/>
          </w:tcPr>
          <w:p>
            <w:pPr>
              <w:jc w:val="right"/>
              <w:ind w:right="60"/>
              <w:spacing w:after="0"/>
              <w:rPr>
                <w:sz w:val="20"/>
                <w:szCs w:val="20"/>
                <w:color w:val="auto"/>
              </w:rPr>
            </w:pPr>
            <w:r>
              <w:rPr>
                <w:rFonts w:ascii="Arial" w:cs="Arial" w:eastAsia="Arial" w:hAnsi="Arial"/>
                <w:sz w:val="18"/>
                <w:szCs w:val="18"/>
                <w:color w:val="auto"/>
              </w:rPr>
              <w:t>(992,406)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(844,133)</w:t>
            </w: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165" w:type="dxa"/>
            <w:vAlign w:val="bottom"/>
            <w:gridSpan w:val="3"/>
          </w:tcPr>
          <w:p>
            <w:pPr>
              <w:spacing w:after="0"/>
              <w:rPr>
                <w:sz w:val="8"/>
                <w:szCs w:val="8"/>
                <w:color w:val="auto"/>
              </w:rPr>
            </w:pPr>
          </w:p>
        </w:tc>
        <w:tc>
          <w:tcPr>
            <w:tcW w:w="1175"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top w:val="single" w:sz="8" w:color="auto"/>
            </w:tcBorders>
          </w:tcPr>
          <w:p>
            <w:pPr>
              <w:spacing w:after="0"/>
              <w:rPr>
                <w:sz w:val="8"/>
                <w:szCs w:val="8"/>
                <w:color w:val="auto"/>
              </w:rPr>
            </w:pPr>
          </w:p>
        </w:tc>
        <w:tc>
          <w:tcPr>
            <w:tcW w:w="1175"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16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2,164,848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720,641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-2233295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-2233295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-2233295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-2233295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-2233295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-2233295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69354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93545" cy="29845"/>
                    </a:xfrm>
                    <a:prstGeom prst="rect">
                      <a:avLst/>
                    </a:prstGeom>
                    <a:noFill/>
                  </pic:spPr>
                </pic:pic>
              </a:graphicData>
            </a:graphic>
          </wp:anchor>
        </w:drawing>
      </w:r>
    </w:p>
    <w:p>
      <w:pPr>
        <w:spacing w:after="0" w:line="287"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INDUSTRIAL PATENTS AND TRADEMARKS, NET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Industrial patents and trademarks,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1275"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May 31, 2006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August 31, 2005</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5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Pr>
          <w:p>
            <w:pPr>
              <w:spacing w:after="0"/>
              <w:rPr>
                <w:sz w:val="8"/>
                <w:szCs w:val="8"/>
                <w:color w:val="auto"/>
              </w:rPr>
            </w:pPr>
          </w:p>
        </w:tc>
        <w:tc>
          <w:tcPr>
            <w:tcW w:w="1175"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66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1,302,125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1275" w:type="dxa"/>
            <w:vAlign w:val="bottom"/>
            <w:gridSpan w:val="3"/>
          </w:tcPr>
          <w:p>
            <w:pPr>
              <w:jc w:val="right"/>
              <w:ind w:right="60"/>
              <w:spacing w:after="0"/>
              <w:rPr>
                <w:sz w:val="20"/>
                <w:szCs w:val="20"/>
                <w:color w:val="auto"/>
              </w:rPr>
            </w:pPr>
            <w:r>
              <w:rPr>
                <w:rFonts w:ascii="Arial" w:cs="Arial" w:eastAsia="Arial" w:hAnsi="Arial"/>
                <w:sz w:val="18"/>
                <w:szCs w:val="18"/>
                <w:color w:val="auto"/>
              </w:rPr>
              <w:t>(243,567)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(121,872)</w:t>
            </w: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17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Pr>
          <w:p>
            <w:pPr>
              <w:spacing w:after="0"/>
              <w:rPr>
                <w:sz w:val="8"/>
                <w:szCs w:val="8"/>
                <w:color w:val="auto"/>
              </w:rPr>
            </w:pPr>
          </w:p>
        </w:tc>
        <w:tc>
          <w:tcPr>
            <w:tcW w:w="1175"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66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1,060,217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482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NOTES RECEIVABLE AND FOREIGN DEPOSITS</w:t>
            </w:r>
          </w:p>
        </w:tc>
        <w:tc>
          <w:tcPr>
            <w:tcW w:w="2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60" w:type="dxa"/>
            <w:vAlign w:val="bottom"/>
            <w:vMerge w:val="continue"/>
          </w:tcPr>
          <w:p>
            <w:pPr>
              <w:spacing w:after="0"/>
              <w:rPr>
                <w:sz w:val="24"/>
                <w:szCs w:val="24"/>
                <w:color w:val="auto"/>
              </w:rPr>
            </w:pPr>
          </w:p>
        </w:tc>
        <w:tc>
          <w:tcPr>
            <w:tcW w:w="482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17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80" w:type="dxa"/>
            <w:vAlign w:val="bottom"/>
            <w:gridSpan w:val="3"/>
          </w:tcPr>
          <w:p>
            <w:pPr>
              <w:spacing w:after="0"/>
              <w:rPr>
                <w:sz w:val="20"/>
                <w:szCs w:val="20"/>
                <w:color w:val="auto"/>
              </w:rPr>
            </w:pPr>
            <w:r>
              <w:rPr>
                <w:rFonts w:ascii="Arial" w:cs="Arial" w:eastAsia="Arial" w:hAnsi="Arial"/>
                <w:sz w:val="18"/>
                <w:szCs w:val="18"/>
                <w:color w:val="auto"/>
              </w:rPr>
              <w:t>Notes receivable and foreign deposits consisted of the following:</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17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275"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May 31, 2006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8"/>
              </w:rPr>
              <w:t>August 31, 2005</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665" w:type="dxa"/>
            <w:vAlign w:val="bottom"/>
            <w:gridSpan w:val="3"/>
          </w:tcPr>
          <w:p>
            <w:pPr>
              <w:spacing w:after="0"/>
              <w:rPr>
                <w:sz w:val="8"/>
                <w:szCs w:val="8"/>
                <w:color w:val="auto"/>
              </w:rPr>
            </w:pPr>
          </w:p>
        </w:tc>
        <w:tc>
          <w:tcPr>
            <w:tcW w:w="1175"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5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top w:val="single" w:sz="8" w:color="auto"/>
            </w:tcBorders>
          </w:tcPr>
          <w:p>
            <w:pPr>
              <w:spacing w:after="0"/>
              <w:rPr>
                <w:sz w:val="8"/>
                <w:szCs w:val="8"/>
                <w:color w:val="auto"/>
              </w:rPr>
            </w:pPr>
          </w:p>
        </w:tc>
        <w:tc>
          <w:tcPr>
            <w:tcW w:w="1175"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9"/>
              </w:rPr>
              <w:t>Notes receivable from corporate joint venture partners</w:t>
            </w:r>
          </w:p>
        </w:tc>
        <w:tc>
          <w:tcPr>
            <w:tcW w:w="266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Notes receivable from other sources</w:t>
            </w:r>
          </w:p>
        </w:tc>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175" w:type="dxa"/>
            <w:vAlign w:val="bottom"/>
          </w:tcPr>
          <w:p>
            <w:pPr>
              <w:jc w:val="right"/>
              <w:spacing w:after="0"/>
              <w:rPr>
                <w:sz w:val="20"/>
                <w:szCs w:val="20"/>
                <w:color w:val="auto"/>
              </w:rPr>
            </w:pPr>
            <w:r>
              <w:rPr>
                <w:rFonts w:ascii="Arial" w:cs="Arial" w:eastAsia="Arial" w:hAnsi="Arial"/>
                <w:sz w:val="18"/>
                <w:szCs w:val="18"/>
                <w:color w:val="auto"/>
              </w:rPr>
              <w:t>641,774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1,027,453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Foreign deposits</w:t>
            </w:r>
          </w:p>
        </w:tc>
        <w:tc>
          <w:tcPr>
            <w:tcW w:w="2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445,469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665" w:type="dxa"/>
            <w:vAlign w:val="bottom"/>
            <w:gridSpan w:val="3"/>
          </w:tcPr>
          <w:p>
            <w:pPr>
              <w:spacing w:after="0"/>
              <w:rPr>
                <w:sz w:val="9"/>
                <w:szCs w:val="9"/>
                <w:color w:val="auto"/>
              </w:rPr>
            </w:pPr>
          </w:p>
        </w:tc>
        <w:tc>
          <w:tcPr>
            <w:tcW w:w="1175"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top w:val="single" w:sz="8" w:color="auto"/>
            </w:tcBorders>
          </w:tcPr>
          <w:p>
            <w:pPr>
              <w:spacing w:after="0"/>
              <w:rPr>
                <w:sz w:val="8"/>
                <w:szCs w:val="8"/>
                <w:color w:val="auto"/>
              </w:rPr>
            </w:pPr>
          </w:p>
        </w:tc>
        <w:tc>
          <w:tcPr>
            <w:tcW w:w="1175"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66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7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1,138,953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1,522,922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540" w:type="dxa"/>
            <w:vAlign w:val="bottom"/>
            <w:vMerge w:val="restart"/>
          </w:tcPr>
          <w:p>
            <w:pPr>
              <w:jc w:val="right"/>
              <w:ind w:right="1872"/>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117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17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-2152650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-2152650</wp:posOffset>
            </wp:positionV>
            <wp:extent cx="169354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9354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-368935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-368935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-368935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-368935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-368935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-368935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560"/>
          </w:cols>
          <w:pgMar w:left="240" w:top="584" w:right="1099" w:bottom="1440" w:gutter="0" w:footer="0" w:header="0"/>
        </w:sectPr>
      </w:pPr>
    </w:p>
    <w:bookmarkStart w:id="9" w:name="page10"/>
    <w:bookmarkEnd w:id="9"/>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CORPORATE JOINT VENTURES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Composite financial information from the financial statements of the Company’s joint ventures carried on the equity basis is summarized as follows: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97"/>
              <w:spacing w:after="0"/>
              <w:rPr>
                <w:sz w:val="20"/>
                <w:szCs w:val="20"/>
                <w:color w:val="auto"/>
              </w:rPr>
            </w:pPr>
            <w:r>
              <w:rPr>
                <w:rFonts w:ascii="Arial" w:cs="Arial" w:eastAsia="Arial" w:hAnsi="Arial"/>
                <w:sz w:val="14"/>
                <w:szCs w:val="14"/>
                <w:b w:val="1"/>
                <w:bCs w:val="1"/>
                <w:color w:val="auto"/>
                <w:w w:val="95"/>
              </w:rPr>
              <w:t>May 31, 2006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August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32,168,174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27,305,426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38,651,384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33,839,267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13,629,511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13,388,740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2,929,198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2,249,904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22,092,616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18,198,864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w w:val="90"/>
              </w:rPr>
              <w:t>Northern Technologies International Corporation’s share of Corporate Joint Ventures’ equity</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10,270,097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8,622,361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5"/>
          </w:tcPr>
          <w:p>
            <w:pPr>
              <w:ind w:lef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197"/>
              <w:spacing w:after="0"/>
              <w:rPr>
                <w:sz w:val="20"/>
                <w:szCs w:val="20"/>
                <w:color w:val="auto"/>
              </w:rPr>
            </w:pPr>
            <w:r>
              <w:rPr>
                <w:rFonts w:ascii="Arial" w:cs="Arial" w:eastAsia="Arial" w:hAnsi="Arial"/>
                <w:sz w:val="14"/>
                <w:szCs w:val="14"/>
                <w:b w:val="1"/>
                <w:bCs w:val="1"/>
                <w:color w:val="auto"/>
                <w:w w:val="95"/>
              </w:rPr>
              <w:t>May 31, 2006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May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51,278,645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43,082,226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23,901,140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20,621,346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4,351,355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3,064,050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w w:val="93"/>
              </w:rPr>
              <w:t>Northern Technologies International Corporation’s share of equity in income of Corporate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Joint Ventures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2,117,612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1,495,156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May 31, 2006, the Company did not make any new investments in corporate joint ventures.</w:t>
      </w:r>
    </w:p>
    <w:p>
      <w:pPr>
        <w:spacing w:after="0" w:line="219"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Goodwill represents the excess of purchase price and related costs over the value assigned to the net tangible and identifiable intangible assets of React NTI LLC when it was acquired on September 30, 2003. The Company has fully adopted SFAS No. 141, “Business Combinations,” and SFAS No. 142, “Goodwill and Other Intangible Assets.” SFAS No. 141 requires that (1) the purchase method of accounting be used for all business combinations initiated after June 30, 2001,</w:t>
      </w:r>
    </w:p>
    <w:p>
      <w:pPr>
        <w:spacing w:after="0" w:line="1" w:lineRule="exact"/>
        <w:rPr>
          <w:sz w:val="20"/>
          <w:szCs w:val="20"/>
          <w:color w:val="auto"/>
        </w:rPr>
      </w:pPr>
    </w:p>
    <w:p>
      <w:pPr>
        <w:ind w:firstLine="8"/>
        <w:spacing w:after="0" w:line="290"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provide specific criteria for the initial recognition and measurement of intangible assets apart from goodwill, and (3) require that unamortized negative goodwill be written off immediately as an extraordinary gain instead of being deferred and amortized. SFAS No. 142 primarily addresses the accounting for goodwill and intangible assets subsequent to their initial recognition. The provisions of SFAS No. 142 (1) prohibit the amortization of goodwill and indefinite-lived intangible assets, (2) require that goodwill and indefinite-lived intangible assets may be impaired (3) require that reporting units be identified for the purpose of assessing potential impairments of goodwill, and (4) remove the 40 year limitation on the amortization period of intangible assets that have finite lives. The Company has determined that its recorded goodwill was not impaired.</w:t>
      </w:r>
    </w:p>
    <w:p>
      <w:pPr>
        <w:spacing w:after="0" w:line="17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Company tests goodwill annually for impairment and in interim periods if certain events occur indicating that the carrying value of goodwill may be impaired. Goodwill at May 31, 2006 and August 31, 2005 was $304,000.</w:t>
      </w:r>
    </w:p>
    <w:p>
      <w:pPr>
        <w:spacing w:after="0" w:line="18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a revolving credit facility that expires on January 31, 2007. Outstanding amounts under the revolving credit facility bear interest at an annual rate based on LIBOR plus 2.25%. As of May 31, 2006, the interest rate was 7.33%. Amounts borrowed under the facility are collateralized by a lien on substantially all of the Company’s assets, excluding its corporate joint venture interests and intellectual property rights. The credit documents contain other terms and provisions (including representations, covenants and conditions) customary for transactions of this type. Significant financial covenants include the maintenance of a minimum fixed charge coverage ratio of 1.0 to 1.0. The Company is in compliance with all covenants under the revolving credit facility. Outstanding balances were $848,000 and $1,000,000 as of May 31, 2006 and August 31, 2005,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jc w:val="both"/>
        <w:ind w:right="80"/>
        <w:spacing w:after="0" w:line="298" w:lineRule="auto"/>
        <w:rPr>
          <w:sz w:val="20"/>
          <w:szCs w:val="20"/>
          <w:color w:val="auto"/>
        </w:rPr>
      </w:pPr>
      <w:r>
        <w:rPr>
          <w:rFonts w:ascii="Arial" w:cs="Arial" w:eastAsia="Arial" w:hAnsi="Arial"/>
          <w:sz w:val="16"/>
          <w:szCs w:val="16"/>
          <w:color w:val="auto"/>
        </w:rPr>
        <w:t>The Company has a term loan that in the principal amount of $1,275,000 that matures on May 3, 2011, bears interest at a fixed rate of 8.01% and is payable in 59 monthly payments equal to approximately $10,776.50 (inclusive of principal and interest) commencing June 1, 2006. All of the remaining unpaid principal and accrued interest is due and payable on the maturity date. The Note is secured by a first lien on the New Facility pursuant to a Mortgage dated as of May 3, 2006 between the Exchange Company and National City Bank and is guaranteed by the Company.</w:t>
      </w:r>
    </w:p>
    <w:p>
      <w:pPr>
        <w:spacing w:after="0" w:line="16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During the nine months ended May 31, 2006, the Company did not purchase or retire any shares of common stock. The following stock options to purchase shares of common stock were exercised:</w:t>
      </w:r>
    </w:p>
    <w:p>
      <w:pPr>
        <w:spacing w:after="0" w:line="169" w:lineRule="exact"/>
        <w:rPr>
          <w:sz w:val="20"/>
          <w:szCs w:val="20"/>
          <w:color w:val="auto"/>
        </w:rPr>
      </w:pPr>
    </w:p>
    <w:tbl>
      <w:tblPr>
        <w:tblLayout w:type="fixed"/>
        <w:tblInd w:w="3440" w:type="dxa"/>
        <w:tblCellMar>
          <w:top w:w="0" w:type="dxa"/>
          <w:left w:w="0" w:type="dxa"/>
          <w:bottom w:w="0" w:type="dxa"/>
          <w:right w:w="0" w:type="dxa"/>
        </w:tblCellMar>
      </w:tblPr>
      <w:tr>
        <w:trPr>
          <w:trHeight w:val="16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Exercised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16,000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2,000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acquire or retire any shares of common stock during the nine months ended May 31, 2005 and no stock options were exercised.</w:t>
      </w:r>
    </w:p>
    <w:p>
      <w:pPr>
        <w:spacing w:after="0" w:line="24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3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On November 12, 2004, the Company’s Board of Directors declared a cash dividend of $0.07 per share that totaled $250,739 and was paid on December 17, 2004 to shareholders of record on December 3, 2004. No dividend was declared or paid during the nine months ended May 31, 2006.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5120" w:type="dxa"/>
            <w:vAlign w:val="bottom"/>
          </w:tcPr>
          <w:p>
            <w:pPr>
              <w:ind w:left="220"/>
              <w:spacing w:after="0"/>
              <w:rPr>
                <w:sz w:val="20"/>
                <w:szCs w:val="20"/>
                <w:color w:val="auto"/>
              </w:rPr>
            </w:pPr>
            <w:r>
              <w:rPr>
                <w:rFonts w:ascii="Arial" w:cs="Arial" w:eastAsia="Arial" w:hAnsi="Arial"/>
                <w:sz w:val="18"/>
                <w:szCs w:val="18"/>
                <w:b w:val="1"/>
                <w:bCs w:val="1"/>
                <w:color w:val="auto"/>
              </w:rPr>
              <w:t>TOTAL COMPREHENSIVE INCOME (LOSS)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560" w:type="dxa"/>
            <w:vAlign w:val="bottom"/>
            <w:gridSpan w:val="3"/>
          </w:tcPr>
          <w:p>
            <w:pPr>
              <w:spacing w:after="0"/>
              <w:rPr>
                <w:sz w:val="20"/>
                <w:szCs w:val="20"/>
                <w:color w:val="auto"/>
              </w:rPr>
            </w:pPr>
            <w:r>
              <w:rPr>
                <w:rFonts w:ascii="Arial" w:cs="Arial" w:eastAsia="Arial" w:hAnsi="Arial"/>
                <w:sz w:val="18"/>
                <w:szCs w:val="18"/>
                <w:color w:val="auto"/>
              </w:rPr>
              <w:t>The Company’s total comprehensive income (loss) was as follows: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ind w:lef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200"/>
              <w:spacing w:after="0"/>
              <w:rPr>
                <w:sz w:val="20"/>
                <w:szCs w:val="20"/>
                <w:color w:val="auto"/>
              </w:rPr>
            </w:pPr>
            <w:r>
              <w:rPr>
                <w:rFonts w:ascii="Arial" w:cs="Arial" w:eastAsia="Arial" w:hAnsi="Arial"/>
                <w:sz w:val="14"/>
                <w:szCs w:val="14"/>
                <w:b w:val="1"/>
                <w:bCs w:val="1"/>
                <w:color w:val="auto"/>
                <w:w w:val="98"/>
              </w:rPr>
              <w:t>May 31, 2006</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May 31, 2005</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200"/>
              <w:spacing w:after="0"/>
              <w:rPr>
                <w:sz w:val="20"/>
                <w:szCs w:val="20"/>
                <w:color w:val="auto"/>
              </w:rPr>
            </w:pPr>
            <w:r>
              <w:rPr>
                <w:rFonts w:ascii="Arial" w:cs="Arial" w:eastAsia="Arial" w:hAnsi="Arial"/>
                <w:sz w:val="14"/>
                <w:szCs w:val="14"/>
                <w:b w:val="1"/>
                <w:bCs w:val="1"/>
                <w:color w:val="auto"/>
              </w:rPr>
              <w:t>May 31, 2006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4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717,963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373,615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1,556,676</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w w:val="97"/>
              </w:rPr>
              <w:t>Other comprehensive income – foreign currency translation adjustment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501,810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(451,341)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313,484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4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1,219,773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(77,726)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1,870,160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35972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97275" cy="29845"/>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8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No shares were excluded from the computation of common share equivalents as of May 31, 2006, as all stock option exercise prices were less than the average market price during the quarter of a share of common stock. Options to purchase 2,000, 1,000 and 3,000 shares of common stock with exercise prices of $6.75, $5.50 and $6.15, respectively, were outstanding as of May 31, 2005, but were excluded from the computation of common share equivalents, because their exercise prices were greater than the average market price during the quarter of a share of common stock.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0" w:right="239" w:bottom="1440" w:gutter="0" w:footer="0" w:header="0"/>
        </w:sectPr>
      </w:pPr>
    </w:p>
    <w:bookmarkStart w:id="11" w:name="page12"/>
    <w:bookmarkEnd w:id="11"/>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has one stock-based compensation plan, the 2000 Stock Incentive Plan (the Plan). The Company’s Board of Directors and stockholders approved the Plan and the Compensation Committee of the Board of Directors administers the distribution of options under the Plan. Under the Plan, incentive stock options and nonqualified stock options could be granted to directors, officers, non-officer employees, and independent consultants of the Company. Options granted under the Plan generally have a term of five years and become exercisable over a three- or four-year period beginning on the one-year anniversary date of the grant. Options are granted at per share exercise prices equal to the market value of the Company’s common stock on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May 31,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Remaining</w:t>
            </w: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0" w:type="dxa"/>
            <w:vAlign w:val="bottom"/>
          </w:tcPr>
          <w:p>
            <w:pPr>
              <w:ind w:left="980"/>
              <w:spacing w:after="0" w:line="149" w:lineRule="exact"/>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2"/>
                <w:szCs w:val="12"/>
                <w:color w:val="auto"/>
              </w:rPr>
            </w:pPr>
          </w:p>
        </w:tc>
        <w:tc>
          <w:tcPr>
            <w:tcW w:w="18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58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Options</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0" w:type="dxa"/>
            <w:vAlign w:val="bottom"/>
          </w:tcPr>
          <w:p>
            <w:pPr>
              <w:ind w:left="860"/>
              <w:spacing w:after="0"/>
              <w:rPr>
                <w:sz w:val="20"/>
                <w:szCs w:val="20"/>
                <w:color w:val="auto"/>
              </w:rPr>
            </w:pPr>
            <w:r>
              <w:rPr>
                <w:rFonts w:ascii="Arial" w:cs="Arial" w:eastAsia="Arial" w:hAnsi="Arial"/>
                <w:sz w:val="14"/>
                <w:szCs w:val="14"/>
                <w:b w:val="1"/>
                <w:bCs w:val="1"/>
                <w:color w:val="auto"/>
              </w:rPr>
              <w:t>Grant Date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176"/>
              <w:spacing w:after="0"/>
              <w:rPr>
                <w:sz w:val="20"/>
                <w:szCs w:val="20"/>
                <w:color w:val="auto"/>
              </w:rPr>
            </w:pPr>
            <w:r>
              <w:rPr>
                <w:rFonts w:ascii="Arial" w:cs="Arial" w:eastAsia="Arial" w:hAnsi="Arial"/>
                <w:sz w:val="14"/>
                <w:szCs w:val="14"/>
                <w:b w:val="1"/>
                <w:bCs w:val="1"/>
                <w:color w:val="auto"/>
                <w:w w:val="96"/>
              </w:rPr>
              <w:t>Exercise Prices</w:t>
            </w:r>
          </w:p>
        </w:tc>
        <w:tc>
          <w:tcPr>
            <w:tcW w:w="180" w:type="dxa"/>
            <w:vAlign w:val="bottom"/>
          </w:tcPr>
          <w:p>
            <w:pPr>
              <w:spacing w:after="0"/>
              <w:rPr>
                <w:sz w:val="15"/>
                <w:szCs w:val="15"/>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Life</w:t>
            </w: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Outstanding (#)</w:t>
            </w:r>
          </w:p>
        </w:tc>
        <w:tc>
          <w:tcPr>
            <w:tcW w:w="160" w:type="dxa"/>
            <w:vAlign w:val="bottom"/>
          </w:tcPr>
          <w:p>
            <w:pPr>
              <w:spacing w:after="0"/>
              <w:rPr>
                <w:sz w:val="15"/>
                <w:szCs w:val="15"/>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Exercisable (#)</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9/1/2001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gridSpan w:val="2"/>
          </w:tcPr>
          <w:p>
            <w:pPr>
              <w:jc w:val="center"/>
              <w:spacing w:after="0"/>
              <w:rPr>
                <w:sz w:val="20"/>
                <w:szCs w:val="20"/>
                <w:color w:val="auto"/>
              </w:rPr>
            </w:pPr>
            <w:r>
              <w:rPr>
                <w:rFonts w:ascii="Arial" w:cs="Arial" w:eastAsia="Arial" w:hAnsi="Arial"/>
                <w:sz w:val="18"/>
                <w:szCs w:val="18"/>
                <w:color w:val="auto"/>
                <w:w w:val="89"/>
              </w:rPr>
              <w:t>2/15/2002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22,000</w:t>
            </w:r>
          </w:p>
        </w:tc>
        <w:tc>
          <w:tcPr>
            <w:tcW w:w="1660" w:type="dxa"/>
            <w:vAlign w:val="bottom"/>
            <w:gridSpan w:val="4"/>
          </w:tcPr>
          <w:p>
            <w:pPr>
              <w:jc w:val="right"/>
              <w:ind w:right="40"/>
              <w:spacing w:after="0"/>
              <w:rPr>
                <w:sz w:val="20"/>
                <w:szCs w:val="20"/>
                <w:color w:val="auto"/>
              </w:rPr>
            </w:pPr>
            <w:r>
              <w:rPr>
                <w:rFonts w:ascii="Arial" w:cs="Arial" w:eastAsia="Arial" w:hAnsi="Arial"/>
                <w:sz w:val="18"/>
                <w:szCs w:val="18"/>
                <w:color w:val="auto"/>
              </w:rPr>
              <w:t>22,000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9/1/2002</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gridSpan w:val="2"/>
          </w:tcPr>
          <w:p>
            <w:pPr>
              <w:jc w:val="center"/>
              <w:spacing w:after="0"/>
              <w:rPr>
                <w:sz w:val="20"/>
                <w:szCs w:val="20"/>
                <w:color w:val="auto"/>
              </w:rPr>
            </w:pPr>
            <w:r>
              <w:rPr>
                <w:rFonts w:ascii="Arial" w:cs="Arial" w:eastAsia="Arial" w:hAnsi="Arial"/>
                <w:sz w:val="18"/>
                <w:szCs w:val="18"/>
                <w:color w:val="auto"/>
                <w:w w:val="91"/>
              </w:rPr>
              <w:t>9/1/2003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6,000</w:t>
            </w:r>
          </w:p>
        </w:tc>
        <w:tc>
          <w:tcPr>
            <w:tcW w:w="1660" w:type="dxa"/>
            <w:vAlign w:val="bottom"/>
            <w:gridSpan w:val="4"/>
          </w:tcPr>
          <w:p>
            <w:pPr>
              <w:jc w:val="right"/>
              <w:ind w:right="40"/>
              <w:spacing w:after="0"/>
              <w:rPr>
                <w:sz w:val="20"/>
                <w:szCs w:val="20"/>
                <w:color w:val="auto"/>
              </w:rPr>
            </w:pPr>
            <w:r>
              <w:rPr>
                <w:rFonts w:ascii="Arial" w:cs="Arial" w:eastAsia="Arial" w:hAnsi="Arial"/>
                <w:sz w:val="18"/>
                <w:szCs w:val="18"/>
                <w:color w:val="auto"/>
              </w:rPr>
              <w:t>4,002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9/1/2004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8,000</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2,668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gridSpan w:val="2"/>
          </w:tcPr>
          <w:p>
            <w:pPr>
              <w:jc w:val="center"/>
              <w:spacing w:after="0"/>
              <w:rPr>
                <w:sz w:val="20"/>
                <w:szCs w:val="20"/>
                <w:color w:val="auto"/>
              </w:rPr>
            </w:pPr>
            <w:r>
              <w:rPr>
                <w:rFonts w:ascii="Arial" w:cs="Arial" w:eastAsia="Arial" w:hAnsi="Arial"/>
                <w:sz w:val="18"/>
                <w:szCs w:val="18"/>
                <w:color w:val="auto"/>
                <w:w w:val="88"/>
              </w:rPr>
              <w:t>11/12/04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3,000</w:t>
            </w:r>
          </w:p>
        </w:tc>
        <w:tc>
          <w:tcPr>
            <w:tcW w:w="1660" w:type="dxa"/>
            <w:vAlign w:val="bottom"/>
            <w:gridSpan w:val="4"/>
          </w:tcPr>
          <w:p>
            <w:pPr>
              <w:jc w:val="right"/>
              <w:ind w:right="4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7/29/05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gridSpan w:val="2"/>
          </w:tcPr>
          <w:p>
            <w:pPr>
              <w:jc w:val="center"/>
              <w:spacing w:after="0"/>
              <w:rPr>
                <w:sz w:val="20"/>
                <w:szCs w:val="20"/>
                <w:color w:val="auto"/>
              </w:rPr>
            </w:pPr>
            <w:r>
              <w:rPr>
                <w:rFonts w:ascii="Arial" w:cs="Arial" w:eastAsia="Arial" w:hAnsi="Arial"/>
                <w:sz w:val="18"/>
                <w:szCs w:val="18"/>
                <w:color w:val="auto"/>
                <w:w w:val="87"/>
              </w:rPr>
              <w:t>9/1/05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14,000</w:t>
            </w:r>
          </w:p>
        </w:tc>
        <w:tc>
          <w:tcPr>
            <w:tcW w:w="1660" w:type="dxa"/>
            <w:vAlign w:val="bottom"/>
            <w:gridSpan w:val="4"/>
          </w:tcPr>
          <w:p>
            <w:pPr>
              <w:jc w:val="right"/>
              <w:ind w:right="4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11/4/05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56,000</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113,334</w:t>
            </w: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80" w:type="dxa"/>
            <w:vAlign w:val="bottom"/>
          </w:tcPr>
          <w:p>
            <w:pPr>
              <w:spacing w:after="0"/>
              <w:rPr>
                <w:sz w:val="20"/>
                <w:szCs w:val="20"/>
                <w:color w:val="auto"/>
              </w:rPr>
            </w:pPr>
            <w:r>
              <w:rPr>
                <w:rFonts w:ascii="Arial" w:cs="Arial" w:eastAsia="Arial" w:hAnsi="Arial"/>
                <w:sz w:val="18"/>
                <w:szCs w:val="18"/>
                <w:b w:val="1"/>
                <w:bCs w:val="1"/>
                <w:color w:val="auto"/>
              </w:rPr>
              <w:t>16.</w:t>
            </w:r>
          </w:p>
        </w:tc>
        <w:tc>
          <w:tcPr>
            <w:tcW w:w="3580" w:type="dxa"/>
            <w:vAlign w:val="bottom"/>
            <w:gridSpan w:val="2"/>
          </w:tcPr>
          <w:p>
            <w:pPr>
              <w:ind w:left="80"/>
              <w:spacing w:after="0"/>
              <w:rPr>
                <w:sz w:val="20"/>
                <w:szCs w:val="20"/>
                <w:color w:val="auto"/>
              </w:rPr>
            </w:pPr>
            <w:r>
              <w:rPr>
                <w:rFonts w:ascii="Arial" w:cs="Arial" w:eastAsia="Arial" w:hAnsi="Arial"/>
                <w:sz w:val="18"/>
                <w:szCs w:val="18"/>
                <w:b w:val="1"/>
                <w:bCs w:val="1"/>
                <w:color w:val="auto"/>
              </w:rPr>
              <w:t>SEGMENT INFORMATION</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20" w:type="dxa"/>
            <w:vAlign w:val="bottom"/>
            <w:gridSpan w:val="6"/>
          </w:tcPr>
          <w:p>
            <w:pPr>
              <w:spacing w:after="0"/>
              <w:rPr>
                <w:sz w:val="20"/>
                <w:szCs w:val="20"/>
                <w:color w:val="auto"/>
              </w:rPr>
            </w:pPr>
            <w:r>
              <w:rPr>
                <w:rFonts w:ascii="Arial" w:cs="Arial" w:eastAsia="Arial" w:hAnsi="Arial"/>
                <w:sz w:val="18"/>
                <w:szCs w:val="18"/>
                <w:color w:val="auto"/>
                <w:w w:val="87"/>
              </w:rPr>
              <w:t>Net sales by geographic location as a percentage of total net sales were as follows: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May 31, 2006</w:t>
            </w:r>
          </w:p>
        </w:tc>
        <w:tc>
          <w:tcPr>
            <w:tcW w:w="1740" w:type="dxa"/>
            <w:vAlign w:val="bottom"/>
            <w:gridSpan w:val="5"/>
          </w:tcPr>
          <w:p>
            <w:pPr>
              <w:ind w:left="120"/>
              <w:spacing w:after="0"/>
              <w:rPr>
                <w:sz w:val="20"/>
                <w:szCs w:val="20"/>
                <w:color w:val="auto"/>
              </w:rPr>
            </w:pPr>
            <w:r>
              <w:rPr>
                <w:rFonts w:ascii="Arial" w:cs="Arial" w:eastAsia="Arial" w:hAnsi="Arial"/>
                <w:sz w:val="14"/>
                <w:szCs w:val="14"/>
                <w:b w:val="1"/>
                <w:bCs w:val="1"/>
                <w:color w:val="auto"/>
              </w:rPr>
              <w:t>May 31, 2005</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88"/>
              </w:rPr>
              <w:t>Inside the U.S.A. to unaffiliated customers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Outside the U.S.A. to:</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60" w:type="dxa"/>
            <w:vAlign w:val="bottom"/>
            <w:gridSpan w:val="8"/>
            <w:shd w:val="clear" w:color="auto" w:fill="CCEEFF"/>
          </w:tcPr>
          <w:p>
            <w:pPr>
              <w:ind w:left="420"/>
              <w:spacing w:after="0"/>
              <w:rPr>
                <w:sz w:val="20"/>
                <w:szCs w:val="20"/>
                <w:color w:val="auto"/>
              </w:rPr>
            </w:pPr>
            <w:r>
              <w:rPr>
                <w:rFonts w:ascii="Arial" w:cs="Arial" w:eastAsia="Arial" w:hAnsi="Arial"/>
                <w:sz w:val="18"/>
                <w:szCs w:val="18"/>
                <w:color w:val="auto"/>
                <w:w w:val="90"/>
              </w:rPr>
              <w:t>Corporate Joint Ventures in which the Company is a shareholder directly and indirectly</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Unaffiliated customers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9.6%</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11.7%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One of the Company’s customers accounted for approximately 29.2% and 28.3% of the Company’s net sales for the nine months ended May 31, 2006 and 2005, respectively, and $637,151 and $341,510 of the Company’s receivables at May 31, 2006 and 2005, respectively.</w:t>
      </w:r>
    </w:p>
    <w:p>
      <w:pPr>
        <w:spacing w:after="0" w:line="18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 AND EMPLOYEE STOCK PURCHASE PLAN</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a 401(k) employee savings plan. Employees who meet certain age and service requirements may elect to contribute up to 15% of their salaries to the saving plan. The Company contributes the lesser of 50% of the participant’s contributions or 3.5% of the employee’s salary. The Company recognized expense for the savings plan of $25,681 and $72,121 for the three and nine months ended May 31, 2006 and of $18,442 and $55,935 for the three and nine months ended May 31, 2005.</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84" w:right="279" w:bottom="1440" w:gutter="0" w:footer="0" w:header="0"/>
        </w:sectPr>
      </w:pPr>
    </w:p>
    <w:bookmarkStart w:id="12" w:name="page13"/>
    <w:bookmarkEnd w:id="12"/>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May 18, 2006, the Company and Emeritushnic Facilities Company, Inc. (“EFC”), an entity owned by the Company’s former Chairman of the Board and Chief Executive Officer and current Chairman Emeritus, Philip M. Lynch, and certain of his family members, excluding Patrick G. Lynch, the Company’s current President and Chief Executive Officer, entered into a Consulting Agreement, effective as of May 1, 2006. Pursuant to the Consulting Agreement, the Company has engaged EFC to perform certain consulting services to the Company, including maintaining communications and relations between the Company and its joint venture partners. In consideration for such services, the Company paid EFC monthly consulting fees totaling $25,000 for the three months ended May 31, 2006 and reimbursed EFC for out-of-pocket expenses reasonably incurred in the course of providing such services in an aggregate amount of $22,854 for the three months ended May 31, 2006. The Consulting Agreement calls for fees of $25,000 per month and up to $180,000 in expense reimbursement in a given fiscal year. Additionally, it may be terminated by either party for any reason upon at least 90 days prior written notice to the other party and may be terminated upon the occurrence of other certain events, as set forth in the Consulting Agreement. The Consulting Agreement also contains other standard and customary terms, including provisions regarding confidentiality, non-competition and non-solicitation.</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May 1, 2006, the Company and Inter Alia Holding Co. (“Inter Alia”) entered into a termination agreement pursuant to which they agreed to mutually terminate that certain Manufacturer’s Representative Agreement dated as of October 1, 1976 and as subsequently amended thereafter. Inter Alia beneficially owns approximately 25.4% of the Company’s outstanding common stock, and Philip M. Lynch, the Company’s former Chairman of the Board and Chief Executive Officer and current Chairman Emeritus, and Patrick G. Lynch, the Company’s current President and Chief Executive Officer, are shareholders of Inter Alia. Prior to terminating the agreement, the Company reimbursed Inter Alia for travel and related expenses in the aggregate amount of $80,000 and $320,000 for the three and nine months ended May 31, 2006 and $198,817 and $470,813 for the three and nine months ended May 31, 2005, respectively. The Company paid Inter Alia commissions on royalties paid by corporate joint ventures and net proceeds of sales of the Company’s products of approximately $0 and $65,001 for the three and nine months ended May 31, 2006, and approximately $3,250 and $88,558 for the three and nine months ended May 31, 2005, respectively. In addition, the Company paid health insurance premiums of $0 and $6,623 for the three and nine months ended May 31, 2006 and $3,934 and $12,914 for the three and nine months ended May 31, 2005, respectively, related to policies that insure Philip M. Lynch, the Company’s former Chairman of the Board and Chief Executive Officer and current Chairman Emeritus.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made consulting payments to Dr. Ramani Narayan, a director of the Company, of $25,000 on each of September 9, 2004, December 2, 2004, July 7, 2005, June 14, 2005, November 8, 2005, February 1, 2006 and May 1, 2006. The consulting services rendered by Dr. Narayan related to research and development associated with various new technologies.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made a consulting payment to Dr. Sunggyu Lee, a director of the Company, of $50,000 on each of February 2, 2005 and June 6, 2005 and $25,000 on each of November 8, 2005, February 1, 2006 and May 1, 2006. The consulting services rendered by Dr. Lee related to research and development associated with various new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rent for its Beachwood office and lab location to a related party. See Note 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3" w:name="page14"/>
    <w:bookmarkEnd w:id="13"/>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Reconciliations of the expected federal income tax at the statutory rate with the provisions for income taxes for the nine months ended May 31 are as follows: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May 31, 2006</w:t>
            </w:r>
          </w:p>
        </w:tc>
        <w:tc>
          <w:tcPr>
            <w:tcW w:w="8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May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(712,000)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Tax effect on dividends received from corporate joint ventures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Company is involved in a legal action in Finland whereby the Company sued a Finish company for trademark infringement. The Company won the initial case, but has subsequently lost on appeal. The Company is currently appealing the latest court decision. The outcome of the appeal is unknown and any potential loss can not be estimated at this time; however, the potential judgment or settlement resulting from the case could have a material impact on the financial position or results of operations of the Company. The Company has put up a deposit of $445,469 that is being held by the courts in Finland against the defendants product that was seized as contraband pending the outcome of the lawsuit. There are no other legal actions arising in the ordinary course of business that management is of the opinion that any judgment or settlement therefrom would have a material adverse effect on the financial position or results of operations of the Company.</w:t>
      </w:r>
    </w:p>
    <w:p>
      <w:pPr>
        <w:spacing w:after="0" w:line="159"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In fiscal 1999, a subsidiary of the Company, NTI Facilities, Inc., acquired a one-third ownership of Omni-Northern Ltd., an Ohio limited liability company to entering into a lease agreement with Omni-Northern Ltd. for approximately 50% of the net rental space in a building owned by Omni-Northern Ltd. Omni-Northern Ltd. owns and operates a rental property located at 23205 Mercantile Road, Beachwood, Ohio, comprising approximately two acres of land and a building of approximately 34,000 square feet. NTI Facilities consolidates its ownership in Omni-Northern LTD utilizing the equity method of consolidation. The property has an approximate value of $2,205,000, based upon the cash-to-mortgage acquisition price of the property paid in fiscal 2000. The Company has guaranteed up to $329,082 of the Omni-Northern Ltd.’s $1,970,552 mortgage obligation with National City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 index through November 2014. By its ownership in Omni-Northern Ltd., NTI Facilities Inc. is entitled to one-third of the operating results of Omni-Northern Ltd. Omni-Northern has leased the remaining 50% of the net rental space to other third parties.</w:t>
      </w:r>
    </w:p>
    <w:p>
      <w:pPr>
        <w:spacing w:after="0" w:line="177"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The Company loaned Plastitech Ltd. $560,486 and Jose-Louis Turullols $69,274 during fiscal 2005. These loans bear interest at the rate of seven and one half percent (7.5%) per annum. The entire principal balance of these loans and all accrued interest thereon will be due in full on January 1, 2007. These loans are secured with shares of common stock of Stratek Plastics Ltd., representing approximately 3.9% of each borrower’s ownership interest in Stratek Plastics Ltd.</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April 28, 2005, the Company entered into a Settlement Agreement and Asset Purchase (the “Settlement Agreement”) with Excor Korrosionsforschung GmbH (“Excor”), Fibro-NTI Urun Gelistirme Ve Pazarlama Ticaret Anonim (“Fibro-NTI”), Acobal SAS (“Acobal”), Henkel KGaA and Henkel Surface Technologies SAS pursuant to which the Company agreed to settle certain litigation the Company and its 50% owned joint venture in France, Acobal SAS, commenced against Henkel Surface Technologies S.A.S and Henkel KGaA.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4" w:right="259" w:bottom="1440" w:gutter="0" w:footer="0" w:header="0"/>
        </w:sectPr>
      </w:pPr>
    </w:p>
    <w:bookmarkStart w:id="14" w:name="page15"/>
    <w:bookmarkEnd w:id="14"/>
    <w:p>
      <w:pPr>
        <w:spacing w:after="0" w:line="288" w:lineRule="auto"/>
        <w:rPr>
          <w:sz w:val="20"/>
          <w:szCs w:val="20"/>
          <w:color w:val="auto"/>
        </w:rPr>
      </w:pPr>
      <w:r>
        <w:rPr>
          <w:rFonts w:ascii="Arial" w:cs="Arial" w:eastAsia="Arial" w:hAnsi="Arial"/>
          <w:sz w:val="16"/>
          <w:szCs w:val="16"/>
          <w:color w:val="auto"/>
        </w:rPr>
        <w:t>Under the Settlement Agreement, the Company, Acobal and the Company’s 50% owned joint venture in Turkey, Fibro-NTI, agreed to purchase certain non-contact corrosion protection assets used by Henkel and/or its affiliates for EURO 1,500,000. Of the EURO 1,500,000, the Company agreed to pay EURO 450,000 which was capitalized in patents and trademarks, Acobal agreed to pay EURO 850,000 and Fibro-NTI agreed to pay EURO 200,000 for certain identified assets. The closing of the various asset purchase transactions took place on June 1, 2005. The Company borrowed EURO 450,000 to pay its portion of the EURO 1,500,000 from the other 50% owner of the Company’s joint venture in Germany. During the six months ended February 28, 2006, the Company repaid the full amount borrowed of EURO 450,000. In addition, both Acobal and Fibro-NTI also borrowed EURO 850,000 and EURO 200,000, respectively, from the other 50% owner of the Company’s joint venture in Germany to pay their respective portions of the EURO 1,500,000 purchase price for the Henkel assets. The loans have an interest rate of 6%. In connection with the transaction, Henkel agreed to a three-year non-competition provision and agreed not to acquire more than 5% of the outstanding shares of the Company.</w:t>
      </w:r>
    </w:p>
    <w:p>
      <w:pPr>
        <w:spacing w:after="0" w:line="17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May 3, 2006, the Company completed the first step in its purchase of certain real estate and a 40,000 square feet building on such real estate for a new corporate headquarters located in Circle Pines, Minnesota. The Company entered into a Purchase Agreement in June 2005 with Circle Pines Mainstreet II, LLC pursuant to which the Company agreed to purchase the real estate. The Company decided to structure the real estate purchase and its expected sale of its current corporate headquarters in such a manner so as to qualify as a like-kind exchange within the meaning of Section 1031 of the Internal Revenue Code of 1986, as amended. To facilitate the Code Section 1031 like-kind exchange, the Company entered into a Qualified Exchange Accommodation Agreement on May 3, 2006 with Northern Technologies Holding Company, LLC, a Minnesota limited liability company owned by First American Exchange Company, LLC, which is acting as a qualified intermediary within the meaning of Code Section 1031. Pursuant to the Exchange Agreement, the Company assigned its rights, but not its obligations, in the Purchase Agreement to the Exchange Company and the Exchange Company agreed to borrow monies to purchase the New Facility and then lease the New Facility to the Company. Upon the Company’s sale of its current corporate headquarters to a third party, with First American Exchange Company acting as intermediary, the Exchange Company will sell the New Facility to the Company, and the Company will assume the loan incurred by the Exchange Company to finance the purchase of the New Facility. The purchase price of the New Facility was $1,475,000 and was financed with the net proceeds of a secured term loan in the principal amount of $1,275,000 provided to the Exchange Company by National City Bank and guaranteed by the Company and cash provided to the Exchange Company from the Company pursuant to an interest-free promissory note and mortgage. On May 3, 2006, the Exchange Company issued to National City Bank a secured term note in the principal amount of $1,275,000 that matures on May 3, 2011, bears interest at a fixed rate of 8.01% and is payable in 59 monthly payments equal to approximately $10,776.50 (inclusive of principal and interest) commencing June 1, 2006. All of the remaining unpaid principal and accrued interest is due and payable on the maturity date. The Note is secured by a first lien on the New Facility pursuant to a Mortgage dated as of May 3, 2006 between the Exchange Company and National City Bank and is guaranteed by the Company.</w:t>
      </w:r>
    </w:p>
    <w:p>
      <w:pPr>
        <w:spacing w:after="0" w:line="17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June 2, 2006, the Company entered into a Purchase and Sale Agreement with Underground Properties, LLC pursuant to which the Company agreed to sell the real property and building in which the Company’s current corporate headquarters is located for a purchase price of $870,000. The Company currently expects to close the sale of its current corporate headquarters pursuant the Purchase and Sale Agreement in September 2006.The net book value of the building held for sale is $90,615 as of May 31, 2006. No assurance can be given that this transaction will take place as planned.</w:t>
      </w:r>
    </w:p>
    <w:p>
      <w:pPr>
        <w:spacing w:after="0" w:line="167"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On January 30, 2006, the Compensation Committee of the Board of Directors of the Company approved the final terms of an annual cash bonus plan for executive officers and certain employees of the Company for fiscal year ending August 31, 2006. The total amount available under the cash bonus plan will be 25% of the Company’s income before income taxes, provided that the Company is at a positive variance to the Board of Director approved budgeted net income for the fiscal year. The bonus will be divided amongst the Company’s executive officers and other plan participants depending upon each executive officer’s and other participant’s individual performance during the fiscal year ending August 31, 2006 as determined by the Compensation Committee in its sole discretion.</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590"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 MANAGEMENT’S DISCUSSION AND ANALYSIS OR PLAN OF OPERATION</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Management’s Discussion and Analysis provides material historical and prospective disclosures intended to enable investors and other users to assess our financial condition and results of operations. Statements that are not historical are forward-looking and involve risks and uncertainties discussed under the caption “Forward-Looking Statements” in Item 2 of this Report. The following discussion of the results of the operations and financial condition of the Company should be read in conjunction with the Company’s consolidated financial statements and the related notes thereto included under Part I, Item I entitled “Financial Statements”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focuses on developing, marketing and selling proprietary environmentally responsible materials science based products and technical services in over 50 countries worldwide directly, through independent distributors and sales representatives and via a network of joint ventures. The Company manufactures, markets and sells primarily rust and corrosion inhibiting products and services for automotive, electronics, electrical, mechanical and military applications, sold under the brand names ZERUST® and EXCOR®. The Company also offers direct, worldwide on-site technical support on rust and corrosion issues. In North America, the Company markets its technical service and ZERUST® products principally to industrial users by a direct sales force and through a network of independent distributors and sales representatives. The Company’s technical service representatives work directly with the end users of the Company’s products to analyze their specific needs and develop systems to meet their technical requirements.</w:t>
      </w:r>
    </w:p>
    <w:p>
      <w:pPr>
        <w:spacing w:after="0" w:line="17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participates, either directly or indirectly through holding companies, in numerous corporate joint venture arrangements in North America, South America, Europe, Asia, and the Middle East. Each of these joint ventures manufactures, markets and sells finished products generally in the countries to which it is assigned. The Company’s joint venture partners are knowledgeable in the applicable environmental, labor, tax and other requisite laws and regulations of the respective foreign countries in which they operate, as well as the local customs and business practices. While most of the Company’s joint ventures currently only sell rust and corrosion inhibiting products and custom packaging systems, the Company also has joint ventures that manufacture, market and sell bio-based additives with both industrial and personal care applications, and electronic sensing instruments.</w:t>
      </w:r>
    </w:p>
    <w:p>
      <w:pPr>
        <w:spacing w:after="0" w:line="17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React-NTI LLC is an industrial chemical corporate joint venture of the Company that focuses on the development, manufacture and marketing of proprietary lines of bio-based additives with both industrial and personal care applications. Based on cotton, soy, corn and other renewable resources, React-NTI products outperform many synthetically derived competing alternatives. React-NTI’s target market includes the Company’s existing industrial customer base, as well as the personal care and cosmetics industry. As of February 28, 2005, the Company began fully consolidating this 75% owned subsidiary, which was previously accounted for using the equity method.</w:t>
      </w:r>
    </w:p>
    <w:p>
      <w:pPr>
        <w:spacing w:after="0" w:line="19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Company conducts all foreign transactions based on the U.S. dollar, except for its investments in various foreign corporate joint ventures, which are in the respective local currency. The exchange rate differential relating to investments in foreign corporate joint ventures is accounted for under the requirements of SFAS No. 52, Foreign Currency Translation.</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Company’s net sales increased 17.4% and 13.7% during the three and nine months ended May 31, 2006, respectively, as compared to the same respective periods in fiscal 2005 primarily as a result of the increase in demand of Zerust® products and of React-NTI products to new and existing customers in North America. Net sales of Zerust® products increased $1,007,675 to $8,869,216 and net sales of React-NTI products increased $501,187 to $3,630,477 for the nine months ended May 31, 2006 as compared to the same period in fiscal 2005.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4" w:right="259" w:bottom="1440" w:gutter="0" w:footer="0" w:header="0"/>
        </w:sectPr>
      </w:pPr>
    </w:p>
    <w:bookmarkStart w:id="16" w:name="page17"/>
    <w:bookmarkEnd w:id="16"/>
    <w:p>
      <w:pPr>
        <w:ind w:right="460"/>
        <w:spacing w:after="0" w:line="332" w:lineRule="auto"/>
        <w:rPr>
          <w:sz w:val="20"/>
          <w:szCs w:val="20"/>
          <w:color w:val="auto"/>
        </w:rPr>
      </w:pPr>
      <w:r>
        <w:rPr>
          <w:rFonts w:ascii="Arial" w:cs="Arial" w:eastAsia="Arial" w:hAnsi="Arial"/>
          <w:sz w:val="16"/>
          <w:szCs w:val="16"/>
          <w:color w:val="auto"/>
        </w:rPr>
        <w:t>Cost of sales as a percentage of net sales increased to 63.9% and 62.4% during the three and nine months ended May 31, 2006, respectively, as compared to 59.4% and 59.5% during the same respective periods in fiscal 2005, primarily as a result of an increase in raw material prices.</w:t>
      </w:r>
    </w:p>
    <w:p>
      <w:pPr>
        <w:spacing w:after="0" w:line="139"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Total net sales of all of the Company’s joint ventures increased 19.0% to $51,278,645 during the nine months ended May 31, 2006 as compared to $43,082,226 during the same period in fiscal 2005 due to an increase in demand for product. The Company receives fees for technical and other support services it provides to its joint ventures based on the revenues of the individual joint ventures. The Company recognized a 15.2% increase in fee income for such technical and support services during the nine months ended May 31, 2006 as compared to the same period in fiscal 2006 due to the increase in total net sales of the joint ventures. The Company incurs direct expenses related to its corporate joint ventures and holding companies. Such expenses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The Company incurred decreased direct joint venture expenses during the nine months ended May 31, 2006 compared to the same period in fiscal 2005, primarily as a result of decreases in travel and external consulting services.</w:t>
      </w:r>
    </w:p>
    <w:p>
      <w:pPr>
        <w:spacing w:after="0" w:line="16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Company’s working capital was $3,255,243 at May 31, 2006, including $577,683 in cash and cash equivalents. Outstanding amounts under the Company’s revolving credit facility as of May 31, 2006 and August 31, 2005 were $848,000 and $1,000,000, respectively.</w:t>
      </w:r>
    </w:p>
    <w:p>
      <w:pPr>
        <w:spacing w:after="0" w:line="18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Company elected not to pay a cash dividend in fiscal 2006 in order to preserve cash and make investments in future operations. The Company expects to meet its future liquidity requirements during at least the next twelve months by using its existing cash and cash equivalents, forecasted cash flows from future operations, distributions of earnings and technical assistance fees to the Company from its joint venture investments and funds available through existing or anticipated financing arrangements. The Company paid a dividend of $0.07 per share in fiscal 2005.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months ended May 31, 2006 and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center"/>
              <w:ind w:left="252"/>
              <w:spacing w:after="0"/>
              <w:rPr>
                <w:sz w:val="20"/>
                <w:szCs w:val="20"/>
                <w:color w:val="auto"/>
              </w:rPr>
            </w:pPr>
            <w:r>
              <w:rPr>
                <w:rFonts w:ascii="Arial" w:cs="Arial" w:eastAsia="Arial" w:hAnsi="Arial"/>
                <w:sz w:val="14"/>
                <w:szCs w:val="14"/>
                <w:b w:val="1"/>
                <w:bCs w:val="1"/>
                <w:color w:val="auto"/>
                <w:w w:val="92"/>
              </w:rPr>
              <w:t>% of Net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of Net</w:t>
            </w:r>
          </w:p>
        </w:tc>
        <w:tc>
          <w:tcPr>
            <w:tcW w:w="220" w:type="dxa"/>
            <w:vAlign w:val="bottom"/>
          </w:tcPr>
          <w:p>
            <w:pPr>
              <w:spacing w:after="0"/>
              <w:rPr>
                <w:sz w:val="14"/>
                <w:szCs w:val="14"/>
                <w:color w:val="auto"/>
              </w:rPr>
            </w:pPr>
          </w:p>
        </w:tc>
        <w:tc>
          <w:tcPr>
            <w:tcW w:w="940" w:type="dxa"/>
            <w:vAlign w:val="bottom"/>
          </w:tcPr>
          <w:p>
            <w:pPr>
              <w:jc w:val="right"/>
              <w:ind w:right="47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200" w:type="dxa"/>
            <w:vAlign w:val="bottom"/>
          </w:tcPr>
          <w:p>
            <w:pPr>
              <w:jc w:val="right"/>
              <w:ind w:right="47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36"/>
              <w:spacing w:after="0"/>
              <w:rPr>
                <w:sz w:val="20"/>
                <w:szCs w:val="20"/>
                <w:color w:val="auto"/>
              </w:rPr>
            </w:pPr>
            <w:r>
              <w:rPr>
                <w:rFonts w:ascii="Arial" w:cs="Arial" w:eastAsia="Arial" w:hAnsi="Arial"/>
                <w:sz w:val="14"/>
                <w:szCs w:val="14"/>
                <w:b w:val="1"/>
                <w:bCs w:val="1"/>
                <w:color w:val="auto"/>
                <w:w w:val="91"/>
              </w:rPr>
              <w:t>May 31, 2006</w:t>
            </w:r>
          </w:p>
        </w:tc>
        <w:tc>
          <w:tcPr>
            <w:tcW w:w="180" w:type="dxa"/>
            <w:vAlign w:val="bottom"/>
          </w:tcPr>
          <w:p>
            <w:pPr>
              <w:spacing w:after="0"/>
              <w:rPr>
                <w:sz w:val="15"/>
                <w:szCs w:val="15"/>
                <w:color w:val="auto"/>
              </w:rPr>
            </w:pPr>
          </w:p>
        </w:tc>
        <w:tc>
          <w:tcPr>
            <w:tcW w:w="840" w:type="dxa"/>
            <w:vAlign w:val="bottom"/>
          </w:tcPr>
          <w:p>
            <w:pPr>
              <w:jc w:val="center"/>
              <w:ind w:left="272"/>
              <w:spacing w:after="0"/>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36"/>
              <w:spacing w:after="0"/>
              <w:rPr>
                <w:sz w:val="20"/>
                <w:szCs w:val="20"/>
                <w:color w:val="auto"/>
              </w:rPr>
            </w:pPr>
            <w:r>
              <w:rPr>
                <w:rFonts w:ascii="Arial" w:cs="Arial" w:eastAsia="Arial" w:hAnsi="Arial"/>
                <w:sz w:val="14"/>
                <w:szCs w:val="14"/>
                <w:b w:val="1"/>
                <w:bCs w:val="1"/>
                <w:color w:val="auto"/>
                <w:w w:val="91"/>
              </w:rPr>
              <w:t>May 31, 2005</w:t>
            </w:r>
          </w:p>
        </w:tc>
        <w:tc>
          <w:tcPr>
            <w:tcW w:w="180" w:type="dxa"/>
            <w:vAlign w:val="bottom"/>
          </w:tcPr>
          <w:p>
            <w:pPr>
              <w:spacing w:after="0"/>
              <w:rPr>
                <w:sz w:val="15"/>
                <w:szCs w:val="15"/>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4,320,371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3,680,263</w:t>
            </w: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640,108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2,759,360</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2"/>
              </w:rPr>
              <w:t>63.9%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2,185,636</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59.4%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573,724</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871,828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2"/>
              </w:rPr>
              <w:t>20.2%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781,454</w:t>
            </w: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90,374</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638,484</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2"/>
              </w:rPr>
              <w:t>14.8%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344,167</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294,317</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151,725</w:t>
            </w: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(86,314)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year-to-date results of operations for the nine months ended May 31, 2006 and 2005.</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of Net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 of Net</w:t>
            </w:r>
          </w:p>
        </w:tc>
        <w:tc>
          <w:tcPr>
            <w:tcW w:w="220" w:type="dxa"/>
            <w:vAlign w:val="bottom"/>
          </w:tcPr>
          <w:p>
            <w:pPr>
              <w:spacing w:after="0"/>
              <w:rPr>
                <w:sz w:val="14"/>
                <w:szCs w:val="14"/>
                <w:color w:val="auto"/>
              </w:rPr>
            </w:pPr>
          </w:p>
        </w:tc>
        <w:tc>
          <w:tcPr>
            <w:tcW w:w="940" w:type="dxa"/>
            <w:vAlign w:val="bottom"/>
          </w:tcPr>
          <w:p>
            <w:pPr>
              <w:jc w:val="right"/>
              <w:ind w:right="47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200" w:type="dxa"/>
            <w:vAlign w:val="bottom"/>
          </w:tcPr>
          <w:p>
            <w:pPr>
              <w:jc w:val="right"/>
              <w:ind w:right="47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May 31, 2006</w:t>
            </w:r>
          </w:p>
        </w:tc>
        <w:tc>
          <w:tcPr>
            <w:tcW w:w="180" w:type="dxa"/>
            <w:vAlign w:val="bottom"/>
          </w:tcPr>
          <w:p>
            <w:pPr>
              <w:spacing w:after="0"/>
              <w:rPr>
                <w:sz w:val="15"/>
                <w:szCs w:val="15"/>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Sales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May 31, 2005</w:t>
            </w:r>
          </w:p>
        </w:tc>
        <w:tc>
          <w:tcPr>
            <w:tcW w:w="180" w:type="dxa"/>
            <w:vAlign w:val="bottom"/>
          </w:tcPr>
          <w:p>
            <w:pPr>
              <w:spacing w:after="0"/>
              <w:rPr>
                <w:sz w:val="15"/>
                <w:szCs w:val="15"/>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Sales</w:t>
            </w:r>
          </w:p>
        </w:tc>
        <w:tc>
          <w:tcPr>
            <w:tcW w:w="22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12,499,693</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10,990,831</w:t>
            </w: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1,508,862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7,803,716</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62.4%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6,533,684</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1,270,032</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2,444,017</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2,114,805</w:t>
            </w: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329,212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2"/>
              </w:rPr>
              <w:t>General and administrative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1,888,954</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1,822,761</w:t>
            </w: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66,193</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w w:val="95"/>
              </w:rPr>
              <w:t>Lab and technical support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213,837</w:t>
            </w:r>
          </w:p>
        </w:tc>
        <w:tc>
          <w:tcPr>
            <w:tcW w:w="1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555,332</w:t>
            </w: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(341,495)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i w:val="1"/>
          <w:iCs w:val="1"/>
          <w:color w:val="auto"/>
        </w:rPr>
        <w:t>Net Sales and Cost of Sales</w:t>
      </w:r>
      <w:r>
        <w:rPr>
          <w:rFonts w:ascii="Arial" w:cs="Arial" w:eastAsia="Arial" w:hAnsi="Arial"/>
          <w:sz w:val="15"/>
          <w:szCs w:val="15"/>
          <w:color w:val="auto"/>
        </w:rPr>
        <w:t>. The Company’s net sales originating in the United States increased during the three and nine months ended May 31, 2006 compared</w:t>
      </w:r>
      <w:r>
        <w:rPr>
          <w:rFonts w:ascii="Arial" w:cs="Arial" w:eastAsia="Arial" w:hAnsi="Arial"/>
          <w:sz w:val="15"/>
          <w:szCs w:val="15"/>
          <w:i w:val="1"/>
          <w:iCs w:val="1"/>
          <w:color w:val="auto"/>
        </w:rPr>
        <w:t xml:space="preserve"> </w:t>
      </w:r>
      <w:r>
        <w:rPr>
          <w:rFonts w:ascii="Arial" w:cs="Arial" w:eastAsia="Arial" w:hAnsi="Arial"/>
          <w:sz w:val="15"/>
          <w:szCs w:val="15"/>
          <w:color w:val="auto"/>
        </w:rPr>
        <w:t>to the same respective periods in fiscal 2005 primarily as a result of an increase in the demand for Zerust® products sold to existing customers and an increase in the demand for React-NTI products sold to an existing customer in North America. Cost of sales increased as a percentage of net sales for the three and nine months ended May 31, 2006 compared to the same respective periods in fiscal 2005 primarily as a result of increase in petroleum based raw material prices.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0" w:right="239" w:bottom="1440" w:gutter="0" w:footer="0" w:header="0"/>
        </w:sectPr>
      </w:pPr>
    </w:p>
    <w:bookmarkStart w:id="17" w:name="page18"/>
    <w:bookmarkEnd w:id="17"/>
    <w:p>
      <w:pPr>
        <w:ind w:right="20"/>
        <w:spacing w:after="0" w:line="290"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The Company’s selling expenses increased for the nine months ended May 31, 2006 compared the same period in fiscal 2005 primarily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increases in (i) consulting expense of $120,000, (ii) marketing expense of $111,000, (iii) employee benefits of $19,000, (iv) telecommunications expense of $19,000, (v) auto expense of $17,000 and (vi) expense related to the sale of React products of $60,000. These increases were partially offset by decreases in (i) travel expenses of $21,000, and (ii) commissions to salespeople and manufacturer’s representatives totaling $100,000. The Company’s selling expenses increased for the three months ended May 31, 2006 compared the same period in fiscal 2005 primarily as a result of the same increases in expenses, as proportionately adjusted. Selling expenses as a percentage of net sales increased slightly for the nine months ended May 31, 2006 compared to same period in fiscal 2005, but decreased for the three months ended May 31, 2006 compared to the same period in fiscal 2005.</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The Company’s general and administrative expenses increased for the nine months ended May 31, 2006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same period in fiscal 2005 primarily as a result of increases in (i) audit and tax fees of $85,000, (ii) insurance expense of $112,000, (iii) management bonus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$105,000, (iv) travel expense of $66,000. These increases were partially offset by decreases in (i) legal expense of $131,000 and (ii) directors’ fees and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$94,000. The Company’s general and administrative expenses significantly increased for the three months ended May 31, 2006 compared to same period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2005. The increase in general and administrative expenses for the three months ended May 31, 2006 compared to the same period in fiscal 2005 is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disproportionately larger than the increases in general and administrative expenses for the nine months ended May 31, 2006 compared to the same period in fiscal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2005 due primarily to the reversal of an accrual for management bonuses in the three months ended May 31, 2005. The bonus was reversed due to poor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anticipated earnings for fiscal 2005 compared to budget. As a percentage of net sales, general and administrative expenses decreased slightly for the nine months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ended May 31, 2006 compared to same period in fiscal 2005, but increased for the three months ended May 31, 2006 compared to the same period in fiscal 2005,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primarily as a result of the changes in spending as described above.</w:t>
      </w:r>
    </w:p>
    <w:p>
      <w:pPr>
        <w:spacing w:after="0" w:line="21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Lab and Technical Support Expenses</w:t>
      </w:r>
      <w:r>
        <w:rPr>
          <w:rFonts w:ascii="Arial" w:cs="Arial" w:eastAsia="Arial" w:hAnsi="Arial"/>
          <w:sz w:val="16"/>
          <w:szCs w:val="16"/>
          <w:color w:val="auto"/>
        </w:rPr>
        <w:t>. The Company’s lab and technical support expenses decreased for the nine months ended May 31, 2006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fiscal 2005 primarily due to the transfer of employees from the lab and technical support area to research and development associated with corporate joint venture support, which decreased lab and technical support expenses by $360,000. The Company’s lab and technical support expenses decreased for the three months ended May 31, 2006 compared to the same period in fiscal 2005 primarily due to the proportional decrease in expenses for the nine months ended May 31, 2006 compared to the same period in fiscal 2005. As a percentage of net sales, lab and technical support expenses decreased for the three and nine months ended May 31, 2006 compared to same respective periods in fiscal 2005 primarily as a result of the transfer of employees and decrease in spending as described above.</w:t>
      </w:r>
    </w:p>
    <w:p>
      <w:pPr>
        <w:spacing w:after="0" w:line="172"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i w:val="1"/>
          <w:iCs w:val="1"/>
          <w:color w:val="auto"/>
        </w:rPr>
        <w:t>International Corporate Joint Ventures and Holding Companies</w:t>
      </w:r>
      <w:r>
        <w:rPr>
          <w:rFonts w:ascii="Arial" w:cs="Arial" w:eastAsia="Arial" w:hAnsi="Arial"/>
          <w:sz w:val="16"/>
          <w:szCs w:val="16"/>
          <w:color w:val="auto"/>
        </w:rPr>
        <w:t>. The Company continues its business program of establishing corporate joint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in international markets directly or indirectly through holding companies. The Company and/or an existing corporate joint venture manufactures and supplies proprietary ingredients, which make the finished products functional and enable manufacturing of the finished products to take place in the foreign countries. The Company’s corporate joint ventures then market the finished products in their territories, and the Company’s corporate joint ventures’ profits are shared by the corporate joint venture shareholders in accordance with their ownership percentages of the joint venture entity.</w:t>
      </w:r>
    </w:p>
    <w:p>
      <w:pPr>
        <w:spacing w:after="0" w:line="17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had equity in income of industrial chemical and non-chemical corporate joint ventures and holding companies of $802,286 and $610,455 for the three months ended May 31, 2006 and 2005, respectively, and $2,117,612 and $1,495,156 for the nine months ended May 31, 2006 and 2005, respectively. These increases in equity in income for both the three and nine month periods were due to the significant increases in profitability from the corporate joint ventures as a whole during the periods in fiscal 2006 compared to the respective periods in fiscal 2005.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0" w:right="239" w:bottom="1440" w:gutter="0" w:footer="0" w:header="0"/>
        </w:sectPr>
      </w:pPr>
    </w:p>
    <w:bookmarkStart w:id="18" w:name="page19"/>
    <w:bookmarkEnd w:id="18"/>
    <w:p>
      <w:pPr>
        <w:ind w:right="60"/>
        <w:spacing w:after="0" w:line="294" w:lineRule="auto"/>
        <w:rPr>
          <w:sz w:val="20"/>
          <w:szCs w:val="20"/>
          <w:color w:val="auto"/>
        </w:rPr>
      </w:pPr>
      <w:r>
        <w:rPr>
          <w:rFonts w:ascii="Arial" w:cs="Arial" w:eastAsia="Arial" w:hAnsi="Arial"/>
          <w:sz w:val="16"/>
          <w:szCs w:val="16"/>
          <w:color w:val="auto"/>
        </w:rPr>
        <w:t>The Company receives fees for technical and other support to the Company’s corporate joint ventures based on the revenues of the individual corporate joint ventures. The Company recognized fee income for such support in the amounts of $1,123,978 and $824,884 for the three months ended May 31, 2006 and 2005, respectively, and $3,258,027 and $2,829,115 for the nine months ended May 31, 2006 and 2005, respectively. These increases in fees for technical and other support to its corporate joint ventures for both the three and nine month periods were due to significant increases in revenues from the corporate joint ventures as a whole during the periods in fiscal 2006 compared to the respective periods in fiscal 2005.</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sponsors a worldwide corporate joint venture conference approximately every three to four years in which all of its corporate joint ventures are invited to participate. The Company defers a portion of its technical and other support fees received from its corporate joint ventures in each accounting period leading up to the next conference, reflecting that the Company has not fully earned the payments received during that period. The next corporate joint venture conference is scheduled to be held in 2008. There was $72,000 of deferred income recorded within other accrued liabilities at May 31, 2006, related to this future conference. The costs associated with these joint venture conferences are offset against the deferral as incurred, generally in the period in which the conference is held and immediately before.</w:t>
      </w:r>
    </w:p>
    <w:p>
      <w:pPr>
        <w:spacing w:after="0" w:line="19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 incurred direct expenses related to its corporate joint ventures and the holding companies of $1,204,929 and $3,661,459 for the three and nine months ended May 31, 2006, respectively, compared to $1,240,560 and $3,739,934 for the same respective periods in fiscal 2005. These expenses include: product and business development, consulting, travel, technical and marketing services to existing joint ventures, legal fees regarding the establishment of new joint ventures, registration and promotion and legal defense of worldwide trademarks and legal fees incurred in the filing of patent applications for new technologies to which the Company acquired certain rights. The decreases in direct expenses incurred relating to the Company’s corporate joint ventures and holding companies for the nine months ended May 31, 2006 compared to the same period in fiscal 2005 was attributable to decreases in (i) commissions paid to Inter Alia of $54,000, (ii) expense reimbursement to Inter Alia of $149,000, (iii) legal fees of $30,000, (iv) travel expenses of $90,000 and (v) consulting fees of $142,000. These decreases were partially offset by increases in (i) expenses related to the transfer of employees from the lab and technical support area to research and development associated with corporate joint venture support of $360,000 and (ii) amortization expense of $81,000. As a percentage of net sales, direct expenses incurred relating to the Company’s corporate joint ventures and holding companies decreased for the three and ended May 31, 2006 compared to the same respective periods in fiscal 2005, primarily as a result of the changes in spending as described above.</w:t>
      </w:r>
    </w:p>
    <w:p>
      <w:pPr>
        <w:spacing w:after="0" w:line="18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Company’s interest income decreased to $30,108 for the nine months ended May 31, 2006 compared to $47,139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2005 due to a lower average invested cash balances during the most recent period.</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The Company’s interest expense increased to $55,392 for the nine months ended May 31, 2006 compared to $13,263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2005 due to a higher average outstanding debt and an increase in interest rates during the most recent period.</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Income Before Income Taxes</w:t>
      </w:r>
      <w:r>
        <w:rPr>
          <w:rFonts w:ascii="Arial" w:cs="Arial" w:eastAsia="Arial" w:hAnsi="Arial"/>
          <w:sz w:val="18"/>
          <w:szCs w:val="18"/>
          <w:color w:val="auto"/>
        </w:rPr>
        <w:t>. Income before income taxes increased $1,243,425to $1,829,676 for the nine months ended May 31, 2006 compared to $586,251</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in fiscal 2005.</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for the three and nine months ended May 31, 2006 and 2005 was calculated based on management’s estimate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annual effective income tax rate. The Company’s annual effective income tax rate for the nine months ended May 31, 2006 and 2005 is lower than the statutory rate primarily due to the Company’s equity in income of corporate joint ventures being recognized based on after-tax earnings of these entities. To the extent joint ventures’ undistributed earnings are distributed to the Company, it is not expected to result in any material additional income tax liability after the application of foreign tax credits.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9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At May 31, 2006, the Company’s working capital was $3,255,243 with $577,683 in cash and cash equivalents,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working capital of $2,697,693, including $327,458 in cash and cash equivalents as of August 31, 2005.</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revolving credit facility that expires on January 31, 2007. Outstanding amounts under the revolving credit facility bear interest at an annual rate based on LIBOR plus 2.25%. As of May 31, 2006, the interest rate was 7.33%. Amounts borrowed under the facility are collateralized by a lien on substantially all of the Company’s assets, excluding its corporate joint venture interests and intellectual property rights. The credit documents contain other terms and provisions (including representations, covenants and conditions) customary for transactions of this type. Significant financial covenants include minimum fixed charge coverage ratio of 1.0 to 1.0. The Company is in compliance with all covenants under the revolving credit facility. Outstanding balances under the revolving credit facility were $848,000 and $1,000,000 as of May 31, 2006 and August 31, 2005, respectively.</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believes that a combination of its existing cash and cash equivalents, plus funds available through existing or anticipated financing arrangements and forecasted cash flows, will continue to be adequate to meet its obligations for at least the next twelve months. The Company anticipates borrowing to finance the building purchase and related capital expenditures.</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Uses of Cash and Cash Flows</w:t>
      </w:r>
      <w:r>
        <w:rPr>
          <w:rFonts w:ascii="Arial" w:cs="Arial" w:eastAsia="Arial" w:hAnsi="Arial"/>
          <w:sz w:val="16"/>
          <w:szCs w:val="16"/>
          <w:color w:val="auto"/>
        </w:rPr>
        <w:t>. Cash flows used in operations for the nine months ended May 31, 2006 was $33,629, which resulted principally from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expense, inventories and accrued liabilities being offset by equity income of corporate joint ventures, trade excluding corporate joint ventures and prepaid expenses. Cash flows used in operations for the nine months ended May 31, 2005 was $897,456, which resulted principally from net income, depreciation and amortization expense, accounts payable and technical receivables from corporate joint ventures being offset by equity income of corporate joint ventures, trade excluding corporate joint ventures, inventories and accrued liabilities.</w:t>
      </w:r>
    </w:p>
    <w:p>
      <w:pPr>
        <w:spacing w:after="0" w:line="1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cash used in investing activities for the nine months ended May 31, 2006 was $525,840, which resulted from additions to property and equipment and industrial patents, offset by dividends received from corporate joint ventures and cash received on loans. Net cash provided by investing activities for the nine months ended May 31, 2005 was $15,669, which resulted from dividends received from corporate joint ventures, offset by loans made, investments in corporate joint ventures and additions to property and equipment and industrial patents.</w:t>
      </w:r>
    </w:p>
    <w:p>
      <w:pPr>
        <w:spacing w:after="0" w:line="19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Net cash provided by financing activities for the nine months ended May 31, 2006 was $809,695, which resulted primarily from the borrowings on a term loan and bank overdrafts, offset by the payoff of the note payable and repayments on the line of credit. Net cash provided by financing activities the nine months ended May 31, 2005 was $765,941, which resulted primarily from borrowing on the line of credit, partially offset by dividends paid to stockholders.</w:t>
      </w:r>
    </w:p>
    <w:p>
      <w:pPr>
        <w:spacing w:after="0" w:line="161"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i w:val="1"/>
          <w:iCs w:val="1"/>
          <w:color w:val="auto"/>
        </w:rPr>
        <w:t>Capital Expenditures and Commitments</w:t>
      </w:r>
      <w:r>
        <w:rPr>
          <w:rFonts w:ascii="Arial" w:cs="Arial" w:eastAsia="Arial" w:hAnsi="Arial"/>
          <w:sz w:val="15"/>
          <w:szCs w:val="15"/>
          <w:color w:val="auto"/>
        </w:rPr>
        <w:t>. The Company’s subsidiary has entered into a 15-year lease agreement for approximately 16,994 square feet of office,</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manufacturing, laboratory and warehouse space requiring monthly payments of $17,500 which are adjusted annually according to the annual consumer price index through November 2014. The Company has no postretirement benefit plan and does not anticipate establishing any postretirement benefit program.</w:t>
      </w:r>
    </w:p>
    <w:p>
      <w:pPr>
        <w:spacing w:after="0" w:line="142" w:lineRule="exact"/>
        <w:rPr>
          <w:sz w:val="20"/>
          <w:szCs w:val="20"/>
          <w:color w:val="auto"/>
        </w:rPr>
      </w:pPr>
    </w:p>
    <w:p>
      <w:pPr>
        <w:jc w:val="both"/>
        <w:ind w:right="220"/>
        <w:spacing w:after="0" w:line="335" w:lineRule="auto"/>
        <w:rPr>
          <w:sz w:val="20"/>
          <w:szCs w:val="20"/>
          <w:color w:val="auto"/>
        </w:rPr>
      </w:pPr>
      <w:r>
        <w:rPr>
          <w:rFonts w:ascii="Arial" w:cs="Arial" w:eastAsia="Arial" w:hAnsi="Arial"/>
          <w:sz w:val="15"/>
          <w:szCs w:val="15"/>
          <w:color w:val="auto"/>
        </w:rPr>
        <w:t>The Company loaned Plastitech Ltd. $560,486 and Jose-Louis Turullols $69,274 during fiscal 2005. These loans bear interest at the rate of seven and one half percent (7.5%) per annum. The entire principal balance of these loans and all accrued interest thereon will be due in full on January 1, 2007. These loans are secured with shares of common stock of Stratek Plastics Ltd., representing approximately 3.9% of each borrower’s ownership interest in Stratek Plastics Ltd.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584" w:right="279" w:bottom="1440" w:gutter="0" w:footer="0" w:header="0"/>
        </w:sectPr>
      </w:pPr>
    </w:p>
    <w:bookmarkStart w:id="20" w:name="page21"/>
    <w:bookmarkEnd w:id="20"/>
    <w:p>
      <w:pPr>
        <w:spacing w:after="0" w:line="286" w:lineRule="auto"/>
        <w:rPr>
          <w:sz w:val="20"/>
          <w:szCs w:val="20"/>
          <w:color w:val="auto"/>
        </w:rPr>
      </w:pPr>
      <w:r>
        <w:rPr>
          <w:rFonts w:ascii="Arial" w:cs="Arial" w:eastAsia="Arial" w:hAnsi="Arial"/>
          <w:sz w:val="16"/>
          <w:szCs w:val="16"/>
          <w:color w:val="auto"/>
        </w:rPr>
        <w:t>On April 28, 2005, the Company entered into a Settlement Agreement and Asset Purchase (the “Settlement Agreement”) with Excor Korrosionsforschung GmbH (“Excor”), Fibro-NTI Urun Gelistirme Ve Pazarlama Ticaret Anonim (“Fibro-NTI”), Acobal SAS (“Acobal”), Henkel KGaA and Henkel Surface Technologies SAS pursuant to which the Company agreed to settle certain litigation the Company and its 50% owned joint venture in France, Acobal SAS, commenced against Henkel Surface Technologies S.A.S and Henkel KGaA. Under the Settlement Agreement, the Company, Acobal and the Company’s 50% owned joint venture in Turkey, Fibro-NTI, agreed to purchase certain non-contact corrosion protection assets used by Henkel and/or its affiliates for EURO 1,500,000. Of the EURO 1,500,000, the Company agreed to pay EURO 450,000 which was capitalized in patents and trademarks, Acobal agreed to pay EURO 850,000 and Fibro-NTI agreed to pay EURO 200,000 for certain identified assets. The closing of the various asset purchase transactions took place on June 1, 2005. The Company borrowed EURO 450,000 to pay its portion of the EURO 1,500,000 from the other 50% owner of the Company’s joint venture in Germany. During the six months ended February 28, 2006, the Company repaid the full amount borrowed of EURO 450,000. In addition, both Acobal and Fibro-NTI also borrowed EURO 850,000 and EURO 200,000, respectively, from the other 50% owner of the Company’s joint venture in Germany to pay their respective portions of the EURO 1,500,000 purchase price for the Henkel assets. The loans have an interest rate of 6%. In connection with the transaction, Henkel agreed to a three-year non-competition provision and agreed not to acquire more than 5% of the outstanding shares of the Company.</w:t>
      </w:r>
    </w:p>
    <w:p>
      <w:pPr>
        <w:spacing w:after="0" w:line="17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May 3, 2006, the Company completed the first step in its purchase of certain real estate and a 40,000 square feet building on such real estate for a new corporate headquarters located in Circle Pines, Minnesota. The Company entered into a Purchase Agreement in June 2005 with Circle Pines Mainstreet II, LLC pursuant to which the Company agreed to purchase the real estate. The Company decided to structure the real estate purchase and its expected sale of its current corporate headquarters in such a manner so as to qualify as a like-kind exchange within the meaning of Section 1031 of the Internal Revenue Code of 1986, as amended. To facilitate the Code Section 1031 like-kind exchange, the Company entered into a Qualified Exchange Accommodation Agreement on May 3, 2006 with Northern Technologies Holding Company, LLC, a Minnesota limited liability company owned by First American Exchange Company, LLC, which is acting as a qualified intermediary within the meaning of Code Section 1031. Pursuant to the Exchange Agreement, the Company assigned its rights, but not its obligations, in the Purchase Agreement to the Exchange Company and the Exchange Company agreed to borrow monies to purchase the New Facility and then lease the New Facility to the Company. Upon the Company’s sale of its current corporate headquarters to a third party, with First American Exchange Company acting as intermediary, the Exchange Company will sell the New Facility to the Company, and the Company will assume the loan incurred by the Exchange Company to finance the purchase of the New Facility. The purchase price of the New Facility was $1,475,000 and was financed with the net proceeds of a secured term loan in the principal amount of $1,275,000 provided to the Exchange Company by National City Bank and guaranteed by the Company and cash provided to the Exchange Company from NTIC pursuant to an interest-free promissory note and mortgage. On May 3, 2006, the Exchange Company issued to National City Bank a secured term note in the principal amount of $1,275,000 that matures on May 3, 2011, bears interest at a fixed rate of 8.01% and is payable in 59 monthly payments equal to approximately $10,776.50 (inclusive of principal and interest) commencing June 1, 2006. All of the remaining unpaid principal and accrued interest is due and payable on the maturity date. The Note is secured by a first lien on the New Facility pursuant to a Mortgage dated as of May 3, 2006 between the Exchange Company and National City Bank and is guaranteed by the Company.</w:t>
      </w:r>
    </w:p>
    <w:p>
      <w:pPr>
        <w:spacing w:after="0" w:line="17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June 2, 2006, the Company entered into a Purchase and Sale Agreement with Underground Properties, LLC pursuant to which the Company agreed to sell the real property and building in which the Company’s current corporate headquarters is located for a purchase price of $870,000. The Company currently expects to close the sale of its current corporate headquarters pursuant the Purchase and Sale Agreement in September 2006.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the Company is not materially exposed to any financing, liquidity, market or credit risk that could arise if the Company had engaged in such arrangements.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90" w:right="279" w:bottom="1440" w:gutter="0" w:footer="0" w:header="0"/>
        </w:sectPr>
      </w:pPr>
    </w:p>
    <w:bookmarkStart w:id="21" w:name="page22"/>
    <w:bookmarkEnd w:id="21"/>
    <w:p>
      <w:pPr>
        <w:ind w:right="20"/>
        <w:spacing w:after="0" w:line="256" w:lineRule="auto"/>
        <w:rPr>
          <w:sz w:val="20"/>
          <w:szCs w:val="20"/>
          <w:color w:val="auto"/>
        </w:rPr>
      </w:pPr>
      <w:r>
        <w:rPr>
          <w:rFonts w:ascii="Arial" w:cs="Arial" w:eastAsia="Arial" w:hAnsi="Arial"/>
          <w:sz w:val="18"/>
          <w:szCs w:val="18"/>
          <w:color w:val="auto"/>
        </w:rPr>
        <w:t>In fiscal 1999, a subsidiary of the Company,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The Company has guaranteed up to $329,082 of Omni-Northern Ltd.’s $1,939,364 mortgage obligation with National City Bank, Cleveland, Ohio. The building is fully leased at present.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has historically had little effect on the Company. The Company’s business has not historically been seasonal.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exposed to some market risk stemming from changes in foreign currency exchange rates, commodity prices and interest rates.</w:t>
      </w:r>
    </w:p>
    <w:p>
      <w:pPr>
        <w:spacing w:after="0" w:line="24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is exposed to foreign currency exchange rate risk arising from its investments in its foreign corporate joint ventures and holding companies since the Company’s fees for technical support and other services and dividend distributions from these foreign entities are paid in foreign currencies. The Company’s principal exchange rate exposure is with the Euro, the Japanese yen, Korean won and the English pound against the U.S. dollar. The Company does not hedge against its foreign currency exchange rate risk. Since the Company’s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the consolidated statement of income.</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Some raw materials used in the Company’s products are exposed to commodity price changes. The primary commodity price exposures are with a variety of plastic resins.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revolving credit facility bears interest at a rate based on LIBOR and thus may subject the Company to some market risk on interest rates.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$848,000 was outstanding under this facility as of May 31,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18 to the Company’s consolidated financial statements for disclosure regarding related party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preparation of the Company’s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the Company has identified the following critical accounting policies. Although the Company believes that its estimates and assumptions are reasonable, they are based upon information available when they are made. Actual results may differ significantly from these estimates under different assumptions or conditions.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90"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Investments in Corporate Joint Ventures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Investments in corporate joint ventures are accounted for using the equity method, except for React-NTI LLC which has been fully consolidated, for all periods presented due to the adoption of FIN 46R (See Note 2 to the Company’s consolidated financial statements). Periodically, the Company evaluates the investments for any impairment and assesses the future cash flow projections to determine if there are any going concern issues. If an investment were determined to be impaired, then a reserve would be created to reflect the impairment on the financial results of the Company. The Company’s evaluation of its investments in corporate joint ventures requires the Company to make assumptions about future cash flows of its corporate joint ventures. These assumptions require significant judgment and actual results may differ from assumed or estimated amounts. The Company’s investments in corporate joint ventures were $10,270,097 and $8,622,361 as of May 31, 2006 and August 31, 2005,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values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economic conditions. Based on this evaluation, the Company establishes a reserve for specific accounts and notes receivable that it believes are uncollectible, as well as an estimate of uncollectible receivables not specifically known. A deterioration in the financial condition of any key customer or a significant slow down in the economy could have a material negative impact on the Company’s ability to collect a portion or all of the accounts and notes receivable. The Company believes that an analysis of historical trends and its current knowledge of potential collection problems provide the Company with sufficient information to establish a reasonable estimate for an allowance for doubtful accounts. However, since the Company cannot predict with certainty future changes in the financial stability of its customers, the Company’s actual future losses from uncollectible accounts may differ from its estimates. In the event the Company determined that a smaller or larger uncollectible accounts reserve is appropriate, the Company would record a credit or charge to selling expense in the period that it made such a determination. Accounts receivable have been reduced by an allowance for uncollectible accounts of $8,792 and $13,085 at May 31, 2006 and August 31, 2005,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recognizing revenue, the Company applies the provisions of the Securities and Exchange Commission Staff Accounting Bulletin No. 104, Revenue Recognition. The Company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r>
        <w:rPr>
          <w:rFonts w:ascii="Arial" w:cs="Arial" w:eastAsia="Arial" w:hAnsi="Arial"/>
          <w:sz w:val="18"/>
          <w:szCs w:val="18"/>
          <w:b w:val="1"/>
          <w:b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functional currency of each international corporate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accordance with Accounting Principles Board (APB) Opinion No. 25 and related interpretations, the Company uses the intrinsic value-based method for measuring stock-based compensation cost which measures compensation cost as the excess, if any, of quoted market price of the Company’s common stock at the grant date over the amount the employee must pay for the stock. The Company’s general policy is to grant stock options at fair value at the date of grant. The Company did not recognize any expense in its consolidated financial statements as all option grants were made at fair market value. Options and warrants issued to non-employees are recorded at fair value, as required by Statement of Financial Accounting Standards (SFAS) No. 123, “Accounting for Stock-Based Compensation”, using the Black-Scholes pricing method.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590" w:right="279" w:bottom="1440" w:gutter="0" w:footer="0" w:header="0"/>
        </w:sectPr>
      </w:pPr>
    </w:p>
    <w:bookmarkStart w:id="23" w:name="page24"/>
    <w:bookmarkEnd w:id="23"/>
    <w:p>
      <w:pPr>
        <w:ind w:right="40"/>
        <w:spacing w:after="0" w:line="254" w:lineRule="auto"/>
        <w:rPr>
          <w:sz w:val="20"/>
          <w:szCs w:val="20"/>
          <w:color w:val="auto"/>
        </w:rPr>
      </w:pPr>
      <w:r>
        <w:rPr>
          <w:rFonts w:ascii="Arial" w:cs="Arial" w:eastAsia="Arial" w:hAnsi="Arial"/>
          <w:sz w:val="18"/>
          <w:szCs w:val="18"/>
          <w:color w:val="auto"/>
        </w:rPr>
        <w:t>In December 2002, the Financial Accounting Standards Board (FASB) issued Statement of Financial Accounting Standards (SFAS) No. 148, “Accounting for Stock-Based Compensation - Transition and Disclosure.” SFAS No. 148 is an amendment to SFAS No. 123 providing alternative methods of transition for a voluntary change to the fair value based method of accounting for stock-based employee compensation and also provides required additional disclosures about the method of accounting for stock-based employee compensation. The Company adopted the annual disclosure provision of SFAS No. 148 during the fiscal year ended August 31, 2004. The Company chose not to adopt the voluntary change to the fair value based method of accounting for stock-based employee compensation, pursuant to SFAS No. 148.</w:t>
      </w:r>
    </w:p>
    <w:p>
      <w:pPr>
        <w:spacing w:after="0" w:line="19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has adopted the disclosure-only provisions of SFAS No. 148, Accounting for Stock-Based Compensation. Accordingly, no compensation cost has been recognized with respect to stock options. Had compensation cost for stock options been determined based on the fair value methodology prescribed by SFAS 123, the Company’s net loss and net loss per share would have been reduced to the pro forma amounts.</w:t>
      </w:r>
    </w:p>
    <w:p>
      <w:pPr>
        <w:spacing w:after="0" w:line="16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December 2004, FASB issued SFAS No. 123 (revised 2004), “Share-Based Payment”, that focuses primarily on accounting for transactions in which an entity obtains employee services in share-based payment transactions. This statement replaces SFAS No. 123, “Accounting for Stock-Based Compensation”, and supersedes APB Opinion No. 25, “Accounting for Stock Issued to Employees.” Beginning with the Company’s quarterly period that begins September 1, 2006, the Company will be required to expense the fair value of employee stock options and similar awards. As a public company, the Company is allowed to select from two alternative transition methods, each having different reporting implications. The impact of SFAS No. 123R on the Company’s consolidated financial statements has not been determined at this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Quarterly Report on Form 10-QSB contains not only historical information, but also forward-looking statements within the meaning of Section 27A of the Securities Act of 1933 and Section 21E of the Securities Exchange Act of 1934. In addition, the Company or others on the Company’s behalf may make forward-looking statements from time to time in oral presentations, including telephone conferences, in press releases or reports, on the Company’s Internet web site or otherwise. Statements that are not historical are forward-looking and reflect expectations and assumptions. The Company tries to identify forward-looking statements in this Report and elsewhere by using words such as “may,” “will,” “should,” “expects,” “anticipates,” “contemplates,” “estimates,” “believes,” “plans,” “projected,” “predicts,” “potential” or “continue” or the negative of these or similar terms.</w:t>
      </w:r>
    </w:p>
    <w:p>
      <w:pPr>
        <w:spacing w:after="0" w:line="17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Forward-looking statements involve risks and uncertainties. These uncertainties include factors that affect all businesses as well as matters specific to the Company. The Company cautions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below under the heading “Risk Factors,” as well as others that the Company may consider immaterial or does not anticipate at this time. The risks and uncertainties described below under the heading “Risk Factors” are not exclusive and further information concerning the Company and its business, including factors that potentially could materially affect its financial results or condition, may emerge from time to time. The Company assumes no obligation to update forward-looking statements to reflect actual results or changes in factors or assumptions affecting such forward-looking statements. The Company advises you, however, to consult any further disclosures it may make on related subjects in its future quarterly reports on Form 10-QSB and current reports on Form 8-K it files with or furnishes to the Securities and Exchange Commission.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9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the most significant factors known to the Company that could materially adversely affect its business, financial condition or operating results.</w:t>
      </w:r>
    </w:p>
    <w:p>
      <w:pPr>
        <w:spacing w:after="0" w:line="24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b w:val="1"/>
          <w:bCs w:val="1"/>
          <w:i w:val="1"/>
          <w:iCs w:val="1"/>
          <w:color w:val="auto"/>
        </w:rPr>
        <w:t>Over 20 percent of the Company’s net sales, not including corporate joint venture sales, are generated outside of the U.S. and the Company intends to continue to expand its international operations. The Company’s international operations require management attention and financial resources and expose the Company to difficulties presented by international economic, political, legal, accounting and business factors.</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offers direct on-site technical support on rust and corrosion issues in 50 countries, and operates a marketing, distribution, and technical network through joint ventures in Asia, Europe, and South America. One of the Company’s strategic objectives is to expand its international operations. The expansion of the Company’s existing international operations and entry into additional international markets requires management attention and financial resources. Many of the countries in which the Company sells its products directly or indirectly through its corporate joint ventures, are, to some degree, subject to political, economic and/or social instability. The Company’s international operations expose the Company and its joint venture partners, representatives, agents and distributors to risks inherent in operating in foreign jurisdictions. These risks include:</w:t>
      </w:r>
    </w:p>
    <w:p>
      <w:pPr>
        <w:spacing w:after="0" w:line="174" w:lineRule="exact"/>
        <w:rPr>
          <w:sz w:val="20"/>
          <w:szCs w:val="20"/>
          <w:color w:val="auto"/>
        </w:rPr>
      </w:pPr>
    </w:p>
    <w:p>
      <w:pPr>
        <w:ind w:left="1160" w:right="280" w:hanging="571"/>
        <w:spacing w:after="0" w:line="268"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information technology;</w:t>
      </w:r>
    </w:p>
    <w:p>
      <w:pPr>
        <w:spacing w:after="0" w:line="118" w:lineRule="exact"/>
        <w:rPr>
          <w:rFonts w:ascii="Arial" w:cs="Arial" w:eastAsia="Arial" w:hAnsi="Arial"/>
          <w:sz w:val="18"/>
          <w:szCs w:val="18"/>
          <w:color w:val="auto"/>
        </w:rPr>
      </w:pPr>
    </w:p>
    <w:p>
      <w:pPr>
        <w:jc w:val="both"/>
        <w:ind w:left="1160" w:right="380" w:hanging="571"/>
        <w:spacing w:after="0" w:line="25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26" w:lineRule="exact"/>
        <w:rPr>
          <w:rFonts w:ascii="Arial" w:cs="Arial" w:eastAsia="Arial" w:hAnsi="Arial"/>
          <w:sz w:val="18"/>
          <w:szCs w:val="18"/>
          <w:color w:val="auto"/>
        </w:rPr>
      </w:pPr>
    </w:p>
    <w:p>
      <w:pPr>
        <w:ind w:left="1160" w:right="320" w:hanging="571"/>
        <w:spacing w:after="0" w:line="268"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the Company does business that would restrict or prohibit continued business with the sanctioned country, company, person or entity;</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pressure that the Company or its corporate joint ventures may experience internationally;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cannot be assured that one or more of the factors listed above will not harm its business. Any material decrease in the Company’s international sales could adversely influence the Company’s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our reported net sales and net earnings.</w:t>
      </w:r>
    </w:p>
    <w:p>
      <w:pPr>
        <w:spacing w:after="0" w:line="225"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Because the functional currency of the Company’s foreign operations and investments in its foreign corporate joint ventures and holding companies is the applicable local currency, the Company is exposed to foreign currency exchange rate risk arising from transactions in the normal course of business since the Company’s fees for technical support and other services and dividend distributions from these foreign entities are paid in foreign currencies.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jc w:val="both"/>
        <w:ind w:right="100"/>
        <w:spacing w:after="0" w:line="294" w:lineRule="auto"/>
        <w:rPr>
          <w:sz w:val="20"/>
          <w:szCs w:val="20"/>
          <w:color w:val="auto"/>
        </w:rPr>
      </w:pPr>
      <w:r>
        <w:rPr>
          <w:rFonts w:ascii="Arial" w:cs="Arial" w:eastAsia="Arial" w:hAnsi="Arial"/>
          <w:sz w:val="16"/>
          <w:szCs w:val="16"/>
          <w:color w:val="auto"/>
        </w:rPr>
        <w:t>The Company’s reported net sales and net income are subject to fluctuations in foreign exchange rates. The Company’s principal exchange rate exposure is with the Euro, the Japanese yen, Korean won and the English pound against the U.S. dollar. The Company does not hedge against its foreign currency exchange rate risk. Since the Company’s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the Company’s consolidated statements of income.</w:t>
      </w:r>
    </w:p>
    <w:p>
      <w:pPr>
        <w:spacing w:after="0" w:line="17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b w:val="1"/>
          <w:bCs w:val="1"/>
          <w:i w:val="1"/>
          <w:iCs w:val="1"/>
          <w:color w:val="auto"/>
        </w:rPr>
        <w:t>The Company’s compliance with U.S. generally accepted accounting principles and any changes in such principles might adversely affect the Company’s operating results and financial condition. Any requirement to consolidate the Company’s corporate joint ventures or subject them to compliance with Sarbanes-Oxley Act of 2002 could adversely affect the Company’s operating results and financial condition.</w:t>
      </w:r>
    </w:p>
    <w:p>
      <w:pPr>
        <w:spacing w:after="0" w:line="1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adopted accounting policy FIN 46R effective as of February 28, 2005. As a result of FIN 46R, the Company consolidated React-NTI LLC, one of its corporate joint ventures that is 75% owned by the Company. If the interpretation of FIN 46R were to change and the Company were required to fully consolidate all of its corporate joint ventures or if the Company’s corporate joint ventures otherwise would be required to comply with Section 404 of the Sarbanes-Oxley Act of 2002, the Company would incur significant additional costs. The Company estimates that the costs for each of its corporate joint venture to become Section 404 of the Sarbanes-Oxley Act compliant would range between $150,000 to $500,000 and that annual maintenance expenses would range from $50,000 to $100,000 per year per corporate joint venture thereafter. In addition, other accounting pronouncements issued in the future could have a material cost associated with the Company’s implementation of such new accounting pronouncements.</w:t>
      </w:r>
    </w:p>
    <w:p>
      <w:pPr>
        <w:spacing w:after="0" w:line="17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Two of the Company’s principal stockholders beneficially own 25.5% of the Company’s common stock and thus may be able influence to some extent matters requiring stockholder approval and could discourage the purchase of the Company’s outstanding shares at a premium.</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of January 15, 2006, G. Patrick Lynch, the Company’s President and Chief Executive Officer and a director, and Philip M. Lynch, the Company’s former Chairman of the Board and Chief Executive Officer and current Chairman Emeritus, beneficially owned approximately 25.5% of the Company’s outstanding common stock through Inter Alia (see Note 18 – Related Party Transactions). As a result of Messrs. G.P. Lynch’s and P.M. Lynch’s share ownership and Mr. G.P. Lynch’s position as President and Chief Executive Officer and a director, they may be able to influence to some extent the affairs and actions of the Company, including matters requiring stockholder approval, such as the election of directors and approval of significant corporate transactions. The interests of Messrs. G.P. Lynch and P.M. Lynch may differ from the interests of the Company’s other stockholders. This concentration of ownership may have the effect of delaying, preventing or deterring a change in control of the Company, could deprive the Company’s stockholders of an opportunity to receive a premium for their common stock as part of a sale or merger of the Company and may negatively affect the market price of the Company’s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the Company’s common stock.</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Company is currently involved in litigation over its trademark on the use of the color Yellow in corrosion inhibiting packaging, the loss of which could adversely affect the Company’s business.</w:t>
      </w:r>
    </w:p>
    <w:p>
      <w:pPr>
        <w:spacing w:after="0" w:line="18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One of the Company’s important trademarks for its business is the trademark for the color Yellow. The Company is currently involved in litigation against a competitor over this trademark. The Company has also in the past successfully prosecuted infringement claims against other competitors and third parties for their use of the color Yellow. If the Company were to lose any future litigation over this trademark, the Company could be in a more difficult position to enforce its rights to this trademark in other countries and against other third parties. The Company believes that the loss of its trademark for the color Yellow could have an adverse affect on the Company’s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0" w:right="23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b w:val="1"/>
          <w:bCs w:val="1"/>
          <w:i w:val="1"/>
          <w:iCs w:val="1"/>
          <w:color w:val="auto"/>
        </w:rPr>
        <w:t>The Company’s business, properties, and products are subject to governmental regulation with which compliance may require the Company to incur expenses or modify its products or operations and may expose the Company to penalties for non-compliance. Governmental regulation may also adversely affect the demand for some of the Company’s products and its operating results.</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Company’s business, properties, and products are subject to a wide variety of international, federal, state and local laws, rules and regulations relating to the protection of the environment, natural resources, and worker health and safety and the use, management, storage, and disposal of hazardous substances, wastes, and other regulated materials. These laws, rules, and regulations may affect the way the Company conducts its operations, and the failure to comply with these regulations could lead to fines and other penalties. Because the Company owns and operates real property, various environmental laws also may impose liability on the Company for the costs of cleaning up and responding to hazardous substances that may have been released on the Company’s property, including releases unknown to the Company. These environmental laws and regulations also could require the Company to pay for environmental remediation and response costs at third-party locations where the Company disposed of or recycled hazardous substances. The Company’s future costs of complying with the various environmental requirements, as they now exist or may be altered in the future, could adversely affect its financial condition and operating results. The Company is also subject to other international, federal and state laws, rules and regulations, the future non-compliance of which may harm the Company’s business or may adversely affect the demand for some of its products. Changes in laws and regulations, including changes in accounting standards; taxation changes, including tax rate changes, new tax laws, revised tax law interpretations, also may adversely affect the Company’s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intends to grow its business through additional joint ventures, alliances and acquisitions, which are risky and could harm its business.</w:t>
      </w:r>
    </w:p>
    <w:p>
      <w:pPr>
        <w:spacing w:after="0" w:line="24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One of the Company’s growth strategies is to expand its business by entering into additional joint ventures and alliances and acquiring businesses, technologies and products that complement or augment the Company’s existing products. The benefits of a joint venture, alliance or acquisition may take more time than expected to develop, and the Company cannot guarantee that any future joint ventures, alliances or acquisitions will in fact produce the intended benefits. In addition, joint ventures, alliances and acquisitions involve a number of risks, including:</w:t>
      </w:r>
    </w:p>
    <w:p>
      <w:pPr>
        <w:spacing w:after="0" w:line="167" w:lineRule="exact"/>
        <w:rPr>
          <w:sz w:val="20"/>
          <w:szCs w:val="20"/>
          <w:color w:val="auto"/>
        </w:rPr>
      </w:pPr>
    </w:p>
    <w:p>
      <w:pPr>
        <w:ind w:left="1160" w:hanging="57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157" w:lineRule="exact"/>
        <w:rPr>
          <w:rFonts w:ascii="Arial" w:cs="Arial" w:eastAsia="Arial" w:hAnsi="Arial"/>
          <w:sz w:val="18"/>
          <w:szCs w:val="18"/>
          <w:color w:val="auto"/>
        </w:rPr>
      </w:pPr>
    </w:p>
    <w:p>
      <w:pPr>
        <w:ind w:left="1160" w:right="360" w:hanging="571"/>
        <w:spacing w:after="0" w:line="268"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an acquired business or in realizing projected efficiencies, cost savings and revenue synergies;</w:t>
      </w:r>
    </w:p>
    <w:p>
      <w:pPr>
        <w:spacing w:after="0" w:line="118" w:lineRule="exact"/>
        <w:rPr>
          <w:rFonts w:ascii="Arial" w:cs="Arial" w:eastAsia="Arial" w:hAnsi="Arial"/>
          <w:sz w:val="18"/>
          <w:szCs w:val="18"/>
          <w:color w:val="auto"/>
        </w:rPr>
      </w:pPr>
    </w:p>
    <w:p>
      <w:pPr>
        <w:ind w:left="1160" w:right="220" w:hanging="571"/>
        <w:spacing w:after="0" w:line="268"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 and customers;</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adverse impact on overall profitability if acquired businesses do not achieve the financial results projected in the Company’s valuation models;</w:t>
      </w:r>
    </w:p>
    <w:p>
      <w:pPr>
        <w:spacing w:after="0" w:line="180" w:lineRule="exact"/>
        <w:rPr>
          <w:rFonts w:ascii="Arial" w:cs="Arial" w:eastAsia="Arial" w:hAnsi="Arial"/>
          <w:sz w:val="16"/>
          <w:szCs w:val="16"/>
          <w:color w:val="auto"/>
        </w:rPr>
      </w:pPr>
    </w:p>
    <w:p>
      <w:pPr>
        <w:jc w:val="both"/>
        <w:ind w:left="1160" w:right="100" w:hanging="571"/>
        <w:spacing w:after="0" w:line="259"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the Company’s leverage and debt service requirements to pay the acquisition purchase prices, which could in turn restrict our ability to access additional capital when needed or to pursue other important elements of the Company’s business strategy;</w:t>
      </w:r>
    </w:p>
    <w:p>
      <w:pPr>
        <w:spacing w:after="0" w:line="126" w:lineRule="exact"/>
        <w:rPr>
          <w:rFonts w:ascii="Arial" w:cs="Arial" w:eastAsia="Arial" w:hAnsi="Arial"/>
          <w:sz w:val="18"/>
          <w:szCs w:val="18"/>
          <w:color w:val="auto"/>
        </w:rPr>
      </w:pPr>
    </w:p>
    <w:p>
      <w:pPr>
        <w:ind w:left="1160" w:hanging="571"/>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inaccurate assessment of undisclosed, contingent or other liabilities or problems and unanticipated costs associated with the acquisition; and</w:t>
      </w:r>
    </w:p>
    <w:p>
      <w:pPr>
        <w:spacing w:after="0" w:line="180" w:lineRule="exact"/>
        <w:rPr>
          <w:rFonts w:ascii="Arial" w:cs="Arial" w:eastAsia="Arial" w:hAnsi="Arial"/>
          <w:sz w:val="16"/>
          <w:szCs w:val="16"/>
          <w:color w:val="auto"/>
        </w:rPr>
      </w:pPr>
    </w:p>
    <w:p>
      <w:pPr>
        <w:ind w:left="1160" w:right="100" w:hanging="571"/>
        <w:spacing w:after="0" w:line="268"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that could adversely affect the Company’s operating results.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0" w:right="239" w:bottom="1440" w:gutter="0" w:footer="0" w:header="0"/>
        </w:sectPr>
      </w:pPr>
    </w:p>
    <w:bookmarkStart w:id="27" w:name="page28"/>
    <w:bookmarkEnd w:id="27"/>
    <w:p>
      <w:pPr>
        <w:ind w:right="40"/>
        <w:spacing w:after="0" w:line="332" w:lineRule="auto"/>
        <w:rPr>
          <w:sz w:val="20"/>
          <w:szCs w:val="20"/>
          <w:color w:val="auto"/>
        </w:rPr>
      </w:pPr>
      <w:r>
        <w:rPr>
          <w:rFonts w:ascii="Arial" w:cs="Arial" w:eastAsia="Arial" w:hAnsi="Arial"/>
          <w:sz w:val="16"/>
          <w:szCs w:val="16"/>
          <w:color w:val="auto"/>
        </w:rPr>
        <w:t>The Company’s ability to grow through joint ventures, alliances and acquisitions will depend, in part, on the availability of suitable opportunities at an acceptable cost, the Company’s ability to compete effectively for these opportunities and the availability of capital to complete such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relies on its independent distributors, manufacturer’s sales representatives and corporate joint ventures to market and sell its products.</w:t>
      </w:r>
    </w:p>
    <w:p>
      <w:pPr>
        <w:spacing w:after="0" w:line="26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its direct sales force, the Company relies on its independent distributors, manufacturer’s sales representatives and corporate joint ventures to market and sell its products in the United States and internationally. The Company’s independent distributors, manufacturer’s sales representatives and joint venture partners might terminate their relationship with the Company, or devote insufficient sales efforts to the Company’s products. The Company does not control its independent distributors, manufacturer’s sales representatives and joint ventures and they may not be successful in implementing the Company’s marketing plans. The Company’s failure to maintain its existing relationships with its independent distributors, manufacturer’s sales representatives and joint ventures, or its failure to recruit and retain additional skilled independent distributors, manufacturer’s sales representatives and joint venture partners could have an adverse effect on the Company’s operations.</w:t>
      </w:r>
    </w:p>
    <w:p>
      <w:pPr>
        <w:spacing w:after="0" w:line="1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Company has very limited staffing and will continue to be dependent upon key employees. The Company’s success is dependent upon the efforts of a small management team and staff.</w:t>
      </w:r>
    </w:p>
    <w:p>
      <w:pPr>
        <w:spacing w:after="0" w:line="18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future success will also depend in large part on its ability to identify, attract and retain other highly qualified managerial, technical, sales and marketing and customer service personnel. Competition for these individuals is intense, especially in the markets in which the Company operates. The Company may not succeed in identifying, attracting and retaining these personnel. The loss or interruption of services of any of the Company’s key personnel, the inability to identify, attract or retain qualified personnel in the future, delays in hiring qualified personnel, or any employee slowdowns, strikes or similar actions could make it difficult for the Company to manage its business and meet key objectives, which could harm the Company’s business, financial condition and operating results.</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The Company relies on its management information systems for inventory management, distribution and other functions. If these information systems fail to adequately perform these functions or if the Company experiences an interruption in their operation, the Company’s business and operating results could be adversely affected.</w:t>
      </w:r>
    </w:p>
    <w:p>
      <w:pPr>
        <w:spacing w:after="0" w:line="1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efficient operation of the Company’s business is dependent on its management information systems. The Company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the Company’s business and product development and could result in decreased sales, causing the Company’s business and operating results to suffer. In addition, the Company’s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the Company’s business and operating results.</w:t>
      </w:r>
    </w:p>
    <w:p>
      <w:pPr>
        <w:spacing w:after="0" w:line="17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The Company’s reliance upon patents, trademark laws, trade secrets and contractual provisions to protect its proprietary rights may not be sufficient to protect its intellectual property from others who may sell similar products.</w:t>
      </w:r>
    </w:p>
    <w:p>
      <w:pPr>
        <w:spacing w:after="0" w:line="18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holds patents relating to various aspects of its products and believes that proprietary technical know-how is critical to many of its products. Proprietary rights relating to the Company’s products are protected from unauthorized use by third parties only to the extent that they are covered by valid and enforceable patents or are maintained in confidence as trade secrets. The Company cannot be certain that it will be issued any patents from any pending or future patent applications owned by or licensed to the Company or that the claims allowed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90" w:right="259" w:bottom="1440" w:gutter="0" w:footer="0" w:header="0"/>
        </w:sectPr>
      </w:pPr>
    </w:p>
    <w:bookmarkStart w:id="28" w:name="page29"/>
    <w:bookmarkEnd w:id="28"/>
    <w:p>
      <w:pPr>
        <w:ind w:right="120"/>
        <w:spacing w:after="0" w:line="318" w:lineRule="auto"/>
        <w:rPr>
          <w:sz w:val="20"/>
          <w:szCs w:val="20"/>
          <w:color w:val="auto"/>
        </w:rPr>
      </w:pPr>
      <w:r>
        <w:rPr>
          <w:rFonts w:ascii="Arial" w:cs="Arial" w:eastAsia="Arial" w:hAnsi="Arial"/>
          <w:sz w:val="15"/>
          <w:szCs w:val="15"/>
          <w:color w:val="auto"/>
        </w:rPr>
        <w:t>under any issued patents will be sufficiently broad to protect its technology. In the absence of patent protection, the Company may be vulnerable to competitors who attempt to copy the Company’s products or gain access to its trade secrets and know-how. The Company’s competitors may initiate litigation to challenge the validity of the Company’s patents, or they may use their resources to design comparable products that do not infringe the Company’s patents. The Company may incur substantial costs if its competitors initiate litigation to challenge the validity of is patents or if it initiates any proceedings to protect its proprietary rights and if the outcome of any such litigation is unfavorable to the Company, its business and operating results could be materially adversely affected.</w:t>
      </w:r>
    </w:p>
    <w:p>
      <w:pPr>
        <w:spacing w:after="0" w:line="15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addition, the Company relies on trade secrets and proprietary know-how that it seeks to protect, in part, by confidentiality agreements with its employees, and consultants. These agreements may be breached and the Company may not have adequate remedies for any such breach. Even if these confidentiality agreements are not breached, the Company’s trade secrets may otherwise become known or be independently developed by competitors.</w:t>
      </w:r>
    </w:p>
    <w:p>
      <w:pPr>
        <w:spacing w:after="0" w:line="16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b w:val="1"/>
          <w:bCs w:val="1"/>
          <w:i w:val="1"/>
          <w:iCs w:val="1"/>
          <w:color w:val="auto"/>
        </w:rPr>
        <w:t>If the Company is unable to continue to enhance existing products and develop and market new products that respond to customer needs and achieve market acceptance, the Company may experience a decrease in demand for its products, and its business could suffer.</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One of the Company’s strategies is to enhance its existing products and develop and market new products that respond to customer needs. The Company may not be able to compete effectively with its competitors unless the Company can keep up with existing or new products in the markets in which it competes. Product development requires significant financial and other resources. Although in the past the Company has implemented lean manufacturing and other productivity improvement initiatives to provide investment funding for new products, the Company cannot assure you that it will be able to continue to do so in the future. Products improvements and new product introductions also require significant planning, design, development and testing at the technological, product, and manufacturing process levels and the Company may not be able to timely develop product improvements or new products. The Company’s competitors’ new products may beat the Company’s products to market, may be more effective or less expensive than the Company’s products or render the Company’s products obsolete. Any new products that the Company may develop may not receive market acceptance or otherwise generate any meaningful net sales or profits for the Company relative to its expectations, based on, among other things, existing and anticipated investments in manufacturing capacity and commitments to fund advertising, marketing, promotional programs, and research and development.</w:t>
      </w:r>
    </w:p>
    <w:p>
      <w:pPr>
        <w:spacing w:after="0" w:line="17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The Company faces intense competition in all of its product lines, including from competitors that have substantially greater resources than the Company does. The Company cannot assure you it will be able to compete effectively, which would harm its business and operating results.</w:t>
      </w:r>
    </w:p>
    <w:p>
      <w:pPr>
        <w:spacing w:after="0" w:line="13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Company’s products are sold in highly competitive markets throughout the world. The principal competitive factors in the Company’s markets are pricing, product innovation, quality and reliability, product support and customer service and reputation. The Company competes in all of its products with numerous manufacturers, many of who have substantially greater financial, marketing, and other resources than the Company does. As a result, they may be able to adapt more quickly to new or emerging technologies and changes in customer requirements, or to devote greater resources to the promotion and sale of their products than the Company can. In addition, competition could increase if new companies enter the market or if existing competitors expand their product lines or intensify efforts within existing product lines. The Company’s current products, products under development and its ability to develop new and improved products may be insufficient to enable the Company to compete effectively with its competitors. The Company cannot assure you that it will be able to compete effectively, which would harm its business and operating results.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90" w:right="2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Recently enacted and future changes in securities laws and regulations have increased and are likely to continue to increase our costs.</w:t>
      </w:r>
    </w:p>
    <w:p>
      <w:pPr>
        <w:spacing w:after="0" w:line="2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Changing laws, regulations and standards relating to corporate governance and public disclosure, including the Sarbanes-Oxley Act of 2002, Securities and Exchange Commission rules and regulations and American Stock Exchange rules, continue to create challenges for publicly held companies, including the Company. The Company’s efforts to comply with evolving laws, rules, regulations and standards have resulted in, and are likely to continue to result in, increased general and administrative expenses and a diversion of management time and attention from revenue-generating activities to compliance activities. In particular, the Company’s efforts to comply with Section 404 of the Sarbanes-Oxley Act of 2002 and the related regulations regarding its assessment of its internal control over financial reporting and its independent registered public accounting firm’s report on that assessment will require the commitment of significant financial and managerial resources.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will be exposed to risks relating to evaluations of internal control over financial reporting required by Section 404 of the Sarbanes-Oxley Act.</w:t>
      </w:r>
    </w:p>
    <w:p>
      <w:pPr>
        <w:spacing w:after="0" w:line="2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and related regulations implemented by the SEC and the NASDAQ National Market System, are creating uncertainty for public companies, increasing legal and financial compliance costs and making some activities more time consuming. The Company will be evaluating its internal controls systems to allow management to report on, and its independent registered public accounting firm to attest to, the Company’s internal control over financial reporting. The Company will be performing the system and process evaluation and testing (and any necessary remediation) required to comply with the management certification and auditor attestation requirements of Section 404 of the Sarbanes-Oxley Act. The Company cannot be certain as to the timing of completion of its evaluation, testing and remediation actions or the impact of the same on its operations. If the Company is not able to implement the requirements of Section 404 in a timely manner or with adequate compliance, the Company may be subject to sanctions or investigation by regulatory authorities, including the SEC or the American Stock Exchange. This type of action could adversely affect the Company’s financial results or investors’ confidence in the Company, and could cause the Company’s stock price to decline. In addition, the controls and procedures that the Company may implement may not comply with all of the relevant rules and regulations of the SEC and the American Stock Exchange. If the Company fails to develop and maintain effective controls and procedures, it may be unable to provide the required financial information in a timely and reliable manner.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80"/>
        <w:spacing w:after="0" w:line="306" w:lineRule="auto"/>
        <w:rPr>
          <w:sz w:val="20"/>
          <w:szCs w:val="20"/>
          <w:color w:val="auto"/>
        </w:rPr>
      </w:pPr>
      <w:r>
        <w:rPr>
          <w:rFonts w:ascii="Arial" w:cs="Arial" w:eastAsia="Arial" w:hAnsi="Arial"/>
          <w:sz w:val="15"/>
          <w:szCs w:val="15"/>
          <w:color w:val="auto"/>
        </w:rPr>
        <w:t>The Company maintains disclosure controls and procedures (as defined in Rules 13a-15(e) and 15d-15(e) under the Securities Exchange Act of 1934, as amended) that are designed to reasonably ensure that information required to be disclosed by the Company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the Company’s principal executive and principal financial officers, or persons performing similar functions, as appropriate to allow timely decisions regarding required disclosure. In designing and evaluating the Company’s disclosure controls and procedures, the Company recognizes that any controls and procedures, no matter how well designed and operated can provide only reasonable assurance of achieving the desired control objectives and the Company necessarily is required to apply its judgment in evaluating the cost-benefit relationship of possible controls and procedures. The Company’s management evaluated, with the participation of its Chief Executive Officer and its Chief Financial Officer, the effectiveness of the design and operation of the Company’s disclosure controls and procedures as of the end of the period covered in this Report. Based on that evaluation, the Company’s Chief Executive Officer and Chief Financial Officer concluded that the Company’s disclosure controls and procedures were effective as of the end of such period to provide reasonable assurance that information required to be disclosed in the Company’s Exchange Act reports is recorded, processed, summarized, and reported within the time periods specified in the SEC’s rules and forms, and that material information relating to the Company and its consolidated subsidiaries is made known to management, including the Company’s Chief Executive Officer and Chief Financial Officer, particularly during the period when the Company’s periodic reports are being prepared.</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590" w:right="339" w:bottom="1440" w:gutter="0" w:footer="0" w:header="0"/>
        </w:sectPr>
      </w:pPr>
    </w:p>
    <w:bookmarkStart w:id="30" w:name="page31"/>
    <w:bookmarkEnd w:id="30"/>
    <w:p>
      <w:pPr>
        <w:ind w:right="80"/>
        <w:spacing w:after="0" w:line="256" w:lineRule="auto"/>
        <w:rPr>
          <w:sz w:val="20"/>
          <w:szCs w:val="20"/>
          <w:color w:val="auto"/>
        </w:rPr>
      </w:pPr>
      <w:r>
        <w:rPr>
          <w:rFonts w:ascii="Arial" w:cs="Arial" w:eastAsia="Arial" w:hAnsi="Arial"/>
          <w:sz w:val="18"/>
          <w:szCs w:val="18"/>
          <w:color w:val="auto"/>
        </w:rPr>
        <w:t>The Company’s management is aware, however, that there is a lack of segregation of duties due to the small number of employees of the Company dealing with general administrative and financial matters. However, the Company’s management has decided that considering the employees involved and the control procedures in place, risks associated with such lack of segregation are insignificant and the potential benefits of adding employees to clearly segregate duties do not at this time justify the expenses associated with such increases.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that occurred during the quarter ended May 31, 2006 that has materially affected, or is reasonably likely to materially affect the Company’s internal control over financial reporting.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590"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description of the Company’s legal proceedings in the first paragraph under Note 20 of the Company’s consolidated financial statements included within this Report is incorporated herein by reference.</w:t>
      </w:r>
    </w:p>
    <w:p>
      <w:pPr>
        <w:spacing w:after="0" w:line="18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ITEM 2. UNREGISTERED SALES OF EQUITY SECURITIES, USE OF PROCEEDS AND SMALL BUSINESS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three months ended May 31, 2006, the Company did not issue any shares of its common stock or other equity securities of the Company that were not registered under the Securities Act of 1933.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Issuer Purchases of Equity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May 31, 2006, the Company did not purchase any shares of its common stock or other equity securities of the Company.</w:t>
      </w:r>
    </w:p>
    <w:p>
      <w:pPr>
        <w:spacing w:after="0" w:line="2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November 13, 2003, the Board of Directors authorized Matthew Wolsfeld, Chief Financial Officer of the Company, to repurchase on behalf of the Company, up to 100,000 shares of the Company’s common stock from time to time in accordance with applicable rules governing issuer stock repurchases. Since being authorized, the Company has repurchased and retired 44,200 shares of its common stock.</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10-QSB:</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w w:val="87"/>
              </w:rPr>
              <w:t>Exhibit No.</w:t>
            </w:r>
          </w:p>
        </w:tc>
        <w:tc>
          <w:tcPr>
            <w:tcW w:w="103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180" w:type="dxa"/>
            <w:vAlign w:val="bottom"/>
            <w:tcBorders>
              <w:bottom w:val="single" w:sz="8" w:color="auto"/>
            </w:tcBorders>
          </w:tcPr>
          <w:p>
            <w:pPr>
              <w:spacing w:after="0"/>
              <w:rPr>
                <w:sz w:val="8"/>
                <w:szCs w:val="8"/>
                <w:color w:val="auto"/>
              </w:rPr>
            </w:pPr>
          </w:p>
        </w:tc>
      </w:tr>
      <w:tr>
        <w:trPr>
          <w:trHeight w:val="316"/>
        </w:trPr>
        <w:tc>
          <w:tcPr>
            <w:tcW w:w="1080" w:type="dxa"/>
            <w:vAlign w:val="bottom"/>
          </w:tcPr>
          <w:p>
            <w:pPr>
              <w:jc w:val="right"/>
              <w:ind w:right="314"/>
              <w:spacing w:after="0"/>
              <w:rPr>
                <w:sz w:val="20"/>
                <w:szCs w:val="20"/>
                <w:color w:val="auto"/>
              </w:rPr>
            </w:pPr>
            <w:r>
              <w:rPr>
                <w:rFonts w:ascii="Arial" w:cs="Arial" w:eastAsia="Arial" w:hAnsi="Arial"/>
                <w:sz w:val="18"/>
                <w:szCs w:val="18"/>
                <w:color w:val="auto"/>
              </w:rPr>
              <w:t>10.1</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w w:val="90"/>
              </w:rPr>
              <w:t>Purchase Agreement dated as of June 24, 2005 between Circle Pines Mainstreet II, LLC and Northern Technologies International Corporation</w:t>
            </w:r>
          </w:p>
        </w:tc>
      </w:tr>
      <w:tr>
        <w:trPr>
          <w:trHeight w:val="358"/>
        </w:trPr>
        <w:tc>
          <w:tcPr>
            <w:tcW w:w="1080" w:type="dxa"/>
            <w:vAlign w:val="bottom"/>
          </w:tcPr>
          <w:p>
            <w:pPr>
              <w:jc w:val="right"/>
              <w:ind w:right="314"/>
              <w:spacing w:after="0"/>
              <w:rPr>
                <w:sz w:val="20"/>
                <w:szCs w:val="20"/>
                <w:color w:val="auto"/>
              </w:rPr>
            </w:pPr>
            <w:r>
              <w:rPr>
                <w:rFonts w:ascii="Arial" w:cs="Arial" w:eastAsia="Arial" w:hAnsi="Arial"/>
                <w:sz w:val="18"/>
                <w:szCs w:val="18"/>
                <w:color w:val="auto"/>
              </w:rPr>
              <w:t>10.2</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w w:val="91"/>
              </w:rPr>
              <w:t>Amendment No. 1 to Purchase Agreement dated as of August 21, 2005 between Circle Pines Mainstreet II, LLC and Northern Technologies</w:t>
            </w:r>
          </w:p>
        </w:tc>
      </w:tr>
      <w:tr>
        <w:trPr>
          <w:trHeight w:val="222"/>
        </w:trPr>
        <w:tc>
          <w:tcPr>
            <w:tcW w:w="1080" w:type="dxa"/>
            <w:vAlign w:val="bottom"/>
          </w:tcPr>
          <w:p>
            <w:pPr>
              <w:spacing w:after="0"/>
              <w:rPr>
                <w:sz w:val="19"/>
                <w:szCs w:val="19"/>
                <w:color w:val="auto"/>
              </w:rPr>
            </w:pP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International Corporation</w:t>
            </w:r>
          </w:p>
        </w:tc>
      </w:tr>
      <w:tr>
        <w:trPr>
          <w:trHeight w:val="358"/>
        </w:trPr>
        <w:tc>
          <w:tcPr>
            <w:tcW w:w="1080" w:type="dxa"/>
            <w:vAlign w:val="bottom"/>
          </w:tcPr>
          <w:p>
            <w:pPr>
              <w:jc w:val="right"/>
              <w:ind w:right="314"/>
              <w:spacing w:after="0"/>
              <w:rPr>
                <w:sz w:val="20"/>
                <w:szCs w:val="20"/>
                <w:color w:val="auto"/>
              </w:rPr>
            </w:pPr>
            <w:r>
              <w:rPr>
                <w:rFonts w:ascii="Arial" w:cs="Arial" w:eastAsia="Arial" w:hAnsi="Arial"/>
                <w:sz w:val="18"/>
                <w:szCs w:val="18"/>
                <w:color w:val="auto"/>
              </w:rPr>
              <w:t>10.3</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w w:val="88"/>
              </w:rPr>
              <w:t>Amendment No. 2 to Purchase Agreement dated as of September 21, 2005 between Circle Pines Mainstreet II, LLC and Northern Technologies</w:t>
            </w:r>
          </w:p>
        </w:tc>
      </w:tr>
      <w:tr>
        <w:trPr>
          <w:trHeight w:val="222"/>
        </w:trPr>
        <w:tc>
          <w:tcPr>
            <w:tcW w:w="1080" w:type="dxa"/>
            <w:vAlign w:val="bottom"/>
          </w:tcPr>
          <w:p>
            <w:pPr>
              <w:spacing w:after="0"/>
              <w:rPr>
                <w:sz w:val="19"/>
                <w:szCs w:val="19"/>
                <w:color w:val="auto"/>
              </w:rPr>
            </w:pP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International Corporation</w:t>
            </w:r>
          </w:p>
        </w:tc>
      </w:tr>
      <w:tr>
        <w:trPr>
          <w:trHeight w:val="358"/>
        </w:trPr>
        <w:tc>
          <w:tcPr>
            <w:tcW w:w="1080" w:type="dxa"/>
            <w:vAlign w:val="bottom"/>
          </w:tcPr>
          <w:p>
            <w:pPr>
              <w:jc w:val="right"/>
              <w:ind w:right="314"/>
              <w:spacing w:after="0"/>
              <w:rPr>
                <w:sz w:val="20"/>
                <w:szCs w:val="20"/>
                <w:color w:val="auto"/>
              </w:rPr>
            </w:pPr>
            <w:r>
              <w:rPr>
                <w:rFonts w:ascii="Arial" w:cs="Arial" w:eastAsia="Arial" w:hAnsi="Arial"/>
                <w:sz w:val="18"/>
                <w:szCs w:val="18"/>
                <w:color w:val="auto"/>
              </w:rPr>
              <w:t>10.4</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w w:val="89"/>
              </w:rPr>
              <w:t>Amendment No. 3 to Purchase Agreement dated as of December 31, 2005 between Circle Pines Mainstreet II, LLC and Northern Technologies</w:t>
            </w:r>
          </w:p>
        </w:tc>
      </w:tr>
      <w:tr>
        <w:trPr>
          <w:trHeight w:val="222"/>
        </w:trPr>
        <w:tc>
          <w:tcPr>
            <w:tcW w:w="1080" w:type="dxa"/>
            <w:vAlign w:val="bottom"/>
          </w:tcPr>
          <w:p>
            <w:pPr>
              <w:spacing w:after="0"/>
              <w:rPr>
                <w:sz w:val="19"/>
                <w:szCs w:val="19"/>
                <w:color w:val="auto"/>
              </w:rPr>
            </w:pP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International Corporation</w:t>
            </w:r>
          </w:p>
        </w:tc>
      </w:tr>
      <w:tr>
        <w:trPr>
          <w:trHeight w:val="358"/>
        </w:trPr>
        <w:tc>
          <w:tcPr>
            <w:tcW w:w="1080" w:type="dxa"/>
            <w:vAlign w:val="bottom"/>
          </w:tcPr>
          <w:p>
            <w:pPr>
              <w:jc w:val="right"/>
              <w:ind w:right="314"/>
              <w:spacing w:after="0"/>
              <w:rPr>
                <w:sz w:val="20"/>
                <w:szCs w:val="20"/>
                <w:color w:val="auto"/>
              </w:rPr>
            </w:pPr>
            <w:r>
              <w:rPr>
                <w:rFonts w:ascii="Arial" w:cs="Arial" w:eastAsia="Arial" w:hAnsi="Arial"/>
                <w:sz w:val="18"/>
                <w:szCs w:val="18"/>
                <w:color w:val="auto"/>
              </w:rPr>
              <w:t>10.5</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w w:val="94"/>
              </w:rPr>
              <w:t>Qualified Exchange Accommodation Agreement dated as of May 3, 2006 between Northern Technologies International Corporation and</w:t>
            </w:r>
          </w:p>
        </w:tc>
      </w:tr>
      <w:tr>
        <w:trPr>
          <w:trHeight w:val="222"/>
        </w:trPr>
        <w:tc>
          <w:tcPr>
            <w:tcW w:w="1080" w:type="dxa"/>
            <w:vAlign w:val="bottom"/>
          </w:tcPr>
          <w:p>
            <w:pPr>
              <w:spacing w:after="0"/>
              <w:rPr>
                <w:sz w:val="19"/>
                <w:szCs w:val="19"/>
                <w:color w:val="auto"/>
              </w:rPr>
            </w:pP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Northern Technologies Holding Company, LLC</w:t>
            </w:r>
          </w:p>
        </w:tc>
      </w:tr>
      <w:tr>
        <w:trPr>
          <w:trHeight w:val="365"/>
        </w:trPr>
        <w:tc>
          <w:tcPr>
            <w:tcW w:w="1080" w:type="dxa"/>
            <w:vAlign w:val="bottom"/>
          </w:tcPr>
          <w:p>
            <w:pPr>
              <w:jc w:val="right"/>
              <w:ind w:right="314"/>
              <w:spacing w:after="0"/>
              <w:rPr>
                <w:sz w:val="20"/>
                <w:szCs w:val="20"/>
                <w:color w:val="auto"/>
              </w:rPr>
            </w:pPr>
            <w:r>
              <w:rPr>
                <w:rFonts w:ascii="Arial" w:cs="Arial" w:eastAsia="Arial" w:hAnsi="Arial"/>
                <w:sz w:val="18"/>
                <w:szCs w:val="18"/>
                <w:color w:val="auto"/>
              </w:rPr>
              <w:t>10.6</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Commercial Note dated as of May 3, 2006 issued by Northern Technologies Holding Company, LLC to National City Bank</w:t>
            </w:r>
          </w:p>
        </w:tc>
      </w:tr>
      <w:tr>
        <w:trPr>
          <w:trHeight w:val="365"/>
        </w:trPr>
        <w:tc>
          <w:tcPr>
            <w:tcW w:w="1080" w:type="dxa"/>
            <w:vAlign w:val="bottom"/>
          </w:tcPr>
          <w:p>
            <w:pPr>
              <w:jc w:val="right"/>
              <w:ind w:right="314"/>
              <w:spacing w:after="0"/>
              <w:rPr>
                <w:sz w:val="20"/>
                <w:szCs w:val="20"/>
                <w:color w:val="auto"/>
              </w:rPr>
            </w:pPr>
            <w:r>
              <w:rPr>
                <w:rFonts w:ascii="Arial" w:cs="Arial" w:eastAsia="Arial" w:hAnsi="Arial"/>
                <w:sz w:val="18"/>
                <w:szCs w:val="18"/>
                <w:color w:val="auto"/>
              </w:rPr>
              <w:t>10.7</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Mortgage dated as of May 3, 2006 between Northern Technologies Holding Company, LLC and National City Bank</w:t>
            </w:r>
          </w:p>
        </w:tc>
      </w:tr>
      <w:tr>
        <w:trPr>
          <w:trHeight w:val="365"/>
        </w:trPr>
        <w:tc>
          <w:tcPr>
            <w:tcW w:w="1080" w:type="dxa"/>
            <w:vAlign w:val="bottom"/>
          </w:tcPr>
          <w:p>
            <w:pPr>
              <w:jc w:val="right"/>
              <w:ind w:right="314"/>
              <w:spacing w:after="0"/>
              <w:rPr>
                <w:sz w:val="20"/>
                <w:szCs w:val="20"/>
                <w:color w:val="auto"/>
              </w:rPr>
            </w:pPr>
            <w:r>
              <w:rPr>
                <w:rFonts w:ascii="Arial" w:cs="Arial" w:eastAsia="Arial" w:hAnsi="Arial"/>
                <w:sz w:val="18"/>
                <w:szCs w:val="18"/>
                <w:color w:val="auto"/>
              </w:rPr>
              <w:t>10.8</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Commercial Guaranty dated as of May 3, 2006 issued by Northern Technologies International Corporation, as Guarantor</w:t>
            </w:r>
          </w:p>
        </w:tc>
      </w:tr>
      <w:tr>
        <w:trPr>
          <w:trHeight w:val="432"/>
        </w:trPr>
        <w:tc>
          <w:tcPr>
            <w:tcW w:w="1080" w:type="dxa"/>
            <w:vAlign w:val="bottom"/>
          </w:tcPr>
          <w:p>
            <w:pPr>
              <w:spacing w:after="0"/>
              <w:rPr>
                <w:sz w:val="24"/>
                <w:szCs w:val="24"/>
                <w:color w:val="auto"/>
              </w:rPr>
            </w:pPr>
          </w:p>
        </w:tc>
        <w:tc>
          <w:tcPr>
            <w:tcW w:w="10360" w:type="dxa"/>
            <w:vAlign w:val="bottom"/>
            <w:gridSpan w:val="2"/>
          </w:tcPr>
          <w:p>
            <w:pPr>
              <w:jc w:val="right"/>
              <w:ind w:right="564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40"/>
          </w:cols>
          <w:pgMar w:left="240" w:top="584" w:right="21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jc w:val="right"/>
              <w:ind w:right="336"/>
              <w:spacing w:after="0"/>
              <w:rPr>
                <w:sz w:val="20"/>
                <w:szCs w:val="20"/>
                <w:color w:val="auto"/>
              </w:rPr>
            </w:pPr>
            <w:r>
              <w:rPr>
                <w:rFonts w:ascii="Arial" w:cs="Arial" w:eastAsia="Arial" w:hAnsi="Arial"/>
                <w:sz w:val="14"/>
                <w:szCs w:val="14"/>
                <w:b w:val="1"/>
                <w:bCs w:val="1"/>
                <w:color w:val="auto"/>
                <w:w w:val="87"/>
              </w:rPr>
              <w:t>Exhibit No.</w:t>
            </w:r>
          </w:p>
        </w:tc>
        <w:tc>
          <w:tcPr>
            <w:tcW w:w="103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180" w:type="dxa"/>
            <w:vAlign w:val="bottom"/>
            <w:tcBorders>
              <w:bottom w:val="single" w:sz="8" w:color="auto"/>
            </w:tcBorders>
          </w:tcPr>
          <w:p>
            <w:pPr>
              <w:spacing w:after="0"/>
              <w:rPr>
                <w:sz w:val="8"/>
                <w:szCs w:val="8"/>
                <w:color w:val="auto"/>
              </w:rPr>
            </w:pPr>
          </w:p>
        </w:tc>
      </w:tr>
      <w:tr>
        <w:trPr>
          <w:trHeight w:val="309"/>
        </w:trPr>
        <w:tc>
          <w:tcPr>
            <w:tcW w:w="1080" w:type="dxa"/>
            <w:vAlign w:val="bottom"/>
          </w:tcPr>
          <w:p>
            <w:pPr>
              <w:jc w:val="right"/>
              <w:ind w:right="316"/>
              <w:spacing w:after="0"/>
              <w:rPr>
                <w:sz w:val="20"/>
                <w:szCs w:val="20"/>
                <w:color w:val="auto"/>
              </w:rPr>
            </w:pPr>
            <w:r>
              <w:rPr>
                <w:rFonts w:ascii="Arial" w:cs="Arial" w:eastAsia="Arial" w:hAnsi="Arial"/>
                <w:sz w:val="18"/>
                <w:szCs w:val="18"/>
                <w:color w:val="auto"/>
              </w:rPr>
              <w:t>10.9</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w w:val="95"/>
              </w:rPr>
              <w:t>Consulting Agreement dated as of May 1, 2006 between Northern Technologies International Corporation and Emeritushnic Facilities</w:t>
            </w:r>
          </w:p>
        </w:tc>
      </w:tr>
      <w:tr>
        <w:trPr>
          <w:trHeight w:val="222"/>
        </w:trPr>
        <w:tc>
          <w:tcPr>
            <w:tcW w:w="1080" w:type="dxa"/>
            <w:vAlign w:val="bottom"/>
          </w:tcPr>
          <w:p>
            <w:pPr>
              <w:spacing w:after="0"/>
              <w:rPr>
                <w:sz w:val="19"/>
                <w:szCs w:val="19"/>
                <w:color w:val="auto"/>
              </w:rPr>
            </w:pP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Company, Inc.</w:t>
            </w:r>
          </w:p>
        </w:tc>
      </w:tr>
      <w:tr>
        <w:trPr>
          <w:trHeight w:val="365"/>
        </w:trPr>
        <w:tc>
          <w:tcPr>
            <w:tcW w:w="1080" w:type="dxa"/>
            <w:vAlign w:val="bottom"/>
          </w:tcPr>
          <w:p>
            <w:pPr>
              <w:jc w:val="right"/>
              <w:ind w:right="316"/>
              <w:spacing w:after="0"/>
              <w:rPr>
                <w:sz w:val="20"/>
                <w:szCs w:val="20"/>
                <w:color w:val="auto"/>
              </w:rPr>
            </w:pPr>
            <w:r>
              <w:rPr>
                <w:rFonts w:ascii="Arial" w:cs="Arial" w:eastAsia="Arial" w:hAnsi="Arial"/>
                <w:sz w:val="18"/>
                <w:szCs w:val="18"/>
                <w:color w:val="auto"/>
              </w:rPr>
              <w:t>31.1</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65"/>
        </w:trPr>
        <w:tc>
          <w:tcPr>
            <w:tcW w:w="1080" w:type="dxa"/>
            <w:vAlign w:val="bottom"/>
          </w:tcPr>
          <w:p>
            <w:pPr>
              <w:jc w:val="right"/>
              <w:ind w:right="316"/>
              <w:spacing w:after="0"/>
              <w:rPr>
                <w:sz w:val="20"/>
                <w:szCs w:val="20"/>
                <w:color w:val="auto"/>
              </w:rPr>
            </w:pPr>
            <w:r>
              <w:rPr>
                <w:rFonts w:ascii="Arial" w:cs="Arial" w:eastAsia="Arial" w:hAnsi="Arial"/>
                <w:sz w:val="18"/>
                <w:szCs w:val="18"/>
                <w:color w:val="auto"/>
              </w:rPr>
              <w:t>31.2</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58"/>
        </w:trPr>
        <w:tc>
          <w:tcPr>
            <w:tcW w:w="1080" w:type="dxa"/>
            <w:vAlign w:val="bottom"/>
          </w:tcPr>
          <w:p>
            <w:pPr>
              <w:jc w:val="right"/>
              <w:ind w:right="316"/>
              <w:spacing w:after="0"/>
              <w:rPr>
                <w:sz w:val="20"/>
                <w:szCs w:val="20"/>
                <w:color w:val="auto"/>
              </w:rPr>
            </w:pPr>
            <w:r>
              <w:rPr>
                <w:rFonts w:ascii="Arial" w:cs="Arial" w:eastAsia="Arial" w:hAnsi="Arial"/>
                <w:sz w:val="18"/>
                <w:szCs w:val="18"/>
                <w:color w:val="auto"/>
              </w:rPr>
              <w:t>32.1</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 Act of</w:t>
            </w:r>
          </w:p>
        </w:tc>
      </w:tr>
      <w:tr>
        <w:trPr>
          <w:trHeight w:val="222"/>
        </w:trPr>
        <w:tc>
          <w:tcPr>
            <w:tcW w:w="1080" w:type="dxa"/>
            <w:vAlign w:val="bottom"/>
          </w:tcPr>
          <w:p>
            <w:pPr>
              <w:spacing w:after="0"/>
              <w:rPr>
                <w:sz w:val="19"/>
                <w:szCs w:val="19"/>
                <w:color w:val="auto"/>
              </w:rPr>
            </w:pP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2002</w:t>
            </w:r>
          </w:p>
        </w:tc>
      </w:tr>
      <w:tr>
        <w:trPr>
          <w:trHeight w:val="358"/>
        </w:trPr>
        <w:tc>
          <w:tcPr>
            <w:tcW w:w="1080" w:type="dxa"/>
            <w:vAlign w:val="bottom"/>
          </w:tcPr>
          <w:p>
            <w:pPr>
              <w:jc w:val="right"/>
              <w:ind w:right="316"/>
              <w:spacing w:after="0"/>
              <w:rPr>
                <w:sz w:val="20"/>
                <w:szCs w:val="20"/>
                <w:color w:val="auto"/>
              </w:rPr>
            </w:pPr>
            <w:r>
              <w:rPr>
                <w:rFonts w:ascii="Arial" w:cs="Arial" w:eastAsia="Arial" w:hAnsi="Arial"/>
                <w:sz w:val="18"/>
                <w:szCs w:val="18"/>
                <w:color w:val="auto"/>
              </w:rPr>
              <w:t>32.2</w:t>
            </w: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 Act of</w:t>
            </w:r>
          </w:p>
        </w:tc>
      </w:tr>
      <w:tr>
        <w:trPr>
          <w:trHeight w:val="222"/>
        </w:trPr>
        <w:tc>
          <w:tcPr>
            <w:tcW w:w="1080" w:type="dxa"/>
            <w:vAlign w:val="bottom"/>
          </w:tcPr>
          <w:p>
            <w:pPr>
              <w:spacing w:after="0"/>
              <w:rPr>
                <w:sz w:val="19"/>
                <w:szCs w:val="19"/>
                <w:color w:val="auto"/>
              </w:rPr>
            </w:pPr>
          </w:p>
        </w:tc>
        <w:tc>
          <w:tcPr>
            <w:tcW w:w="10360" w:type="dxa"/>
            <w:vAlign w:val="bottom"/>
            <w:gridSpan w:val="2"/>
          </w:tcPr>
          <w:p>
            <w:pPr>
              <w:ind w:left="180"/>
              <w:spacing w:after="0"/>
              <w:rPr>
                <w:sz w:val="20"/>
                <w:szCs w:val="20"/>
                <w:color w:val="auto"/>
              </w:rPr>
            </w:pPr>
            <w:r>
              <w:rPr>
                <w:rFonts w:ascii="Arial" w:cs="Arial" w:eastAsia="Arial" w:hAnsi="Arial"/>
                <w:sz w:val="18"/>
                <w:szCs w:val="18"/>
                <w:color w:val="auto"/>
              </w:rPr>
              <w:t>2002</w:t>
            </w:r>
          </w:p>
        </w:tc>
      </w:tr>
      <w:tr>
        <w:trPr>
          <w:trHeight w:val="432"/>
        </w:trPr>
        <w:tc>
          <w:tcPr>
            <w:tcW w:w="1080" w:type="dxa"/>
            <w:vAlign w:val="bottom"/>
          </w:tcPr>
          <w:p>
            <w:pPr>
              <w:spacing w:after="0"/>
              <w:rPr>
                <w:sz w:val="24"/>
                <w:szCs w:val="24"/>
                <w:color w:val="auto"/>
              </w:rPr>
            </w:pPr>
          </w:p>
        </w:tc>
        <w:tc>
          <w:tcPr>
            <w:tcW w:w="10360" w:type="dxa"/>
            <w:vAlign w:val="bottom"/>
            <w:gridSpan w:val="2"/>
          </w:tcPr>
          <w:p>
            <w:pPr>
              <w:jc w:val="right"/>
              <w:ind w:right="564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40"/>
          </w:cols>
          <w:pgMar w:left="240" w:top="370" w:right="21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75965" cy="780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75965" cy="78041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Date: July 14,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 and Duly Authorized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Sign on Behalf of the Registrant)</w:t>
      </w:r>
    </w:p>
    <w:p>
      <w:pPr>
        <w:spacing w:after="0" w:line="200" w:lineRule="exact"/>
        <w:rPr>
          <w:sz w:val="20"/>
          <w:szCs w:val="20"/>
          <w:color w:val="auto"/>
        </w:rPr>
      </w:pPr>
    </w:p>
    <w:p>
      <w:pPr>
        <w:sectPr>
          <w:pgSz w:w="11900" w:h="16838" w:orient="portrait"/>
          <w:cols w:equalWidth="0" w:num="2">
            <w:col w:w="5560" w:space="720"/>
            <w:col w:w="5140"/>
          </w:cols>
          <w:pgMar w:left="240" w:top="584" w:right="23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84" w:right="239" w:bottom="1440" w:gutter="0" w:footer="0" w:header="0"/>
          <w:type w:val="continuous"/>
        </w:sectPr>
      </w:pPr>
    </w:p>
    <w:bookmarkStart w:id="34" w:name="page35"/>
    <w:bookmarkEnd w:id="34"/>
    <w:p>
      <w:pPr>
        <w:jc w:val="center"/>
        <w:ind w:right="-179"/>
        <w:spacing w:after="0"/>
        <w:rPr>
          <w:sz w:val="20"/>
          <w:szCs w:val="20"/>
          <w:color w:val="auto"/>
        </w:rPr>
      </w:pPr>
      <w:r>
        <w:rPr>
          <w:rFonts w:ascii="Arial" w:cs="Arial" w:eastAsia="Arial" w:hAnsi="Arial"/>
          <w:sz w:val="16"/>
          <w:szCs w:val="16"/>
          <w:b w:val="1"/>
          <w:bCs w:val="1"/>
          <w:color w:val="auto"/>
        </w:rPr>
        <w:t>NORTHERN TECHNOLOGIES INTERNATIONAL CORPORATION</w:t>
      </w:r>
    </w:p>
    <w:p>
      <w:pPr>
        <w:spacing w:after="0" w:line="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QUARTERLY REPORT ON FORM 10-QSB</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40"/>
          </w:cols>
          <w:pgMar w:left="240" w:top="584" w:right="419" w:bottom="144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440" w:type="dxa"/>
            <w:vAlign w:val="bottom"/>
          </w:tcPr>
          <w:p>
            <w:pPr>
              <w:spacing w:after="0"/>
              <w:rPr>
                <w:sz w:val="15"/>
                <w:szCs w:val="15"/>
                <w:color w:val="auto"/>
              </w:rPr>
            </w:pPr>
          </w:p>
        </w:tc>
        <w:tc>
          <w:tcPr>
            <w:tcW w:w="4700" w:type="dxa"/>
            <w:vAlign w:val="bottom"/>
          </w:tcPr>
          <w:p>
            <w:pPr>
              <w:ind w:left="20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1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700" w:type="dxa"/>
            <w:vAlign w:val="bottom"/>
            <w:tcBorders>
              <w:bottom w:val="single" w:sz="8" w:color="auto"/>
            </w:tcBorders>
          </w:tcPr>
          <w:p>
            <w:pPr>
              <w:spacing w:after="0"/>
              <w:rPr>
                <w:sz w:val="8"/>
                <w:szCs w:val="8"/>
                <w:color w:val="auto"/>
              </w:rPr>
            </w:pPr>
          </w:p>
        </w:tc>
      </w:tr>
      <w:tr>
        <w:trPr>
          <w:trHeight w:val="309"/>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2"/>
              </w:rPr>
              <w:t>Purchase Agreement dated as of June 24, 2005 between Circle</w:t>
            </w:r>
          </w:p>
        </w:tc>
      </w:tr>
      <w:tr>
        <w:trPr>
          <w:trHeight w:val="216"/>
        </w:trPr>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0"/>
              </w:rPr>
              <w:t>Pines Mainstreet II, LLC and Northern Technologies International</w:t>
            </w:r>
          </w:p>
        </w:tc>
      </w:tr>
      <w:tr>
        <w:trPr>
          <w:trHeight w:val="222"/>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Corporation</w:t>
            </w:r>
          </w:p>
        </w:tc>
      </w:tr>
      <w:tr>
        <w:trPr>
          <w:trHeight w:val="35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4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89"/>
              </w:rPr>
              <w:t>Amendment No. 1 to Purchase Agreement dated as of August 21,</w:t>
            </w:r>
          </w:p>
        </w:tc>
      </w:tr>
      <w:tr>
        <w:trPr>
          <w:trHeight w:val="216"/>
        </w:trPr>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9"/>
              </w:rPr>
              <w:t>2005 between Circle Pines Mainstreet II, LLC and Northern</w:t>
            </w:r>
          </w:p>
        </w:tc>
      </w:tr>
      <w:tr>
        <w:trPr>
          <w:trHeight w:val="222"/>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Technologies International Corporation</w:t>
            </w:r>
          </w:p>
        </w:tc>
      </w:tr>
      <w:tr>
        <w:trPr>
          <w:trHeight w:val="35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4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88"/>
              </w:rPr>
              <w:t>Amendment No. 2 to Purchase Agreement dated as of September</w:t>
            </w:r>
          </w:p>
        </w:tc>
      </w:tr>
      <w:tr>
        <w:trPr>
          <w:trHeight w:val="216"/>
        </w:trPr>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3"/>
              </w:rPr>
              <w:t>21, 2005 between Circle Pines Mainstreet II, LLC and Northern</w:t>
            </w:r>
          </w:p>
        </w:tc>
      </w:tr>
      <w:tr>
        <w:trPr>
          <w:trHeight w:val="222"/>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Technologies International Corporation</w:t>
            </w:r>
          </w:p>
        </w:tc>
      </w:tr>
      <w:tr>
        <w:trPr>
          <w:trHeight w:val="35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4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89"/>
              </w:rPr>
              <w:t>Amendment No. 3 to Purchase Agreement dated as of December</w:t>
            </w:r>
          </w:p>
        </w:tc>
      </w:tr>
      <w:tr>
        <w:trPr>
          <w:trHeight w:val="216"/>
        </w:trPr>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3"/>
              </w:rPr>
              <w:t>31, 2005 between Circle Pines Mainstreet II, LLC and Northern</w:t>
            </w:r>
          </w:p>
        </w:tc>
      </w:tr>
      <w:tr>
        <w:trPr>
          <w:trHeight w:val="222"/>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Technologies International Corporation</w:t>
            </w:r>
          </w:p>
        </w:tc>
      </w:tr>
      <w:tr>
        <w:trPr>
          <w:trHeight w:val="35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4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0"/>
              </w:rPr>
              <w:t>Qualified Exchange Accommodation Agreement dated as of May</w:t>
            </w:r>
          </w:p>
        </w:tc>
      </w:tr>
      <w:tr>
        <w:trPr>
          <w:trHeight w:val="216"/>
        </w:trPr>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89"/>
              </w:rPr>
              <w:t>3, 2006 between Northern Technologies International Corporation</w:t>
            </w:r>
          </w:p>
        </w:tc>
      </w:tr>
      <w:tr>
        <w:trPr>
          <w:trHeight w:val="222"/>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and Northern Technologies Holding Company, LLC</w:t>
            </w:r>
          </w:p>
        </w:tc>
      </w:tr>
      <w:tr>
        <w:trPr>
          <w:trHeight w:val="574"/>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4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4"/>
              </w:rPr>
              <w:t>Commercial Note dated as of May 3, 2006 issued by Northern</w:t>
            </w:r>
          </w:p>
        </w:tc>
      </w:tr>
      <w:tr>
        <w:trPr>
          <w:trHeight w:val="222"/>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9"/>
              </w:rPr>
              <w:t>Technologies Holding Company, LLC to National City Bank</w:t>
            </w:r>
          </w:p>
        </w:tc>
      </w:tr>
      <w:tr>
        <w:trPr>
          <w:trHeight w:val="790"/>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4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Mortgage dated as of May 3, 2006 between Northern</w:t>
            </w:r>
          </w:p>
        </w:tc>
      </w:tr>
      <w:tr>
        <w:trPr>
          <w:trHeight w:val="222"/>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Technologies Holding Company, LLC and National City Bank</w:t>
            </w:r>
          </w:p>
        </w:tc>
      </w:tr>
      <w:tr>
        <w:trPr>
          <w:trHeight w:val="864"/>
        </w:trPr>
        <w:tc>
          <w:tcPr>
            <w:tcW w:w="1180" w:type="dxa"/>
            <w:vAlign w:val="bottom"/>
          </w:tcPr>
          <w:p>
            <w:pPr>
              <w:spacing w:after="0"/>
              <w:rPr>
                <w:sz w:val="24"/>
                <w:szCs w:val="24"/>
                <w:color w:val="auto"/>
              </w:rPr>
            </w:pPr>
          </w:p>
        </w:tc>
        <w:tc>
          <w:tcPr>
            <w:tcW w:w="5140" w:type="dxa"/>
            <w:vAlign w:val="bottom"/>
            <w:gridSpan w:val="2"/>
          </w:tcPr>
          <w:p>
            <w:pPr>
              <w:jc w:val="right"/>
              <w:ind w:right="433"/>
              <w:spacing w:after="0"/>
              <w:rPr>
                <w:sz w:val="20"/>
                <w:szCs w:val="20"/>
                <w:color w:val="auto"/>
              </w:rPr>
            </w:pPr>
            <w:r>
              <w:rPr>
                <w:rFonts w:ascii="Arial" w:cs="Arial" w:eastAsia="Arial" w:hAnsi="Arial"/>
                <w:sz w:val="18"/>
                <w:szCs w:val="18"/>
                <w:color w:val="auto"/>
              </w:rPr>
              <w:t>34</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68580</wp:posOffset>
            </wp:positionV>
            <wp:extent cx="2984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2" w:lineRule="exact"/>
        <w:rPr>
          <w:sz w:val="20"/>
          <w:szCs w:val="20"/>
          <w:color w:val="auto"/>
        </w:rPr>
      </w:pPr>
    </w:p>
    <w:p>
      <w:pPr>
        <w:jc w:val="both"/>
        <w:ind w:firstLine="44"/>
        <w:spacing w:after="0" w:line="306" w:lineRule="auto"/>
        <w:rPr>
          <w:sz w:val="20"/>
          <w:szCs w:val="20"/>
          <w:color w:val="auto"/>
        </w:rPr>
      </w:pPr>
      <w:r>
        <w:rPr>
          <w:rFonts w:ascii="Arial" w:cs="Arial" w:eastAsia="Arial" w:hAnsi="Arial"/>
          <w:sz w:val="16"/>
          <w:szCs w:val="16"/>
          <w:color w:val="auto"/>
        </w:rPr>
        <w:t>Incorporated by reference to Exhibit 10.1 to the Registrant’s Current Report on Form 8-K as filed with the Securities and Exchange Commission on May 9, 2006 (File No. 001-11038)</w:t>
      </w:r>
    </w:p>
    <w:p>
      <w:pPr>
        <w:spacing w:after="0" w:line="93" w:lineRule="exact"/>
        <w:rPr>
          <w:sz w:val="20"/>
          <w:szCs w:val="20"/>
          <w:color w:val="auto"/>
        </w:rPr>
      </w:pPr>
    </w:p>
    <w:p>
      <w:pPr>
        <w:jc w:val="both"/>
        <w:ind w:firstLine="44"/>
        <w:spacing w:after="0" w:line="306" w:lineRule="auto"/>
        <w:rPr>
          <w:sz w:val="20"/>
          <w:szCs w:val="20"/>
          <w:color w:val="auto"/>
        </w:rPr>
      </w:pPr>
      <w:r>
        <w:rPr>
          <w:rFonts w:ascii="Arial" w:cs="Arial" w:eastAsia="Arial" w:hAnsi="Arial"/>
          <w:sz w:val="16"/>
          <w:szCs w:val="16"/>
          <w:color w:val="auto"/>
        </w:rPr>
        <w:t>Incorporated by reference to Exhibit 10.2 to the Registrant’s Current Report on Form 8-K as filed with the Securities and Exchange Commission on May 9, 2006 (File No. 001-11038)</w:t>
      </w:r>
    </w:p>
    <w:p>
      <w:pPr>
        <w:spacing w:after="0" w:line="93" w:lineRule="exact"/>
        <w:rPr>
          <w:sz w:val="20"/>
          <w:szCs w:val="20"/>
          <w:color w:val="auto"/>
        </w:rPr>
      </w:pPr>
    </w:p>
    <w:p>
      <w:pPr>
        <w:jc w:val="both"/>
        <w:ind w:firstLine="44"/>
        <w:spacing w:after="0" w:line="306" w:lineRule="auto"/>
        <w:rPr>
          <w:sz w:val="20"/>
          <w:szCs w:val="20"/>
          <w:color w:val="auto"/>
        </w:rPr>
      </w:pPr>
      <w:r>
        <w:rPr>
          <w:rFonts w:ascii="Arial" w:cs="Arial" w:eastAsia="Arial" w:hAnsi="Arial"/>
          <w:sz w:val="16"/>
          <w:szCs w:val="16"/>
          <w:color w:val="auto"/>
        </w:rPr>
        <w:t>Incorporated by reference to Exhibit 10.3 to the Registrant’s Current Report on Form 8-K as filed with the Securities and Exchange Commission on May 9, 2006 (File No. 001-11038)</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Incorporated by reference to Exhibit 10.4 to the Registrant’s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Report on Form 8-K as filed with the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on May 9, 2006 (File No. 001-11038)</w:t>
      </w:r>
    </w:p>
    <w:p>
      <w:pPr>
        <w:spacing w:after="0" w:line="174" w:lineRule="exact"/>
        <w:rPr>
          <w:sz w:val="20"/>
          <w:szCs w:val="20"/>
          <w:color w:val="auto"/>
        </w:rPr>
      </w:pPr>
    </w:p>
    <w:p>
      <w:pPr>
        <w:jc w:val="center"/>
        <w:ind w:left="-19" w:right="40"/>
        <w:spacing w:after="0" w:line="256" w:lineRule="auto"/>
        <w:rPr>
          <w:sz w:val="20"/>
          <w:szCs w:val="20"/>
          <w:color w:val="auto"/>
        </w:rPr>
      </w:pPr>
      <w:r>
        <w:rPr>
          <w:rFonts w:ascii="Arial" w:cs="Arial" w:eastAsia="Arial" w:hAnsi="Arial"/>
          <w:sz w:val="18"/>
          <w:szCs w:val="18"/>
          <w:color w:val="auto"/>
        </w:rPr>
        <w:t>Incorporated by reference to Exhibit 10.5 to the Registrant’s Current Report on Form 8-K as filed with the Securities and Exchange Commission on May 9, 2006 (File No. 001-11038)</w:t>
      </w:r>
    </w:p>
    <w:p>
      <w:pPr>
        <w:spacing w:after="0" w:line="130" w:lineRule="exact"/>
        <w:rPr>
          <w:sz w:val="20"/>
          <w:szCs w:val="20"/>
          <w:color w:val="auto"/>
        </w:rPr>
      </w:pPr>
    </w:p>
    <w:p>
      <w:pPr>
        <w:jc w:val="center"/>
        <w:ind w:left="-19" w:right="40"/>
        <w:spacing w:after="0" w:line="256" w:lineRule="auto"/>
        <w:rPr>
          <w:sz w:val="20"/>
          <w:szCs w:val="20"/>
          <w:color w:val="auto"/>
        </w:rPr>
      </w:pPr>
      <w:r>
        <w:rPr>
          <w:rFonts w:ascii="Arial" w:cs="Arial" w:eastAsia="Arial" w:hAnsi="Arial"/>
          <w:sz w:val="18"/>
          <w:szCs w:val="18"/>
          <w:color w:val="auto"/>
        </w:rPr>
        <w:t>Incorporated by reference to Exhibit 10.6 to the Registrant’s Current Report on Form 8-K as filed with the Securities and Exchange Commission on May 9, 2006 (File No. 001-11038)</w:t>
      </w:r>
    </w:p>
    <w:p>
      <w:pPr>
        <w:spacing w:after="0" w:line="130" w:lineRule="exact"/>
        <w:rPr>
          <w:sz w:val="20"/>
          <w:szCs w:val="20"/>
          <w:color w:val="auto"/>
        </w:rPr>
      </w:pPr>
    </w:p>
    <w:p>
      <w:pPr>
        <w:jc w:val="center"/>
        <w:ind w:left="-19" w:right="40"/>
        <w:spacing w:after="0" w:line="256" w:lineRule="auto"/>
        <w:rPr>
          <w:sz w:val="20"/>
          <w:szCs w:val="20"/>
          <w:color w:val="auto"/>
        </w:rPr>
      </w:pPr>
      <w:r>
        <w:rPr>
          <w:rFonts w:ascii="Arial" w:cs="Arial" w:eastAsia="Arial" w:hAnsi="Arial"/>
          <w:sz w:val="18"/>
          <w:szCs w:val="18"/>
          <w:color w:val="auto"/>
        </w:rPr>
        <w:t>Incorporated by reference to Exhibit 10.7 to the Registrant’s Current Report on Form 8-K as filed with the Securities and Exchange Commission on May 9, 2006 (File No. 001-11038)</w:t>
      </w:r>
    </w:p>
    <w:p>
      <w:pPr>
        <w:sectPr>
          <w:pgSz w:w="11900" w:h="16838" w:orient="portrait"/>
          <w:cols w:equalWidth="0" w:num="2">
            <w:col w:w="6320" w:space="600"/>
            <w:col w:w="4320"/>
          </w:cols>
          <w:pgMar w:left="240" w:top="584" w:right="41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174"/>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440" w:type="dxa"/>
            <w:vAlign w:val="bottom"/>
          </w:tcPr>
          <w:p>
            <w:pPr>
              <w:spacing w:after="0"/>
              <w:rPr>
                <w:sz w:val="15"/>
                <w:szCs w:val="15"/>
                <w:color w:val="auto"/>
              </w:rPr>
            </w:pPr>
          </w:p>
        </w:tc>
        <w:tc>
          <w:tcPr>
            <w:tcW w:w="4700" w:type="dxa"/>
            <w:vAlign w:val="bottom"/>
          </w:tcPr>
          <w:p>
            <w:pPr>
              <w:ind w:left="20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1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700" w:type="dxa"/>
            <w:vAlign w:val="bottom"/>
            <w:tcBorders>
              <w:bottom w:val="single" w:sz="8" w:color="auto"/>
            </w:tcBorders>
          </w:tcPr>
          <w:p>
            <w:pPr>
              <w:spacing w:after="0"/>
              <w:rPr>
                <w:sz w:val="8"/>
                <w:szCs w:val="8"/>
                <w:color w:val="auto"/>
              </w:rPr>
            </w:pPr>
          </w:p>
        </w:tc>
      </w:tr>
      <w:tr>
        <w:trPr>
          <w:trHeight w:val="309"/>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4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88"/>
              </w:rPr>
              <w:t>Commercial Guaranty dated as of May 3, 2006 issued by Northern</w:t>
            </w:r>
          </w:p>
        </w:tc>
      </w:tr>
      <w:tr>
        <w:trPr>
          <w:trHeight w:val="222"/>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Technologies International Corporation, as Guarantor</w:t>
            </w:r>
          </w:p>
        </w:tc>
      </w:tr>
      <w:tr>
        <w:trPr>
          <w:trHeight w:val="574"/>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4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89"/>
              </w:rPr>
              <w:t>Consulting Agreement dated as of May 1, 2006 between Northern</w:t>
            </w:r>
          </w:p>
        </w:tc>
      </w:tr>
      <w:tr>
        <w:trPr>
          <w:trHeight w:val="216"/>
        </w:trPr>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Technologies International Corporation and Emeritushnic</w:t>
            </w:r>
          </w:p>
        </w:tc>
      </w:tr>
      <w:tr>
        <w:trPr>
          <w:trHeight w:val="222"/>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Facilities Company, Inc.</w:t>
            </w:r>
          </w:p>
        </w:tc>
      </w:tr>
      <w:tr>
        <w:trPr>
          <w:trHeight w:val="574"/>
        </w:trPr>
        <w:tc>
          <w:tcPr>
            <w:tcW w:w="11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4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Section 302</w:t>
            </w:r>
          </w:p>
        </w:tc>
      </w:tr>
      <w:tr>
        <w:trPr>
          <w:trHeight w:val="222"/>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35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4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Section 302 of</w:t>
            </w:r>
          </w:p>
        </w:tc>
      </w:tr>
      <w:tr>
        <w:trPr>
          <w:trHeight w:val="222"/>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35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4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Certification of Chief Executive Officer Pursuant to 18 U.S.C.</w:t>
            </w:r>
          </w:p>
        </w:tc>
      </w:tr>
      <w:tr>
        <w:trPr>
          <w:trHeight w:val="216"/>
        </w:trPr>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Section 1350, as Adopted Pursuant to Section 906 of the</w:t>
            </w:r>
          </w:p>
        </w:tc>
      </w:tr>
      <w:tr>
        <w:trPr>
          <w:trHeight w:val="222"/>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358"/>
        </w:trPr>
        <w:tc>
          <w:tcPr>
            <w:tcW w:w="11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44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8"/>
              </w:rPr>
              <w:t>Certification of Chief Financial Officer Pursuant to 18 U.S.C.</w:t>
            </w:r>
          </w:p>
        </w:tc>
      </w:tr>
      <w:tr>
        <w:trPr>
          <w:trHeight w:val="216"/>
        </w:trPr>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Section 1350, as Adopted Pursuant to Section 906 of the</w:t>
            </w:r>
          </w:p>
        </w:tc>
      </w:tr>
      <w:tr>
        <w:trPr>
          <w:trHeight w:val="222"/>
        </w:trPr>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432"/>
        </w:trPr>
        <w:tc>
          <w:tcPr>
            <w:tcW w:w="1180" w:type="dxa"/>
            <w:vAlign w:val="bottom"/>
          </w:tcPr>
          <w:p>
            <w:pPr>
              <w:spacing w:after="0"/>
              <w:rPr>
                <w:sz w:val="24"/>
                <w:szCs w:val="24"/>
                <w:color w:val="auto"/>
              </w:rPr>
            </w:pPr>
          </w:p>
        </w:tc>
        <w:tc>
          <w:tcPr>
            <w:tcW w:w="5140" w:type="dxa"/>
            <w:vAlign w:val="bottom"/>
            <w:gridSpan w:val="2"/>
          </w:tcPr>
          <w:p>
            <w:pPr>
              <w:jc w:val="right"/>
              <w:ind w:right="433"/>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br w:type="column"/>
      </w:r>
    </w:p>
    <w:p>
      <w:pPr>
        <w:ind w:left="16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68580</wp:posOffset>
            </wp:positionV>
            <wp:extent cx="2984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2" w:lineRule="exact"/>
        <w:rPr>
          <w:sz w:val="20"/>
          <w:szCs w:val="20"/>
          <w:color w:val="auto"/>
        </w:rPr>
      </w:pPr>
    </w:p>
    <w:p>
      <w:pPr>
        <w:jc w:val="both"/>
        <w:ind w:firstLine="44"/>
        <w:spacing w:after="0" w:line="306" w:lineRule="auto"/>
        <w:rPr>
          <w:sz w:val="20"/>
          <w:szCs w:val="20"/>
          <w:color w:val="auto"/>
        </w:rPr>
      </w:pPr>
      <w:r>
        <w:rPr>
          <w:rFonts w:ascii="Arial" w:cs="Arial" w:eastAsia="Arial" w:hAnsi="Arial"/>
          <w:sz w:val="16"/>
          <w:szCs w:val="16"/>
          <w:color w:val="auto"/>
        </w:rPr>
        <w:t>Incorporated by reference to Exhibit 10.8 to the Registrant’s Current Report on Form 8-K as filed with the Securities and Exchange Commission on May 9, 2006 (File No. 001-11038)</w:t>
      </w:r>
    </w:p>
    <w:p>
      <w:pPr>
        <w:spacing w:after="0" w:line="93" w:lineRule="exact"/>
        <w:rPr>
          <w:sz w:val="20"/>
          <w:szCs w:val="20"/>
          <w:color w:val="auto"/>
        </w:rPr>
      </w:pPr>
    </w:p>
    <w:p>
      <w:pPr>
        <w:jc w:val="center"/>
        <w:ind w:left="-19" w:right="40"/>
        <w:spacing w:after="0" w:line="256" w:lineRule="auto"/>
        <w:rPr>
          <w:sz w:val="20"/>
          <w:szCs w:val="20"/>
          <w:color w:val="auto"/>
        </w:rPr>
      </w:pPr>
      <w:r>
        <w:rPr>
          <w:rFonts w:ascii="Arial" w:cs="Arial" w:eastAsia="Arial" w:hAnsi="Arial"/>
          <w:sz w:val="18"/>
          <w:szCs w:val="18"/>
          <w:color w:val="auto"/>
        </w:rPr>
        <w:t>Incorporated by reference to Exhibit 10.1 to the Registrant’s Current Report on Form 8-K as filed with the Securities and Exchange Commission on May 22, 2006 (File No. 001-11038)</w:t>
      </w:r>
    </w:p>
    <w:p>
      <w:pPr>
        <w:spacing w:after="0" w:line="23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Filed herewith</w:t>
      </w:r>
    </w:p>
    <w:p>
      <w:pPr>
        <w:spacing w:after="0" w:line="37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8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9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Furnished herewith</w:t>
      </w:r>
    </w:p>
    <w:p>
      <w:pPr>
        <w:sectPr>
          <w:pgSz w:w="11900" w:h="16838" w:orient="portrait"/>
          <w:cols w:equalWidth="0" w:num="2">
            <w:col w:w="6320" w:space="600"/>
            <w:col w:w="4320"/>
          </w:cols>
          <w:pgMar w:left="240" w:top="370" w:right="4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158"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left="580" w:right="100" w:hanging="572"/>
        <w:spacing w:after="0" w:line="268"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1780" w:hanging="624"/>
        <w:spacing w:after="0"/>
        <w:tabs>
          <w:tab w:leader="none" w:pos="17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38" w:lineRule="exact"/>
        <w:rPr>
          <w:rFonts w:ascii="Arial" w:cs="Arial" w:eastAsia="Arial" w:hAnsi="Arial"/>
          <w:sz w:val="16"/>
          <w:szCs w:val="16"/>
          <w:color w:val="auto"/>
        </w:rPr>
      </w:pPr>
    </w:p>
    <w:p>
      <w:pPr>
        <w:ind w:left="1160" w:right="100"/>
        <w:spacing w:after="0" w:line="261" w:lineRule="auto"/>
        <w:rPr>
          <w:rFonts w:ascii="Arial" w:cs="Arial" w:eastAsia="Arial" w:hAnsi="Arial"/>
          <w:sz w:val="16"/>
          <w:szCs w:val="16"/>
          <w:color w:val="auto"/>
        </w:rPr>
      </w:pPr>
      <w:r>
        <w:rPr>
          <w:rFonts w:ascii="Arial" w:cs="Arial" w:eastAsia="Arial" w:hAnsi="Arial"/>
          <w:sz w:val="18"/>
          <w:szCs w:val="18"/>
          <w:color w:val="auto"/>
        </w:rPr>
        <w:t>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6"/>
          <w:szCs w:val="16"/>
          <w:color w:val="auto"/>
        </w:rPr>
      </w:pPr>
    </w:p>
    <w:p>
      <w:pPr>
        <w:jc w:val="both"/>
        <w:ind w:left="1160" w:right="40" w:hanging="4"/>
        <w:spacing w:after="0" w:line="370" w:lineRule="auto"/>
        <w:tabs>
          <w:tab w:leader="none" w:pos="1804"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jc w:val="both"/>
        <w:ind w:left="1160" w:right="40" w:hanging="4"/>
        <w:spacing w:after="0" w:line="259" w:lineRule="auto"/>
        <w:tabs>
          <w:tab w:leader="none" w:pos="17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left="580" w:right="420" w:hanging="572"/>
        <w:spacing w:after="0" w:line="25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26" w:lineRule="exact"/>
        <w:rPr>
          <w:rFonts w:ascii="Arial" w:cs="Arial" w:eastAsia="Arial" w:hAnsi="Arial"/>
          <w:sz w:val="18"/>
          <w:szCs w:val="18"/>
          <w:color w:val="auto"/>
        </w:rPr>
      </w:pPr>
    </w:p>
    <w:p>
      <w:pPr>
        <w:ind w:left="1160" w:right="320" w:hanging="4"/>
        <w:spacing w:after="0" w:line="332" w:lineRule="auto"/>
        <w:tabs>
          <w:tab w:leader="none" w:pos="1784"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1160" w:right="420" w:hanging="4"/>
        <w:spacing w:after="0" w:line="268" w:lineRule="auto"/>
        <w:tabs>
          <w:tab w:leader="none" w:pos="17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354965</wp:posOffset>
            </wp:positionV>
            <wp:extent cx="1732280" cy="445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322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July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80010</wp:posOffset>
            </wp:positionV>
            <wp:extent cx="32759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 Patrick Lynch</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158"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left="580" w:right="100" w:hanging="572"/>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1780" w:hanging="624"/>
        <w:spacing w:after="0"/>
        <w:tabs>
          <w:tab w:leader="none" w:pos="17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38" w:lineRule="exact"/>
        <w:rPr>
          <w:rFonts w:ascii="Arial" w:cs="Arial" w:eastAsia="Arial" w:hAnsi="Arial"/>
          <w:sz w:val="16"/>
          <w:szCs w:val="16"/>
          <w:color w:val="auto"/>
        </w:rPr>
      </w:pPr>
    </w:p>
    <w:p>
      <w:pPr>
        <w:ind w:left="1160" w:right="100"/>
        <w:spacing w:after="0" w:line="261" w:lineRule="auto"/>
        <w:rPr>
          <w:rFonts w:ascii="Arial" w:cs="Arial" w:eastAsia="Arial" w:hAnsi="Arial"/>
          <w:sz w:val="16"/>
          <w:szCs w:val="16"/>
          <w:color w:val="auto"/>
        </w:rPr>
      </w:pPr>
      <w:r>
        <w:rPr>
          <w:rFonts w:ascii="Arial" w:cs="Arial" w:eastAsia="Arial" w:hAnsi="Arial"/>
          <w:sz w:val="18"/>
          <w:szCs w:val="18"/>
          <w:color w:val="auto"/>
        </w:rPr>
        <w:t>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6"/>
          <w:szCs w:val="16"/>
          <w:color w:val="auto"/>
        </w:rPr>
      </w:pPr>
    </w:p>
    <w:p>
      <w:pPr>
        <w:jc w:val="both"/>
        <w:ind w:left="1160" w:right="40" w:hanging="4"/>
        <w:spacing w:after="0" w:line="370" w:lineRule="auto"/>
        <w:tabs>
          <w:tab w:leader="none" w:pos="1804"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jc w:val="both"/>
        <w:ind w:left="1160" w:right="40" w:hanging="4"/>
        <w:spacing w:after="0" w:line="259" w:lineRule="auto"/>
        <w:tabs>
          <w:tab w:leader="none" w:pos="17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left="580" w:right="420" w:hanging="572"/>
        <w:spacing w:after="0" w:line="25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26" w:lineRule="exact"/>
        <w:rPr>
          <w:rFonts w:ascii="Arial" w:cs="Arial" w:eastAsia="Arial" w:hAnsi="Arial"/>
          <w:sz w:val="18"/>
          <w:szCs w:val="18"/>
          <w:color w:val="auto"/>
        </w:rPr>
      </w:pPr>
    </w:p>
    <w:p>
      <w:pPr>
        <w:ind w:left="1160" w:right="320" w:hanging="4"/>
        <w:spacing w:after="0" w:line="332" w:lineRule="auto"/>
        <w:tabs>
          <w:tab w:leader="none" w:pos="1784"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1160" w:right="420" w:hanging="4"/>
        <w:spacing w:after="0" w:line="268" w:lineRule="auto"/>
        <w:tabs>
          <w:tab w:leader="none" w:pos="17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861060</wp:posOffset>
            </wp:positionV>
            <wp:extent cx="32759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75965"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354965</wp:posOffset>
            </wp:positionV>
            <wp:extent cx="1457960" cy="437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7960" cy="43751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Date: July 14,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Corporate Secretary</w:t>
      </w:r>
    </w:p>
    <w:p>
      <w:pPr>
        <w:sectPr>
          <w:pgSz w:w="11900" w:h="16838" w:orient="portrait"/>
          <w:cols w:equalWidth="0" w:num="2">
            <w:col w:w="5560" w:space="720"/>
            <w:col w:w="5140"/>
          </w:cols>
          <w:pgMar w:left="240" w:top="125" w:right="239" w:bottom="1440" w:gutter="0" w:footer="0" w:header="0"/>
          <w:type w:val="continuous"/>
        </w:sectPr>
      </w:pPr>
    </w:p>
    <w:bookmarkStart w:id="38" w:name="page39"/>
    <w:bookmarkEnd w:id="38"/>
    <w:p>
      <w:pPr>
        <w:ind w:left="105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260"/>
        <w:spacing w:after="0" w:line="2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May 31, 2006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25558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55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732280" cy="445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322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Lino Lakes,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14, 2006</w:t>
      </w:r>
    </w:p>
    <w:p>
      <w:pPr>
        <w:sectPr>
          <w:pgSz w:w="11900" w:h="16838" w:orient="portrait"/>
          <w:cols w:equalWidth="0" w:num="1">
            <w:col w:w="11420"/>
          </w:cols>
          <w:pgMar w:left="240" w:top="125" w:right="239" w:bottom="1440" w:gutter="0" w:footer="0" w:header="0"/>
        </w:sectPr>
      </w:pPr>
    </w:p>
    <w:bookmarkStart w:id="39" w:name="page40"/>
    <w:bookmarkEnd w:id="39"/>
    <w:p>
      <w:pPr>
        <w:ind w:left="105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left="260"/>
        <w:spacing w:after="0" w:line="2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May 31, 2006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55875" cy="780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5587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Lino Lakes,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14,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8"/>
    </w:lvl>
  </w:abstractNum>
  <w:abstractNum w:abstractNumId="8">
    <w:nsid w:val="6B68079A"/>
    <w:multiLevelType w:val="hybridMultilevel"/>
    <w:lvl w:ilvl="0">
      <w:lvlJc w:val="left"/>
      <w:lvlText w:val="%1."/>
      <w:numFmt w:val="decimal"/>
      <w:start w:val="9"/>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decimal"/>
      <w:start w:val="10"/>
    </w:lvl>
  </w:abstractNum>
  <w:abstractNum w:abstractNumId="11">
    <w:nsid w:val="519B500D"/>
    <w:multiLevelType w:val="hybridMultilevel"/>
    <w:lvl w:ilvl="0">
      <w:lvlJc w:val="left"/>
      <w:lvlText w:val="%1."/>
      <w:numFmt w:val="decimal"/>
      <w:start w:val="11"/>
    </w:lvl>
  </w:abstractNum>
  <w:abstractNum w:abstractNumId="12">
    <w:nsid w:val="431BD7B7"/>
    <w:multiLevelType w:val="hybridMultilevel"/>
    <w:lvl w:ilvl="0">
      <w:lvlJc w:val="left"/>
      <w:lvlText w:val="%1."/>
      <w:numFmt w:val="decimal"/>
      <w:start w:val="12"/>
    </w:lvl>
  </w:abstractNum>
  <w:abstractNum w:abstractNumId="13">
    <w:nsid w:val="3F2DBA31"/>
    <w:multiLevelType w:val="hybridMultilevel"/>
    <w:lvl w:ilvl="0">
      <w:lvlJc w:val="left"/>
      <w:lvlText w:val="%1."/>
      <w:numFmt w:val="decimal"/>
      <w:start w:val="14"/>
    </w:lvl>
  </w:abstractNum>
  <w:abstractNum w:abstractNumId="14">
    <w:nsid w:val="7C83E458"/>
    <w:multiLevelType w:val="hybridMultilevel"/>
    <w:lvl w:ilvl="0">
      <w:lvlJc w:val="left"/>
      <w:lvlText w:val="%1."/>
      <w:numFmt w:val="decimal"/>
      <w:start w:val="15"/>
    </w:lvl>
  </w:abstractNum>
  <w:abstractNum w:abstractNumId="15">
    <w:nsid w:val="257130A3"/>
    <w:multiLevelType w:val="hybridMultilevel"/>
    <w:lvl w:ilvl="0">
      <w:lvlJc w:val="left"/>
      <w:lvlText w:val="%1."/>
      <w:numFmt w:val="decimal"/>
      <w:start w:val="17"/>
    </w:lvl>
  </w:abstractNum>
  <w:abstractNum w:abstractNumId="16">
    <w:nsid w:val="62BBD95A"/>
    <w:multiLevelType w:val="hybridMultilevel"/>
    <w:lvl w:ilvl="0">
      <w:lvlJc w:val="left"/>
      <w:lvlText w:val="%1."/>
      <w:numFmt w:val="decimal"/>
      <w:start w:val="18"/>
    </w:lvl>
  </w:abstractNum>
  <w:abstractNum w:abstractNumId="17">
    <w:nsid w:val="436C6125"/>
    <w:multiLevelType w:val="hybridMultilevel"/>
    <w:lvl w:ilvl="0">
      <w:lvlJc w:val="left"/>
      <w:lvlText w:val="%1."/>
      <w:numFmt w:val="decimal"/>
      <w:start w:val="19"/>
    </w:lvl>
  </w:abstractNum>
  <w:abstractNum w:abstractNumId="18">
    <w:nsid w:val="628C895D"/>
    <w:multiLevelType w:val="hybridMultilevel"/>
    <w:lvl w:ilvl="0">
      <w:lvlJc w:val="left"/>
      <w:lvlText w:val="%1."/>
      <w:numFmt w:val="decimal"/>
      <w:start w:val="20"/>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2019-12-13T20:15:03Z</dcterms:created>
  <dcterms:modified xsi:type="dcterms:W3CDTF">2019-12-13T20:15:03Z</dcterms:modified>
</cp:coreProperties>
</file>