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900" w:right="1880" w:hanging="3892"/>
        <w:spacing w:after="0" w:line="493" w:lineRule="auto"/>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31, 2024</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53"/>
        </w:trPr>
        <w:tc>
          <w:tcPr>
            <w:tcW w:w="3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190"/>
        </w:trPr>
        <w:tc>
          <w:tcPr>
            <w:tcW w:w="374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900" w:space="720"/>
            <w:col w:w="3620"/>
          </w:cols>
          <w:pgMar w:left="320" w:top="675" w:right="339" w:bottom="1440" w:gutter="0" w:footer="0" w:header="0"/>
          <w:type w:val="continuous"/>
        </w:sectPr>
      </w:pPr>
    </w:p>
    <w:p>
      <w:pPr>
        <w:spacing w:after="0" w:line="1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10, 2024, there were 9,441,127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540" w:type="dxa"/>
            <w:vAlign w:val="bottom"/>
            <w:gridSpan w:val="17"/>
          </w:tcPr>
          <w:p>
            <w:pPr>
              <w:spacing w:after="0"/>
              <w:rPr>
                <w:sz w:val="17"/>
                <w:szCs w:val="17"/>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412"/>
        </w:trPr>
        <w:tc>
          <w:tcPr>
            <w:tcW w:w="104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FINANCIAL INFORMATION</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tcBorders>
              <w:top w:val="single" w:sz="8" w:color="0000EE"/>
            </w:tcBorders>
            <w:gridSpan w:val="2"/>
          </w:tcPr>
          <w:p>
            <w:pPr>
              <w:spacing w:after="0"/>
              <w:rPr>
                <w:sz w:val="24"/>
                <w:szCs w:val="24"/>
                <w:color w:val="auto"/>
              </w:rPr>
            </w:pPr>
          </w:p>
        </w:tc>
        <w:tc>
          <w:tcPr>
            <w:tcW w:w="23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28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Balance Sheets as of May 31, 2024 (unaudited) and August 31, 2023 (audited)</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(unaudited) for the Three and Nine Months Ended May 31, 2024 and 2023</w:t>
            </w:r>
          </w:p>
        </w:tc>
        <w:tc>
          <w:tcPr>
            <w:tcW w:w="1400" w:type="dxa"/>
            <w:vAlign w:val="bottom"/>
            <w:gridSpan w:val="2"/>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(unaudited) for the Three and Nine Months Ended May 31, 2024 and 2023</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Equity (unaudited) for the Three and Nine Months Ended May 31, 2024 and 2023</w:t>
            </w:r>
          </w:p>
        </w:tc>
        <w:tc>
          <w:tcPr>
            <w:tcW w:w="44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Cash Flows (unaudited) for the Nine Months Ended May 31, 2024 and 2023</w:t>
            </w:r>
          </w:p>
        </w:tc>
        <w:tc>
          <w:tcPr>
            <w:tcW w:w="1720" w:type="dxa"/>
            <w:vAlign w:val="bottom"/>
            <w:gridSpan w:val="3"/>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2120" w:type="dxa"/>
            <w:vAlign w:val="bottom"/>
            <w:gridSpan w:val="4"/>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80" w:type="dxa"/>
            <w:vAlign w:val="bottom"/>
            <w:tcBorders>
              <w:left w:val="single" w:sz="8" w:color="0000EE"/>
            </w:tcBorders>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04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tcBorders>
              <w:top w:val="single" w:sz="8" w:color="0000EE"/>
            </w:tcBorders>
            <w:gridSpan w:val="2"/>
          </w:tcPr>
          <w:p>
            <w:pPr>
              <w:spacing w:after="0"/>
              <w:rPr>
                <w:sz w:val="24"/>
                <w:szCs w:val="24"/>
                <w:color w:val="auto"/>
              </w:rPr>
            </w:pPr>
          </w:p>
        </w:tc>
        <w:tc>
          <w:tcPr>
            <w:tcW w:w="20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580" w:type="dxa"/>
            <w:vAlign w:val="bottom"/>
            <w:gridSpan w:val="11"/>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860" w:type="dxa"/>
            <w:vAlign w:val="bottom"/>
            <w:gridSpan w:val="1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8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453"/>
        </w:trPr>
        <w:tc>
          <w:tcPr>
            <w:tcW w:w="116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8040" w:type="dxa"/>
            <w:vAlign w:val="bottom"/>
          </w:tcPr>
          <w:p>
            <w:pPr>
              <w:jc w:val="right"/>
              <w:ind w:right="4590"/>
              <w:spacing w:after="0"/>
              <w:rPr>
                <w:sz w:val="20"/>
                <w:szCs w:val="20"/>
                <w:color w:val="auto"/>
              </w:rPr>
            </w:pPr>
            <w:r>
              <w:rPr>
                <w:rFonts w:ascii="Times New Roman" w:cs="Times New Roman" w:eastAsia="Times New Roman" w:hAnsi="Times New Roman"/>
                <w:sz w:val="18"/>
                <w:szCs w:val="18"/>
                <w:color w:val="auto"/>
              </w:rPr>
              <w:t>_________________</w:t>
            </w:r>
          </w:p>
        </w:tc>
        <w:tc>
          <w:tcPr>
            <w:tcW w:w="180" w:type="dxa"/>
            <w:vAlign w:val="bottom"/>
            <w:tcBorders>
              <w:top w:val="single" w:sz="8" w:color="0000EE"/>
            </w:tcBorders>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2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color w:val="auto"/>
                <w:w w:val="78"/>
              </w:rPr>
              <w:t>i</w:t>
            </w:r>
          </w:p>
        </w:tc>
      </w:tr>
      <w:tr>
        <w:trPr>
          <w:trHeight w:val="115"/>
        </w:trPr>
        <w:tc>
          <w:tcPr>
            <w:tcW w:w="11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8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62" w:right="339" w:bottom="1440" w:gutter="0" w:footer="0" w:header="0"/>
        </w:sectPr>
      </w:pPr>
    </w:p>
    <w:bookmarkStart w:id="2" w:name="page3"/>
    <w:bookmarkEnd w:id="2"/>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subsidiary in India,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8"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MAY 31, 2024 (UNAUDITED)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8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AND AUGUST 31, 2023 (AUDITED)</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425"/>
        </w:trPr>
        <w:tc>
          <w:tcPr>
            <w:tcW w:w="10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1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5,794,824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5,406,173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of $533,000 as of May 31, 2024 and August 31, 2023</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14,374,856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15,645,130</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187,912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1,296,594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Dividend receivable from joint ventures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1,986,027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463,828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34,202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13,242,381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13,096,489</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2,170,896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2,019,029</w:t>
            </w: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37,903,269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39,671,556</w:t>
            </w:r>
          </w:p>
        </w:tc>
      </w:tr>
      <w:tr>
        <w:trPr>
          <w:trHeight w:val="209"/>
        </w:trPr>
        <w:tc>
          <w:tcPr>
            <w:tcW w:w="800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15,678,572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14,065,354</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24,219,348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23,705,714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530,944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5,802,438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6,159,485</w:t>
            </w: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308,868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428,874</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35,683,703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35,607,393</w:t>
            </w: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89,265,544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89,344,303</w:t>
            </w:r>
          </w:p>
        </w:tc>
      </w:tr>
      <w:tr>
        <w:trPr>
          <w:trHeight w:val="20"/>
        </w:trPr>
        <w:tc>
          <w:tcPr>
            <w:tcW w:w="10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1,988,380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3,600,000</w:t>
            </w: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3"/>
              </w:rPr>
              <w:t>Term loan</w:t>
            </w:r>
          </w:p>
        </w:tc>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2,762,049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2,757,176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6,273,261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6,056,329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2,216,767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2,305,400</w:t>
            </w:r>
          </w:p>
        </w:tc>
      </w:tr>
      <w:tr>
        <w:trPr>
          <w:trHeight w:val="216"/>
        </w:trPr>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1,648,615</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247,291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340,799</w:t>
            </w: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14,794,433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16,721,372</w:t>
            </w: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1,836,059</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less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88,075</w:t>
            </w: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1,897,636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1,924,134</w:t>
            </w:r>
          </w:p>
        </w:tc>
      </w:tr>
      <w:tr>
        <w:trPr>
          <w:trHeight w:val="209"/>
        </w:trPr>
        <w:tc>
          <w:tcPr>
            <w:tcW w:w="800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 31, 2024 and August 31, 2023; issued and outstanding 9,441,124 and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9,424,102, respectively</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188,823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188,482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23,104,415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21,986,767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52,596,976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51,004,427</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(7,038,745)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(6,823,403)</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68,851,469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66,356,273</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3,722,006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4,342,524</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72,573,475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70,698,797</w:t>
            </w:r>
          </w:p>
        </w:tc>
      </w:tr>
      <w:tr>
        <w:trPr>
          <w:trHeight w:val="24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89,265,544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89,344,303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258" w:gutter="0" w:footer="0" w:header="0"/>
        </w:sectPr>
      </w:pPr>
    </w:p>
    <w:bookmarkStart w:id="4" w:name="page5"/>
    <w:bookmarkEnd w:id="4"/>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AND NINE MONTHS ENDED MAY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9"/>
        </w:trPr>
        <w:tc>
          <w:tcPr>
            <w:tcW w:w="598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20,686,197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20,969,726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61,710,410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59,193,317</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12,793,103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13,389,873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38,143,878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38,957,272</w:t>
            </w: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7,893,094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7,579,853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23,566,532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20,236,045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1,396,731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1,346,658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3,676,962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3,664,793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1,212,497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1,361,311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3,764,514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3,795,862</w:t>
            </w: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2,609,228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2,707,969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7,441,476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7,460,655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4,232,887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3,893,152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12,053,839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10,996,303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3,500,113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3,205,645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10,253,966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9,470,433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1,245,405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1,282,439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3,593,582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3,680,246</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8,978,405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8,381,236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25,901,387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24,146,982</w:t>
            </w:r>
          </w:p>
        </w:tc>
      </w:tr>
      <w:tr>
        <w:trPr>
          <w:trHeight w:val="209"/>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1,523,917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1,906,586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5,106,621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3,549,718</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99,396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(342,643)</w:t>
            </w:r>
          </w:p>
        </w:tc>
      </w:tr>
      <w:tr>
        <w:trPr>
          <w:trHeight w:val="209"/>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1,478,722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1,779,294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4,957,182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3,225,570</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332,400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542,295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848,391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834,823</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1,155,322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1,236,999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4,108,791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2,390,747</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178,718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177,409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535,497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417,418</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976,604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1,059,590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3,573,294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1,973,329</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98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3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0.20</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9,431,134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9,369,923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9,432,684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9,355,776</w:t>
            </w:r>
          </w:p>
        </w:tc>
      </w:tr>
      <w:tr>
        <w:trPr>
          <w:trHeight w:val="197"/>
        </w:trPr>
        <w:tc>
          <w:tcPr>
            <w:tcW w:w="598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10,015,674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9,628,069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9,819,220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9,702,610</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0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COMPREHENSIVE INCOME (UNAUDITED) FOR THE THREE AND NINE MONTHS ENDED MAY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1100" w:hanging="161"/>
        <w:spacing w:after="0" w:line="265" w:lineRule="auto"/>
        <w:rPr>
          <w:sz w:val="20"/>
          <w:szCs w:val="20"/>
          <w:color w:val="auto"/>
        </w:rPr>
      </w:pPr>
      <w:r>
        <w:rPr>
          <w:rFonts w:ascii="Times New Roman" w:cs="Times New Roman" w:eastAsia="Times New Roman" w:hAnsi="Times New Roman"/>
          <w:sz w:val="17"/>
          <w:szCs w:val="17"/>
          <w:color w:val="auto"/>
        </w:rPr>
        <w:t>OTHER COMPREHENSIVE INCOME (LOSS) – 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9" w:lineRule="exact"/>
        <w:rPr>
          <w:sz w:val="20"/>
          <w:szCs w:val="20"/>
          <w:color w:val="auto"/>
        </w:rPr>
      </w:pPr>
    </w:p>
    <w:p>
      <w:pPr>
        <w:ind w:left="340" w:hanging="161"/>
        <w:spacing w:after="0" w:line="260" w:lineRule="auto"/>
        <w:rPr>
          <w:sz w:val="20"/>
          <w:szCs w:val="20"/>
          <w:color w:val="auto"/>
        </w:rPr>
      </w:pPr>
      <w:r>
        <w:rPr>
          <w:rFonts w:ascii="Times New Roman" w:cs="Times New Roman" w:eastAsia="Times New Roman" w:hAnsi="Times New Roman"/>
          <w:sz w:val="18"/>
          <w:szCs w:val="18"/>
          <w:color w:val="auto"/>
        </w:rPr>
        <w:t>COMPREHENSIVE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38"/>
        </w:trPr>
        <w:tc>
          <w:tcPr>
            <w:tcW w:w="26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Borders>
              <w:bottom w:val="single" w:sz="8" w:color="auto"/>
            </w:tcBorders>
          </w:tcPr>
          <w:p>
            <w:pPr>
              <w:spacing w:after="0"/>
              <w:rPr>
                <w:sz w:val="20"/>
                <w:szCs w:val="20"/>
                <w:color w:val="auto"/>
              </w:rPr>
            </w:pPr>
          </w:p>
        </w:tc>
      </w:tr>
      <w:tr>
        <w:trPr>
          <w:trHeight w:val="225"/>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31, 2024   May 31,</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405" w:hanging="405"/>
        <w:spacing w:after="0"/>
        <w:tabs>
          <w:tab w:leader="none" w:pos="4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1,155,322   $    1,236,999   $   4,108,791   $   2,390,747</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(251,995)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(296,281)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388,568</w:t>
            </w:r>
          </w:p>
        </w:tc>
      </w:tr>
      <w:tr>
        <w:trPr>
          <w:trHeight w:val="228"/>
        </w:trPr>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903,327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1,144,771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3,812,510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2,779,315</w:t>
            </w:r>
          </w:p>
        </w:tc>
      </w:tr>
      <w:tr>
        <w:trPr>
          <w:trHeight w:val="400"/>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(126,578)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(190,118)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(454,558)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(440,301)</w:t>
            </w:r>
          </w:p>
        </w:tc>
      </w:tr>
      <w:tr>
        <w:trPr>
          <w:trHeight w:val="210"/>
        </w:trPr>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1,029,905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1,334,889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4,267,068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3,219,616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580" w:space="395"/>
            <w:col w:w="5265"/>
          </w:cols>
          <w:pgMar w:left="320" w:top="81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MAY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78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 EQUITY – THREE MONTHS ENDED MAY 31,</w:t>
            </w: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2024 AND 2023</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2080" w:type="dxa"/>
            <w:vAlign w:val="bottom"/>
            <w:gridSpan w:val="4"/>
            <w:vMerge w:val="continue"/>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28, 2023</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9,366,357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187,327</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$21,058,721</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$50,319,062</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(6,774,510)</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$ 3,443,643</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$68,234,243</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3,566</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36,697</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36,768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331,303</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331,303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(655,894)</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(655,894)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1,059,590</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177,409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1,236,999</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(104,937)</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12,709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(92,228)</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31, 2023</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9,369,923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187,398</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$21,426,721</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$50,722,758</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(6,879,447)</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$ 3,533,761</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$68,991,191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29, 2024</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9,427,598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188,552</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$22,721,667</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$52,821,250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(6,838,890)</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$ 3,595,428</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$71,948,007</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3,284</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39,805</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39,871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10,242</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343,148</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343,148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(660,879)</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(660,879)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976,604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178,718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1,155,322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(199,855)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(251,995)</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31, 2024</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9,441,124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188,823</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$23,104,415</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$52,596,976</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(7,038,745)</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$ 3,722,006</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$72,573,475</w:t>
            </w:r>
          </w:p>
        </w:tc>
        <w:tc>
          <w:tcPr>
            <w:tcW w:w="0" w:type="dxa"/>
            <w:vAlign w:val="bottom"/>
          </w:tcPr>
          <w:p>
            <w:pPr>
              <w:spacing w:after="0"/>
              <w:rPr>
                <w:sz w:val="1"/>
                <w:szCs w:val="1"/>
                <w:color w:val="auto"/>
              </w:rPr>
            </w:pPr>
          </w:p>
        </w:tc>
      </w:tr>
      <w:tr>
        <w:trPr>
          <w:trHeight w:val="606"/>
        </w:trPr>
        <w:tc>
          <w:tcPr>
            <w:tcW w:w="3240" w:type="dxa"/>
            <w:vAlign w:val="bottom"/>
          </w:tcPr>
          <w:p>
            <w:pPr>
              <w:spacing w:after="0"/>
              <w:rPr>
                <w:sz w:val="24"/>
                <w:szCs w:val="24"/>
                <w:color w:val="auto"/>
              </w:rPr>
            </w:pPr>
          </w:p>
        </w:tc>
        <w:tc>
          <w:tcPr>
            <w:tcW w:w="5780" w:type="dxa"/>
            <w:vAlign w:val="bottom"/>
            <w:gridSpan w:val="9"/>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 EQUITY – NINE MONTHS ENDED MAY 31, 2024</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AND 2023</w:t>
            </w: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2080" w:type="dxa"/>
            <w:vAlign w:val="bottom"/>
            <w:gridSpan w:val="4"/>
            <w:vMerge w:val="continue"/>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9,232,483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184,650</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$19,939,131</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$50,716,613</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(7,245,132)</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$ 3,649,034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$67,244,296</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7,186</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75,321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75,464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130,254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413,958</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416,563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998,311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998,311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(1,967,184)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(1,967,184)</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1,973,329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417,418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2,390,747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365,685</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22,883</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388,568</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31, 2023</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9,369,923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187,398</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$21,426,721</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$50,722,758</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(6,879,447)</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$ 3,533,761</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$68,991,191</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2023</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9,424,102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188,482</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$21,986,767</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$51,004,427</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(6,823,403)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$ 4,342,524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$70,698,797</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6,780</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79,831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79,967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1,038,022</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1,038,022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(1,980,745)</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(1,980,745)</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(1,075,076)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(1,075,076)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3,573,294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535,497</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4,108,791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(215,342)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(296,281)</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31, 2024</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9,441,124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188,823</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$23,104,415</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$52,596,976</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(7,038,745)</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$ 3,722,006</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$72,573,475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677" w:gutter="0" w:footer="0" w:header="0"/>
        </w:sectPr>
      </w:pPr>
    </w:p>
    <w:bookmarkStart w:id="7" w:name="page8"/>
    <w:bookmarkEnd w:id="7"/>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NINE MONTHS ENDED MAY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4,108,791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2,390,747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998,311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766,091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442,975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441,603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(3,676,962)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(3,664,793)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2,958,925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3,510,716</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1,184,735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(362,810)</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joint ventures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539,107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receivable from joint venture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(155,828)</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2,254,758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184,516</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(2,902,121)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(29,401)</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(424,413)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(409,459)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7,583,905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3,505,803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(2,607,988)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patents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(89,350)</w:t>
            </w: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(2,601,176)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(2,678,748)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(555,574)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payments from line of credit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term loan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2,812,504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416,563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75,464</w:t>
            </w:r>
          </w:p>
        </w:tc>
        <w:tc>
          <w:tcPr>
            <w:tcW w:w="0" w:type="dxa"/>
            <w:vAlign w:val="bottom"/>
          </w:tcPr>
          <w:p>
            <w:pPr>
              <w:spacing w:after="0"/>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(4,587,474)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81,773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861,304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5,406,173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5,333,890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5,794,824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6,195,194</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8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ind w:right="394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2024 and August 31, 2023, the results of the Company’s operations for the three and nine months ended May 31, 2024 and 2023, the changes in stockholders’ equity for the three and nine months ended May 31, 2024 and 2023, and the Company’s cash flows for the nine months ended May 31, 2024 and 2023, in conformity with accounting principles generally accepted in the United States of America (U.S. GAAP).</w:t>
      </w:r>
    </w:p>
    <w:p>
      <w:pPr>
        <w:spacing w:after="0" w:line="183" w:lineRule="exact"/>
        <w:rPr>
          <w:sz w:val="20"/>
          <w:szCs w:val="20"/>
          <w:color w:val="auto"/>
        </w:rPr>
      </w:pPr>
    </w:p>
    <w:p>
      <w:pPr>
        <w:ind w:right="66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2023. These consolidated financial statements also should be read in conjunction with the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section appearing in this report.</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May 31, 2024 are not necessarily indicative of the results that may be expected for the full fiscal year ending August 31,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through the date the consolidated financial statements were available to be issued, requiring recording or disclosure in the consolidated financial statements.</w:t>
      </w:r>
    </w:p>
    <w:p>
      <w:pPr>
        <w:spacing w:after="0" w:line="200" w:lineRule="exact"/>
        <w:rPr>
          <w:sz w:val="20"/>
          <w:szCs w:val="20"/>
          <w:color w:val="auto"/>
        </w:rPr>
      </w:pPr>
    </w:p>
    <w:p>
      <w:pPr>
        <w:spacing w:after="0" w:line="201" w:lineRule="exact"/>
        <w:rPr>
          <w:sz w:val="20"/>
          <w:szCs w:val="20"/>
          <w:color w:val="auto"/>
        </w:rPr>
      </w:pPr>
    </w:p>
    <w:p>
      <w:pPr>
        <w:ind w:left="600" w:hanging="592"/>
        <w:spacing w:after="0"/>
        <w:tabs>
          <w:tab w:leader="none" w:pos="6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which revises guidance for the accounting for credit losses on financial instruments within its scope, and in November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Entities are required to apply the standard’s provisions as a cumulative-effect adjustment to retained earnings as of the beginning of the first reporting period in which the guidance is adopted. The Company adopted this pronouncement on September 1, 2023, which did not have a material impact on the Company’s consolidated financial position or operating results.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9" w:name="page10"/>
    <w:bookmarkEnd w:id="9"/>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31, 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4,887,783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4,960,355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8,354,598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8,136,134</w:t>
            </w: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13,242,381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13,096,489</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700" w:type="dxa"/>
            <w:vAlign w:val="bottom"/>
            <w:gridSpan w:val="2"/>
          </w:tcPr>
          <w:p>
            <w:pPr>
              <w:jc w:val="right"/>
              <w:ind w:right="460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09"/>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776,965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496,965</w:t>
            </w:r>
          </w:p>
        </w:tc>
      </w:tr>
      <w:tr>
        <w:trPr>
          <w:trHeight w:val="216"/>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19,492,861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17,250,392</w:t>
            </w:r>
          </w:p>
        </w:tc>
      </w:tr>
      <w:tr>
        <w:trPr>
          <w:trHeight w:val="216"/>
        </w:trPr>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6,173,904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5,984,364</w:t>
            </w:r>
          </w:p>
        </w:tc>
      </w:tr>
      <w:tr>
        <w:trPr>
          <w:trHeight w:val="209"/>
        </w:trPr>
        <w:tc>
          <w:tcPr>
            <w:tcW w:w="460" w:type="dxa"/>
            <w:vAlign w:val="bottom"/>
            <w:tcBorders>
              <w:top w:val="single" w:sz="8" w:color="CCEEFF"/>
            </w:tcBorders>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26,443,730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23,731,721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(10,765,158)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(9,666,367)</w:t>
            </w:r>
          </w:p>
        </w:tc>
      </w:tr>
      <w:tr>
        <w:trPr>
          <w:trHeight w:val="210"/>
        </w:trPr>
        <w:tc>
          <w:tcPr>
            <w:tcW w:w="460" w:type="dxa"/>
            <w:vAlign w:val="bottom"/>
          </w:tcPr>
          <w:p>
            <w:pPr>
              <w:spacing w:after="0"/>
              <w:rPr>
                <w:sz w:val="18"/>
                <w:szCs w:val="18"/>
                <w:color w:val="auto"/>
              </w:rPr>
            </w:pPr>
          </w:p>
        </w:tc>
        <w:tc>
          <w:tcPr>
            <w:tcW w:w="7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15,678,572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14,065,354</w:t>
            </w:r>
          </w:p>
        </w:tc>
      </w:tr>
      <w:tr>
        <w:trPr>
          <w:trHeight w:val="20"/>
        </w:trPr>
        <w:tc>
          <w:tcPr>
            <w:tcW w:w="4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Depreciation expense was $287,018 and $884,421 for the three and nine months ended May 31, 2024, respectively, compared to $277,253 and $766,091 for the three and nine months ended May 31, 2023, respectively.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May 31, 2024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7"/>
        </w:trPr>
        <w:tc>
          <w:tcPr>
            <w:tcW w:w="1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1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3,425,645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(2,806,590)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619,055</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(1,163,617)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5,183,383</w:t>
            </w:r>
          </w:p>
        </w:tc>
      </w:tr>
      <w:tr>
        <w:trPr>
          <w:trHeight w:val="230"/>
        </w:trPr>
        <w:tc>
          <w:tcPr>
            <w:tcW w:w="16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9,772,645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(3,970,207)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5,802,438</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1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As of August 31, 2023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91"/>
        </w:trPr>
        <w:tc>
          <w:tcPr>
            <w:tcW w:w="1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Gross Carrying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Net Carrying</w:t>
            </w:r>
          </w:p>
        </w:tc>
      </w:tr>
      <w:tr>
        <w:trPr>
          <w:trHeight w:val="234"/>
        </w:trPr>
        <w:tc>
          <w:tcPr>
            <w:tcW w:w="1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3,339,717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(2,680,965)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658,752</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(846,267)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5,500,733</w:t>
            </w:r>
          </w:p>
        </w:tc>
      </w:tr>
      <w:tr>
        <w:trPr>
          <w:trHeight w:val="230"/>
        </w:trPr>
        <w:tc>
          <w:tcPr>
            <w:tcW w:w="16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9,686,717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(3,527,232)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6,159,485</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$147,749 and $442,975 for the three and nine months ended May 31, 2024, respectively, compared $146,730 and $441,603 for the three and nine months ended May 31,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As of May 31, 2024, future amortization expense related to intangible assets for each of the next five fiscal years and thereafter is estimated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2024</w:t>
            </w:r>
          </w:p>
        </w:tc>
        <w:tc>
          <w:tcPr>
            <w:tcW w:w="3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285,905</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543,721</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517,990</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492,221</w:t>
            </w:r>
          </w:p>
        </w:tc>
        <w:tc>
          <w:tcPr>
            <w:tcW w:w="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2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479,012</w:t>
            </w:r>
          </w:p>
        </w:tc>
        <w:tc>
          <w:tcPr>
            <w:tcW w:w="2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3,483,589</w:t>
            </w:r>
          </w:p>
        </w:tc>
        <w:tc>
          <w:tcPr>
            <w:tcW w:w="20" w:type="dxa"/>
            <w:vAlign w:val="bottom"/>
          </w:tcPr>
          <w:p>
            <w:pPr>
              <w:spacing w:after="0"/>
              <w:rPr>
                <w:sz w:val="18"/>
                <w:szCs w:val="18"/>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5,802,438</w:t>
            </w:r>
          </w:p>
        </w:tc>
        <w:tc>
          <w:tcPr>
            <w:tcW w:w="20" w:type="dxa"/>
            <w:vAlign w:val="bottom"/>
          </w:tcPr>
          <w:p>
            <w:pPr>
              <w:spacing w:after="0"/>
              <w:rPr>
                <w:sz w:val="19"/>
                <w:szCs w:val="19"/>
                <w:color w:val="auto"/>
              </w:rPr>
            </w:pPr>
          </w:p>
        </w:tc>
      </w:tr>
      <w:tr>
        <w:trPr>
          <w:trHeight w:val="20"/>
        </w:trPr>
        <w:tc>
          <w:tcPr>
            <w:tcW w:w="48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May 31, 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57,436,771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28,022,725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29,414,046</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62,421,770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30,641,557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31,780,213</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13,167,730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2,458,389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10,709,341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303,758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303,758</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48,949,666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28,183,169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20,766,497</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24,219,348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14,091,586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10,127,762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23,645,685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14,260,800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9,384,885</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 May 31, 2024</w:t>
            </w:r>
          </w:p>
        </w:tc>
      </w:tr>
      <w:tr>
        <w:trPr>
          <w:trHeight w:val="210"/>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25,602,072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9,977,354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15,624,718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10,713,282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4,959,536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5,753,746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2,793,738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1,170,307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1,396,730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811,399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585,331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567,674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567,674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Nine Months Ended May 31, 2024</w:t>
            </w:r>
          </w:p>
        </w:tc>
        <w:tc>
          <w:tcPr>
            <w:tcW w:w="1200" w:type="dxa"/>
            <w:vAlign w:val="bottom"/>
            <w:tcBorders>
              <w:bottom w:val="single" w:sz="8" w:color="auto"/>
            </w:tcBorders>
          </w:tcPr>
          <w:p>
            <w:pPr>
              <w:spacing w:after="0"/>
              <w:rPr>
                <w:sz w:val="20"/>
                <w:szCs w:val="20"/>
                <w:color w:val="auto"/>
              </w:rPr>
            </w:pPr>
          </w:p>
        </w:tc>
      </w:tr>
      <w:tr>
        <w:trPr>
          <w:trHeight w:val="210"/>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All Other</w:t>
            </w: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72,642,714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27,561,950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45,080,764</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30,956,162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14,164,541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16,791,620</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7,351,372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4,029,182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3,322,190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3,676,961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1,661,228</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2,958,925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1,624,950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1,333,975</w:t>
            </w:r>
          </w:p>
        </w:tc>
      </w:tr>
      <w:tr>
        <w:trPr>
          <w:trHeight w:val="432"/>
        </w:trPr>
        <w:tc>
          <w:tcPr>
            <w:tcW w:w="4720" w:type="dxa"/>
            <w:vAlign w:val="bottom"/>
          </w:tcPr>
          <w:p>
            <w:pPr>
              <w:spacing w:after="0"/>
              <w:rPr>
                <w:sz w:val="24"/>
                <w:szCs w:val="24"/>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7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55,339,662</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27,862,458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27,477,204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59,729,348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30,054,277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29,675,071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11,464,247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2,687,064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8,777,183</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323,762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47,941,339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27,367,213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20,574,126</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23,705,714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13,683,608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10,022,106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20,493,861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12,075,524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8,418,337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 May 31, 2023</w:t>
            </w:r>
          </w:p>
        </w:tc>
      </w:tr>
      <w:tr>
        <w:trPr>
          <w:trHeight w:val="209"/>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26,312,548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10,735,862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15,576,686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10,494,244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5,085,837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5,408,407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2,692,444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1,654,151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1,038,293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1,346,658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828,631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518,027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45,977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Nine Months Ended May 31, 2023</w:t>
            </w:r>
          </w:p>
        </w:tc>
        <w:tc>
          <w:tcPr>
            <w:tcW w:w="1200" w:type="dxa"/>
            <w:vAlign w:val="bottom"/>
            <w:tcBorders>
              <w:bottom w:val="single" w:sz="8" w:color="auto"/>
            </w:tcBorders>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All Other</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76,525,427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30,590,265</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45,935,162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30,223,623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14,539,314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15,684,309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7,308,398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4,761,608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2,546,790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3,664,793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2,376,575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1,288,218</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3,510,716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1,051,216</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January 6, 2023, the Company entered into a Credit Agreement (the Credit Agreement) with JPMorgan Chase Bank, N.A. (JPM), which provides the Company with a senior secured revolving line of credit (the Credit Facility) of up to $10.0 million, which includes a $5.0 million sublimit for standby letters of credit. Borrowings of $1,988,380 and $3,600,000 were outstanding under the Credit Facility as of May 31, 2024 and August 31, 2023, respectively.</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Unless terminated earlier, the principal amount under the Credit Facility, together with all accrued unpaid interest and other amounts owing thereunder, if any, will be payable in full on the maturity date. On January 5, 2024, the Company and JPM renewed its Credit Agreement to extend the maturity date of the Credit Facility from January 6, 2024 to January 6, 2025. All other terms of the Credit Facility and the Credit Agreement remain the same.</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2.15% applied per annum. There is no applicable margin with respect to borrowings using a CB Floating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right="18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 in collateral made up for the assets of the Company.</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 The Company was in compliance with all covenants as of May 31, 2024.</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each of April 10, 2023 and May 30, 2023, the Company’s wholly-owned subsidiary in China, NTIC China, entered into a loan agreement with China Construction Bank Corporation. Each term loan provided NTIC China with a RMB 10,000,000 (USD $1.45 million). Each of the term loans matures after one year with the principal due at that time, after which an extension of the loan agreement is required. Both term loans have an annual interest rate of 3.25% with interest due monthly. Both term loans are secured by an office building owned by NTIC China and the loan agreements contain certain financial and other covenants. The Company was in compliance with the covenants as of May 31, 2024. The current outstanding balance for both term loans was USD $2,762,049 as of May 31, 2024 and USD $2,757,176 as of August 31, 2023.</w:t>
      </w: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31, 2024,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16"/>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17, 2024</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2024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31, 2023,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2022</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2023</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2023</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2023</w:t>
            </w:r>
          </w:p>
        </w:tc>
      </w:tr>
      <w:tr>
        <w:trPr>
          <w:trHeight w:val="216"/>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21, 2023</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3,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r>
        <w:trPr>
          <w:trHeight w:val="432"/>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15"/>
        </w:trPr>
        <w:tc>
          <w:tcPr>
            <w:tcW w:w="2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During the nine months ended May 31, 2024 and 2023, the Company repurchased no shares of its common stock.</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issued 3,496 and 3,620 shares of common stock on September 1, 2023 and 2022, respectively, under the Northern Technologies International Corporation Employee Stock Purchase Plan (ESPP). The Company issued 3,284 and 3,566 shares of common stock on March 1, 2024 and 2023, respectively, under the ESPP. The ESPP is compensatory for financial reporting purposes. As of May 31, 2024, 55,284 shares of common stock remained available for sale under the ESPP.</w:t>
      </w:r>
    </w:p>
    <w:p>
      <w:pPr>
        <w:spacing w:after="0" w:line="200" w:lineRule="exact"/>
        <w:rPr>
          <w:sz w:val="20"/>
          <w:szCs w:val="20"/>
          <w:color w:val="auto"/>
        </w:rPr>
      </w:pPr>
    </w:p>
    <w:p>
      <w:pPr>
        <w:spacing w:after="0" w:line="219" w:lineRule="exact"/>
        <w:rPr>
          <w:sz w:val="20"/>
          <w:szCs w:val="20"/>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and nine months ended May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2023</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976,604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1,059,590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3,573,294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1,973,329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9,431,134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9,369,923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9,432,684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9,355,776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584,541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258,146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386,536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346,834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10,015,674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9,628,069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9,819,220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9,702,610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9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and nine months ended May 31, 2024 were options outstanding to purchase 305,514 shares of common stock. Excluded from the computation of diluted net income per share for the three and nine months ended May 31, 2023 were options outstanding to purchase 322,246 shares of common stock.</w:t>
      </w: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summary of stock option activities under the Northern Technologies International Corporation 2024 Stock Incentive Plan (the 2024 Plan), the Northern Technologies International Corporation Amended and Restated 2019 Stock Incentive Plan (the 2019 Plan) and the Northern Technologies International Corporation Amended and Restated 2007 Stock Incentive Plan (the 2007 Plan) is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18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718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71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2023</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1,557,131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May 31, 2024</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1,805,675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May 31, 2024</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1,350,643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0"/>
        </w:trPr>
        <w:tc>
          <w:tcPr>
            <w:tcW w:w="7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nine months ended May 31, 2024 and 2023 was $4.88 and $4.87, respectively. The weighted average remaining contractual life of the options outstanding as of May 31, 2024 and 2023 was 6.11 years and 6.16 years, respectively.</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of $343,148 and $1,038,022 and $331,303 and $998,311 during the three and nine months ended May 31, 2024 and 2023, respectively. As of May 31, 2024, there was $1,345,262 of unrecognized compensation expense. The amount is expected to be recognized over a period of 2.25 years.</w:t>
      </w:r>
    </w:p>
    <w:p>
      <w:pPr>
        <w:spacing w:after="0" w:line="200" w:lineRule="exact"/>
        <w:rPr>
          <w:sz w:val="20"/>
          <w:szCs w:val="20"/>
          <w:color w:val="auto"/>
        </w:rPr>
      </w:pPr>
    </w:p>
    <w:p>
      <w:pPr>
        <w:spacing w:after="0" w:line="215" w:lineRule="exact"/>
        <w:rPr>
          <w:sz w:val="20"/>
          <w:szCs w:val="20"/>
          <w:color w:val="auto"/>
        </w:rPr>
      </w:pPr>
    </w:p>
    <w:p>
      <w:pPr>
        <w:ind w:left="620" w:hanging="612"/>
        <w:spacing w:after="0"/>
        <w:tabs>
          <w:tab w:leader="none" w:pos="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almost 50 years and, more recently, has targeted and expanded into the oil and gas industry. The Company also sells a portfolio of bio-based and compostable (fully biodegradable) polymer resins and finished products under the Natur-Tec®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nine months ended May 31, 2024 and 2023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598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2023</w:t>
            </w:r>
          </w:p>
        </w:tc>
      </w:tr>
      <w:tr>
        <w:trPr>
          <w:trHeight w:val="210"/>
        </w:trPr>
        <w:tc>
          <w:tcPr>
            <w:tcW w:w="5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ZERUST®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14,837,235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16,100,674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45,461,075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45,929,422</w:t>
            </w:r>
          </w:p>
        </w:tc>
      </w:tr>
      <w:tr>
        <w:trPr>
          <w:trHeight w:val="216"/>
        </w:trPr>
        <w:tc>
          <w:tcPr>
            <w:tcW w:w="5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Natur-Tec® net sales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5,848,962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4,869,052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16,249,335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13,263,895</w:t>
            </w:r>
          </w:p>
        </w:tc>
      </w:tr>
      <w:tr>
        <w:trPr>
          <w:trHeight w:val="210"/>
        </w:trPr>
        <w:tc>
          <w:tcPr>
            <w:tcW w:w="5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20,686,197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20,969,726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61,710,410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59,193,317</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nine months ended May 31, 2024 and 2023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20" w:type="dxa"/>
            <w:vAlign w:val="bottom"/>
          </w:tcPr>
          <w:p>
            <w:pPr>
              <w:spacing w:after="0"/>
              <w:rPr>
                <w:sz w:val="18"/>
                <w:szCs w:val="18"/>
                <w:color w:val="auto"/>
              </w:rPr>
            </w:pPr>
          </w:p>
        </w:tc>
        <w:tc>
          <w:tcPr>
            <w:tcW w:w="12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2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1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1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8,168,215</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9,116,091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$24,994,401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$26,410,796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3,768,921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3,576,676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10,566,223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10,078,385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855,967</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697,106</w:t>
            </w:r>
          </w:p>
        </w:tc>
        <w:tc>
          <w:tcPr>
            <w:tcW w:w="1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2,583,254</w:t>
            </w:r>
          </w:p>
        </w:tc>
        <w:tc>
          <w:tcPr>
            <w:tcW w:w="1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2,468,091</w:t>
            </w:r>
          </w:p>
        </w:tc>
        <w:tc>
          <w:tcPr>
            <w:tcW w:w="1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net cost of goods</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12,793,103</w:t>
            </w:r>
          </w:p>
        </w:tc>
        <w:tc>
          <w:tcPr>
            <w:tcW w:w="1260" w:type="dxa"/>
            <w:vAlign w:val="bottom"/>
            <w:gridSpan w:val="3"/>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13,389,873</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10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38,143,878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10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38,957,272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20" w:type="dxa"/>
            <w:vAlign w:val="bottom"/>
            <w:tcBorders>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sold</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CCEEFF"/>
            </w:tcBorders>
            <w:gridSpan w:val="3"/>
            <w:vMerge w:val="continue"/>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0"/>
          <w:szCs w:val="20"/>
          <w:color w:val="auto"/>
        </w:rPr>
      </w:pPr>
    </w:p>
    <w:p>
      <w:pPr>
        <w:ind w:left="400" w:right="600" w:hanging="392"/>
        <w:spacing w:after="0" w:line="260" w:lineRule="auto"/>
        <w:tabs>
          <w:tab w:leader="none" w:pos="2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product sales is calculated by dividing the direct cost of goods sold for each individual segment category by the net sales for each segment category.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nine months ended May 31,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7,086,859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7,729,820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21,160,095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21,958,978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441,067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1,904,444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2,895,665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13,158,272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12,507,469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38,645,871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34,338,674</w:t>
            </w:r>
          </w:p>
        </w:tc>
      </w:tr>
      <w:tr>
        <w:trPr>
          <w:trHeight w:val="230"/>
        </w:trPr>
        <w:tc>
          <w:tcPr>
            <w:tcW w:w="59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20,686,197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20,969,726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61,710,410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59,193,317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and nine months ended May 31, 2024 and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224,288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205,853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209,398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118,606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152,593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99,089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83,586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61,668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128,149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85,830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70,953</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1,212,497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1,361,311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Fees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594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628,905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610,911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618,236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606,189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366,682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454,308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364,348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356,444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324,062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358,032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296,929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285,931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263,712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270,422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246,908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257,282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215,123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206,925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197,070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190,866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242,540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198,552</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59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3,764,514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3,795,862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August 31, 2023</w:t>
            </w:r>
          </w:p>
        </w:tc>
      </w:tr>
      <w:tr>
        <w:trPr>
          <w:trHeight w:val="191"/>
        </w:trPr>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5,575,097</w:t>
            </w:r>
          </w:p>
        </w:tc>
        <w:tc>
          <w:tcPr>
            <w:tcW w:w="100" w:type="dxa"/>
            <w:vAlign w:val="bottom"/>
          </w:tcPr>
          <w:p>
            <w:pPr>
              <w:spacing w:after="0"/>
              <w:rPr>
                <w:sz w:val="16"/>
                <w:szCs w:val="16"/>
                <w:color w:val="auto"/>
              </w:rPr>
            </w:pPr>
          </w:p>
        </w:tc>
        <w:tc>
          <w:tcPr>
            <w:tcW w:w="28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5,729,080</w:t>
            </w:r>
          </w:p>
        </w:tc>
      </w:tr>
      <w:tr>
        <w:trPr>
          <w:trHeight w:val="216"/>
        </w:trPr>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1,061,309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745,469</w:t>
            </w:r>
          </w:p>
        </w:tc>
      </w:tr>
      <w:tr>
        <w:trPr>
          <w:trHeight w:val="234"/>
        </w:trPr>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9,042,166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7,590,805</w:t>
            </w:r>
          </w:p>
        </w:tc>
      </w:tr>
      <w:tr>
        <w:trPr>
          <w:trHeight w:val="20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15,678,572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14,065,354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060"/>
          </w:cols>
          <w:pgMar w:left="320" w:top="576"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9"/>
        </w:trPr>
        <w:tc>
          <w:tcPr>
            <w:tcW w:w="598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2023</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3,540,570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3,318,373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10,674,939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9,936,808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1,508,680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1,488,510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4,365,170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4,062,718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5,814,829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5,145,423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16,401,624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14,356,708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2,735,259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3,287,600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9,108,583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8,878,105</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7,086,859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7,729,820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21,160,095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21,958,978</w:t>
            </w: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20,686,197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20,969,726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61,710,410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59,193,317</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Two joint ventures (consisting of the Company’s joint ventures in Korea and Thailand) accounted for 54.8% of the Company’s trade joint venture receivables as of May 31, 2024, and two joint ventures (consisting of the Company’s joint ventures in South Korea and Thailand) accounted for 65.1% of the Company’s trade joint venture receivables as of May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May 31, 2024,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Borders>
              <w:bottom w:val="single" w:sz="8" w:color="auto"/>
            </w:tcBorders>
          </w:tcPr>
          <w:p>
            <w:pPr>
              <w:spacing w:after="0"/>
              <w:rPr>
                <w:sz w:val="24"/>
                <w:szCs w:val="24"/>
                <w:color w:val="auto"/>
              </w:rPr>
            </w:pPr>
          </w:p>
        </w:tc>
      </w:tr>
      <w:tr>
        <w:trPr>
          <w:trHeight w:val="210"/>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0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59,939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136,168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248,835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342,643</w:t>
            </w:r>
          </w:p>
        </w:tc>
      </w:tr>
    </w:tbl>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nine months ended May 31, 2024 was $332,400 and $848,391, respectively, compared to $542,295 and $834,823, respectively, for the three and nine months ended May 31, 2023. The expense was largely due to foreign operations. The Company has federal and state tax credit carry forwards, net operating loss carry forwards and foreign tax carry forwards. The Company has recorded a full valuation allowance against the U.S. deferred tax assets as of May 31, 2024 and August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In North America, NTIC sells its ZERUST® corrosion prevention solutions through a network of independent distributors and agents supported by a direct sales force.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its wholly-owned subsidiary in India, HNTI Limited (Zerust India), its majority-owned joint venture holding company for NTIC’s joint venture investments in the Association of Southeast Asian Nations (ASEAN) region, NTI Asean LLC (NTI Asean), and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line="272" w:lineRule="auto"/>
        <w:rPr>
          <w:sz w:val="20"/>
          <w:szCs w:val="20"/>
          <w:color w:val="auto"/>
        </w:rPr>
      </w:pPr>
      <w:r>
        <w:rPr>
          <w:rFonts w:ascii="Times New Roman" w:cs="Times New Roman" w:eastAsia="Times New Roman" w:hAnsi="Times New Roman"/>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and nine months ended May 31, 2024 include the following, with increases or decreases in each case as compared to the respective prior fiscal year quarterly period:</w:t>
      </w:r>
    </w:p>
    <w:p>
      <w:pPr>
        <w:spacing w:after="0" w:line="162" w:lineRule="exact"/>
        <w:rPr>
          <w:sz w:val="20"/>
          <w:szCs w:val="20"/>
          <w:color w:val="auto"/>
        </w:rPr>
      </w:pPr>
    </w:p>
    <w:p>
      <w:pPr>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decreased 1.4% during the three months ended May 31, 2024 compared to the three months ended May 31, 2023 primarily due to decreases in demand for ZERUST® products. NTIC’s consolidated net sales increased 4.3% during the nine months ended May 31, 2024 compared to the nine months ended May 31, 2023 primarily as a result of an increase in sales and demand for Natur-Tec® partially offset by decreases in ZERUST® products. During the nine months ended May 31, 2024, 73.7% of NTIC’s consolidated net sales were derived from sales of ZERUST® products and services, and 26.3% of NTIC’s consolidated net sales were derived from sales of Natur-Tec® products.</w:t>
      </w:r>
    </w:p>
    <w:p>
      <w:pPr>
        <w:spacing w:after="0" w:line="18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decreased to 61.8% during each of the three and nine months ended May 31, 2024, respectively, compared to 63.9% and 65.8% during the three and nine months ended May 31, 2023, respectively, primarily as a result of lower raw material prices overall and savings associated with the insourcing of various finished goods production.</w:t>
      </w:r>
    </w:p>
    <w:p>
      <w:pPr>
        <w:spacing w:after="0" w:line="17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contribution from joint ventures operations decreased 3.6% and 0.3% during the three and nine months ended May 31, 2024 to $2,609,228 and 7,441,476 compared to $2,707,969 and 7,460,655 during the three and nine months ended May 31, 2023 primarily due to a decrease in net income at NTIC’s joint venture in Germany, partially offset by increases at the majority of the other joint ventures. Net sales at the joint ventures decreased 2.7% and 5.1% to $25,602,072 and $72,642,714 during the three and nine months ended May 31, 2024, respectively, compared to $26,312,548 and $76,525,427 during the three and nine months ended May 31, 2023, respectively.</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7.1% and 7.3% to $8,978,405 and $25,901,387 during the three and nine months ended May 31, 2024, respectively, compared to $8,381,236 and $24,146,982 for the three and nine months ended May 31, 2023, respectively. These increases were primarily due to increased personnel expenses, including new hires, benefits and travel.</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$976,604, or $0.10 per diluted common share, for the three months ended May 31, 2024, compared to $1,059,590, or $0.11 per diluted common share, for the three months ended May 31, 2023. NTIC incurred net income attributable to NTIC of $3,573,294, or $0.36 per diluted common share, for the nine months ended May 31, 2024, compared to $1,973,329, or $0.20 per diluted common share, for the nine months ended May 31,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8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and nine months ended May 31, 2024 and 2023.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3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8"/>
        </w:trPr>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20,686,197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20,969,726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(283,529)</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12,793,103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13,389,873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(596,770)</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1,396,731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1,346,658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50,073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1,212,497</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1,361,311</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(148,814)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4,232,887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3,893,152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339,735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3,500,113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3,205,645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294,468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1,245,405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1,282,439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3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8"/>
        </w:trPr>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61,710,410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59,193,317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2,517,093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38,143,878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38,957,272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(813,394)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3,676,962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3,664,793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3,764,514</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3,795,862</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12,053,839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10,996,303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1,057,536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10,253,966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9,470,433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783,533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3,593,582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3,680,246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(86,664)</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decreased 1.4% during the three months ended May 31, 2024 compared to the three months ended May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demand for ZERUST® products. NTIC’s consolidated net sales increased 4.3% during the three months ended May 31, 2024 compared to the three and nine months ended May 31, 2023. This increase was primarily as a result of an increase in sales and demand for Natur-Tec® partially offset by decreases in ZERUST®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and nine months ended May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6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0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r>
      <w:tr>
        <w:trPr>
          <w:trHeight w:val="210"/>
        </w:trPr>
        <w:tc>
          <w:tcPr>
            <w:tcW w:w="5980" w:type="dxa"/>
            <w:vAlign w:val="bottom"/>
          </w:tcPr>
          <w:p>
            <w:pPr>
              <w:spacing w:after="0"/>
              <w:rPr>
                <w:sz w:val="18"/>
                <w:szCs w:val="18"/>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14,837,235</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16,100,674</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45,461,075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45,929,422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5,848,962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4,869,052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16,249,335</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13,263,895</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20,686,197</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20,969,726</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61,710,410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59,193,317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May 31, 2024, 71.7% and 73.7% of NTIC’s consolidated net sales, respectively, were derived from sales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products and services, which decreased 7.8% and 1.0% to $14,837,235 and $45,461,075, respectively, compared to $16,100,674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$45,929,422 during the three and nine months ended May 31, 2023, respectively. These increases were primarily a result of decreased demand in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of both ZERUST® industrial and ZERUST® oil and gas products.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and nine months ended May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jc w:val="center"/>
              <w:ind w:right="3690"/>
              <w:spacing w:after="0"/>
              <w:rPr>
                <w:sz w:val="20"/>
                <w:szCs w:val="20"/>
                <w:color w:val="auto"/>
              </w:rPr>
            </w:pPr>
            <w:r>
              <w:rPr>
                <w:rFonts w:ascii="Times New Roman" w:cs="Times New Roman" w:eastAsia="Times New Roman" w:hAnsi="Times New Roman"/>
                <w:sz w:val="18"/>
                <w:szCs w:val="18"/>
                <w:color w:val="auto"/>
                <w:w w:val="99"/>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13,477,181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14,103,292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(626,111)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98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ZERUST® oil &amp; gas net sales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1,360,054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1,997,382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(637,328)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5980" w:type="dxa"/>
            <w:vAlign w:val="bottom"/>
            <w:shd w:val="clear" w:color="auto" w:fill="CCEEFF"/>
          </w:tcPr>
          <w:p>
            <w:pPr>
              <w:jc w:val="center"/>
              <w:ind w:right="3650"/>
              <w:spacing w:after="0"/>
              <w:rPr>
                <w:sz w:val="20"/>
                <w:szCs w:val="20"/>
                <w:color w:val="auto"/>
              </w:rPr>
            </w:pPr>
            <w:r>
              <w:rPr>
                <w:rFonts w:ascii="Times New Roman" w:cs="Times New Roman" w:eastAsia="Times New Roman" w:hAnsi="Times New Roman"/>
                <w:sz w:val="18"/>
                <w:szCs w:val="18"/>
                <w:color w:val="auto"/>
                <w:w w:val="98"/>
              </w:rPr>
              <w:t>Total ZERUST®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14,837,235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16,100,674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jc w:val="center"/>
              <w:ind w:right="3690"/>
              <w:spacing w:after="0"/>
              <w:rPr>
                <w:sz w:val="20"/>
                <w:szCs w:val="20"/>
                <w:color w:val="auto"/>
              </w:rPr>
            </w:pPr>
            <w:r>
              <w:rPr>
                <w:rFonts w:ascii="Times New Roman" w:cs="Times New Roman" w:eastAsia="Times New Roman" w:hAnsi="Times New Roman"/>
                <w:sz w:val="18"/>
                <w:szCs w:val="18"/>
                <w:color w:val="auto"/>
                <w:w w:val="99"/>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40,431,379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40,504,908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980" w:type="dxa"/>
            <w:vAlign w:val="bottom"/>
          </w:tcPr>
          <w:p>
            <w:pPr>
              <w:jc w:val="center"/>
              <w:ind w:right="3710"/>
              <w:spacing w:after="0"/>
              <w:rPr>
                <w:sz w:val="20"/>
                <w:szCs w:val="20"/>
                <w:color w:val="auto"/>
              </w:rPr>
            </w:pPr>
            <w:r>
              <w:rPr>
                <w:rFonts w:ascii="Times New Roman" w:cs="Times New Roman" w:eastAsia="Times New Roman" w:hAnsi="Times New Roman"/>
                <w:sz w:val="18"/>
                <w:szCs w:val="18"/>
                <w:color w:val="auto"/>
                <w:w w:val="99"/>
              </w:rPr>
              <w:t>ZERUST® oil &amp; gas net sales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5,029,696</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5,424,514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(394,818)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5980" w:type="dxa"/>
            <w:vAlign w:val="bottom"/>
            <w:shd w:val="clear" w:color="auto" w:fill="CCEEFF"/>
          </w:tcPr>
          <w:p>
            <w:pPr>
              <w:jc w:val="center"/>
              <w:ind w:right="3650"/>
              <w:spacing w:after="0"/>
              <w:rPr>
                <w:sz w:val="20"/>
                <w:szCs w:val="20"/>
                <w:color w:val="auto"/>
              </w:rPr>
            </w:pPr>
            <w:r>
              <w:rPr>
                <w:rFonts w:ascii="Times New Roman" w:cs="Times New Roman" w:eastAsia="Times New Roman" w:hAnsi="Times New Roman"/>
                <w:sz w:val="18"/>
                <w:szCs w:val="18"/>
                <w:color w:val="auto"/>
                <w:w w:val="98"/>
              </w:rPr>
              <w:t>Total ZERUST®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45,461,075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45,929,422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(468,347)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NTIC’s total ZERUST® net sales decreased during the three and nine months ended May 31, 2024, compared to the prior fiscal year periods, primarily due to decreased demand in North American both ZERUST® industrial business and ZERUST® oil and gas business. Overall, demand for ZERUST® products and services depends heavily on the overall health of the markets in which NTIC sells its products, including the automotive, oil and gas, agriculture, and mining markets, in particular.</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ZERUST® oil and gas net sales decreased 31.9% and 7.3% during the three and nine months ended May 31, 2023 compared to the prior fiscal year periods primarily as a result of decreased demand in markets in which NTIC sells its products and the timing of delivery of products. NTIC anticipates that its sales of ZERUST® products and services 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May 31, 2024, 28.3% and 26.3% of NTIC’s consolidated net sales, respectively, were derived from sales of Natur-Tec® products, compared to 23.2% and 22.4% during the three and nine months ended May 31, 2023, respectively. Sales of Natur-Tec® products increased 20.1% and 22.5% to $5,848,962 and $16,249,335 during the three and nine months ended May 31, 2024, respectively, compared to $4,869,052 and $13,263,895 during the three and nine months ended May 31, 2023, respectively, as a result of increased global demand. The demand for Natur-Tec® products in most markets has returned to pre-pandemic levels; however, there are lingering effects of COVID-19 in the apparel industry as well as corporate office complexes.</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decreased 4.5% and 2.1% for the three and nine months ended May 31, 2024, respectively,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nine months ended May 31, 2023 primarily as a result of lower raw material prices overall. Cost of goods sold as a percentage of net sales decreased to 61.8% for each of the three and nine months ended May 31, 2024, compared to 63.9% and 65.8% during the three and nine months ended May 31, 2023, respectively, primarily as a result of these lower raw material prices and the insourcing of various finished goods production. NTIC has taken certain actions to address inflationary pressures and pass on related cost increases to its customers and some improvements from these actions, as well as improvements in gross margin, were realized during the nine months ended May 31,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increased 3.7% and 0.3% during the three and nine months ended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to $1,396,731 and 3,676,962, respectively, compared to $1,346,658 and 3,664,793, respectively, primarily due to efforts to enhance profitability at the Company’s joint ventures, partially offset by a decrease in net income at NTIC’s joint venture in Germany. NTIC’s equity in income from joint ventures fluctuates based on net sales and profitability of the joint ventures during the respective periods. Of the total equity in income from joint ventures, NTIC had equity in income from joint ventures of $2,015,734 attributable to EXCOR during the nine months ended May 31, 2024, compared to $2,376,575 attributable to EXCOR during the nine months ended May 31, 2023. These decreases were primarily a result of a decrease in net sales by EXCOR compared to the same prior year fiscal periods, primarily due to the loss of a customer and softer demand within the region related to higher energy prices and other externalities linked to the war between Ukraine and Russia. NTIC had equity in income from all other joint ventures of $1,661,227 during the nine months ended May 31, 2024, compared to $1,288,218 during the nine months ended May 31, 2023.</w:t>
      </w:r>
    </w:p>
    <w:p>
      <w:pPr>
        <w:spacing w:after="0" w:line="18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Fees for Services Provided to Joint Ventures. </w:t>
      </w:r>
      <w:r>
        <w:rPr>
          <w:rFonts w:ascii="Times New Roman" w:cs="Times New Roman" w:eastAsia="Times New Roman" w:hAnsi="Times New Roman"/>
          <w:sz w:val="18"/>
          <w:szCs w:val="18"/>
          <w:color w:val="auto"/>
        </w:rPr>
        <w:t>NTIC recognized fee income for services provided to joint ventures of $1,212,497 and $3,764,514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May 31, 2024, respectively, compared to $1,361,311 and $3,795,862 during the three and nine months ended May 31, 2023, respectively, representing decreases of 10.9% and 0.8%, respectively. Fee income for services provided to joint ventures is traditionally a function of the sales made by NTIC’s joint ventures; however, at various joint ventures, the fee income for services is a fixed amount that does not fluctuate with the change in sales that was experienced by certain joint ventures during the three and nine months ended May 31, 2024. Total net sales of NTIC’s joint ventures decreased 2.7% and 5.1% to $25,602,072 and $72,642,714 during the three and nine months ended May 31, 2024, respectively, compared to $26,312,548 and $76,525,427 during the three and nine months ended May 31, 2023, respectively. These decreases were primarily a result of decreased demand during the three and nine months ended May 31, 2024 at NTIC’s joint venture in Germany primarily due to the loss of a customer and softer demand within the region, as described above. Net sales of NTIC’s joint ventures are not included in NTIC’s product sales and are not included in NTIC’s consolidated financial statements. Of the total fee income for services provided to joint ventures, fees of $618,236 were attributable to EXCOR during the nine months ended May 31, 2024, compared to $606,189 attributable to EXCOR during the nine months ended May 31, 2023.</w:t>
      </w:r>
    </w:p>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Selling Expenses</w:t>
      </w:r>
      <w:r>
        <w:rPr>
          <w:rFonts w:ascii="Times New Roman" w:cs="Times New Roman" w:eastAsia="Times New Roman" w:hAnsi="Times New Roman"/>
          <w:sz w:val="17"/>
          <w:szCs w:val="17"/>
          <w:color w:val="auto"/>
        </w:rPr>
        <w:t>. NTIC’s selling expenses increased 8.7% and 9.6% for the three and nine months ended May 31, 2024, respectively, compared to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 periods in fiscal 2023 primarily due to an increase in personnel expense during the current fiscal year period compared to the same prior fiscal year periods. Selling expenses as a percentage of net sales increased to 20.5% and 19.5% for the three and nine months ended May 31, 2024, respectively, from 18.6% and 18.6% for the three and nine months ended May 31, 2023, respectively, primarily due to the increased selling expenses as noted above.</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9.2% and 8.3% for the three and nine months ended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compared to the same respective periods in fiscal 2023 primarily due to increased professional services and travel and personnel expenses during the current fiscal year periods compared to the same prior fiscal year periods. As a percentage of net sales, general and administrative expenses increased to 16.9% and 16.6% for the three and nine months ended May 31, 2024, respectively, from 15.3% and 16.0% for the same respective periods in fiscal 2023 primarily due to the changes in general and administrative expenses, as noted above.</w:t>
      </w:r>
    </w:p>
    <w:p>
      <w:pPr>
        <w:spacing w:after="0" w:line="18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decreased 2.9% and 2.4% for the three and nine months ended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compared to the same respective periods in fiscal 2023 primarily due to the timing of expenses incurred and changes in expenses associated with development efforts.</w:t>
      </w:r>
    </w:p>
    <w:p>
      <w:pPr>
        <w:spacing w:after="0" w:line="17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$23,744 and $99,396 during the three and nine months ended May 31, 2024, respectively,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$8,876 and $18,495 during the three and nine months ended May 31, 2023, respectively, primarily due to changes in the invested cash balances at subsidiaries.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decreased to $59,939 and $248,835 during the three and nine months ended May 31,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$136,168 and $342,643 during the three and nine months ended May 31, 2023, respectively, primarily due to decreased outstanding borrowings during the current fiscal year periods.</w:t>
      </w:r>
    </w:p>
    <w:p>
      <w:pPr>
        <w:spacing w:after="0" w:line="17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$1,487,722 and $4,957,182 for the three and nine months ended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respectively, compared to $1,779,294 and $3,225,570 for the three and nine months ended May 31,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$332,400 and $848,391 for the three and nine months ended May 31, 2024, respectively, compared to</w:t>
      </w:r>
    </w:p>
    <w:p>
      <w:pPr>
        <w:spacing w:after="0" w:line="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$542,295 and $834,823 during the three and nine months ended May 31, 2023, respectively. Income tax expense was calculated based on management’s estimate of NTIC’s annual effective income tax rate.</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$23,645,685 and $20,493,861 as of May 31, 2024 and August 31, 2023,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decreased to $976,604, or $0.10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2024, compared to $1,059,590, or $0.11 per diluted common share, for the three months ended May 31, 2023. Net income attributable to NTIC increased to $3,573,294, or $0.36 per diluted common share, for the nine months ended May 31, 2024, compared to $1,973,329, or $0.20 per diluted common share, for the nine months ended May 31, 2023. These increases were primarily due to the increase in gross profit, partially offset by the increase in operating expenses.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and nine months ended May 31, 2024 compared to the same respective periods in fiscal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$23,178,836 as of May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$5,794,824 in cash and cash equivalents, compared to $22,950,184 as of August 31, 2023, including $5,406,173 in cash and cash equivalents.</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2024,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4" w:name="page25"/>
    <w:bookmarkEnd w:id="24"/>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NTIC also expects to use some of its capital resources to acquire remaining ownership interests of joint ventures not owned by NTIC as they become available or appropriate and for the formation of one or more new subsidiaries to assume the operations of a joint venture. Some of these joint venture transitions may materially impact NTIC’s results of operations for a particular reporting period.</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Agreement with JPMorgan Chase Bank, N.A. </w:t>
      </w:r>
      <w:r>
        <w:rPr>
          <w:rFonts w:ascii="Times New Roman" w:cs="Times New Roman" w:eastAsia="Times New Roman" w:hAnsi="Times New Roman"/>
          <w:sz w:val="18"/>
          <w:szCs w:val="18"/>
          <w:color w:val="auto"/>
        </w:rPr>
        <w:t>On January 6, 2023, NTIC entered into a Credit Agreement (the Credit Agreement) with JPMorgan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Chase Bank, N.A. (JPM), which provides NTIC with a senior secured revolving line of credit (the Credit Facility) of up to $10.0 million, which includes a $5.0 million sublimit for standby letters of credit. Borrowings of $1,988,380 and $3,600,000 were outstanding under the Credit Facility as of May 31, 2024 and August 31, 2023, respectively.</w:t>
      </w:r>
    </w:p>
    <w:p>
      <w:pPr>
        <w:spacing w:after="0" w:line="18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Unless terminated earlier, the principal amount under the Credit Facility, together with all accrued unpaid interest and other amounts owing thereunder, if any, will be payable in full on the maturity date. On January 5, 2024, the Company and JPM renewed its Credit Agreement to extend the maturity date of the Credit Facility from January 6, 2024 to January 6, 2025. All other terms of the Credit Facility and the Credit Agreement remain the same. It is anticipated that the Credit Facility will be renewed each year for one additional year for the immediate foreseeable future.</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 in collateral made up for the assets of the Company.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right="60"/>
        <w:spacing w:after="0" w:line="281" w:lineRule="auto"/>
        <w:rPr>
          <w:sz w:val="20"/>
          <w:szCs w:val="20"/>
          <w:color w:val="auto"/>
        </w:rPr>
      </w:pPr>
      <w:r>
        <w:rPr>
          <w:rFonts w:ascii="Times New Roman" w:cs="Times New Roman" w:eastAsia="Times New Roman" w:hAnsi="Times New Roman"/>
          <w:sz w:val="17"/>
          <w:szCs w:val="17"/>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 As of May 31, 2024, NTIC was in compliance with all debt covenants under the Credit Agreement.</w:t>
      </w:r>
    </w:p>
    <w:p>
      <w:pPr>
        <w:spacing w:after="0" w:line="16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Credit Arrangements. </w:t>
      </w:r>
      <w:r>
        <w:rPr>
          <w:rFonts w:ascii="Times New Roman" w:cs="Times New Roman" w:eastAsia="Times New Roman" w:hAnsi="Times New Roman"/>
          <w:sz w:val="18"/>
          <w:szCs w:val="18"/>
          <w:color w:val="auto"/>
        </w:rPr>
        <w:t>On each of April 10, 2023 and May 30, 2023, the Company’s wholly-owned subsidiary in China, NTIC China,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agreement with China Construction Bank Corporation. Each term loan provided NTIC China with a RMB 10,000,000 (USD $1.45 million). Each of the term loans matures after one year with the principal due at that time, after which an extension of the loan agreement is required. Both term loans have an annual interest rate of 3.25% with interest due monthly. Both term loans are secured by an office building owned by NTIC China and the loan agreements contain certain financial and other covenants. NTIC was in compliance with the covenants as of May 31, 2024. The current outstanding balance for both term loans was USD $2,762,049 as of May 31, 2024 and USD $2,757,176 as of August, 31, 2023.</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Uses of Cash and Cash Flow</w:t>
      </w:r>
      <w:r>
        <w:rPr>
          <w:rFonts w:ascii="Times New Roman" w:cs="Times New Roman" w:eastAsia="Times New Roman" w:hAnsi="Times New Roman"/>
          <w:sz w:val="18"/>
          <w:szCs w:val="18"/>
          <w:color w:val="auto"/>
        </w:rPr>
        <w:t>. Net cash provided by operating activities during the nine months ended May 31, 2024 was $7,583,904,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NTIC’s net income, dividends received from joint ventures, dividend receivables from joint ventures, depreciation and amortization expense, and stock-based compensation, partially offset by equity in income from joint ventures. Net cash provided by operating activities during the nine months ended May 31, 2023 was $3,505,803, which resulted principally from NTIC’s net income, dividends received from joint ventures, depreciation and amortization expense, and stock-based compensation, partially offset by equity in income from joint ventures.</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NTIC experienced a decrease in trade receivables as of May 31, 2024, compared to August 31, 2023. Trade receivables, excluding joint ventures, as of May 31, 2024, decreased $1,270,274, compared to August 31, 2023, primarily related to the timing of collections.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right="14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decreased an average of 5 days to an average of 66 days from balances outstanding from these customers as of May 31, 2024 from an average of 71 days as of August 31, 2023.</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May 31, 2024 increased $416,419, compared to August 31, 2023, primarily due to the timing of payments and orders. Outstanding balances from trade receivables from joint ventures increased an average of 93 days to an average of 127 days from balances outstanding from these customers as of May 31, 2024 from an average of 34 days as of August 31, 2023. The average days outstanding of trade receivables from joint ventures as of May 31, 2024 were primarily due to the receivables balances at Thailand and South Korea.</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May 31, 2024 decreased $34,441, compared to August 31, 2023, and the average days to pay decreased an average of 11 day to an average of 96 days from an average of 86 days as of August 31, 2023.</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May 31, 2024 and 2023 was $2,601,176 and $2,678,748, respectively, which was primarily the result of the purchases of property and equipment, and investments in patents.</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May 31, 2024 was $4,587,474, which resulted from dividends paid to shareholders, the repayment of borrowings under the line of credit, and dividends received by non-controlling interest, partially offset by proceeds from NTIC’s employee stock purchase plan. Net cash provided by financing activities for the nine months ended May 31, 2023 was $81,773, which resulted from borrowings under the line of credit and term loan and proceeds from the exercise of stock options and NTIC’s employee stock purchase plan, partially offset by dividends paid on NTIC common stock and dividends received by non-controlling interest.</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the nine months ended May 31, 2024. As of May 31, 2024, up to $2,640,548 in shares of NTIC common stock remained available for repurchase under NTIC’s stock repurchase program.</w:t>
      </w:r>
    </w:p>
    <w:p>
      <w:pPr>
        <w:spacing w:after="0" w:line="18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During the nine months ended May 31, 2024, NTIC’s Board of Directors declared cash dividends on the following dates in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to the following holders of NTIC’s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16"/>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17, 2024</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2024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31, 2023, NTIC’s Board of Directors declared cash dividends on the following dates in the following amounts to the following holders of NTIC’s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2022</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2023</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2023</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2023</w:t>
            </w:r>
          </w:p>
        </w:tc>
      </w:tr>
      <w:tr>
        <w:trPr>
          <w:trHeight w:val="216"/>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21, 2023</w:t>
            </w:r>
          </w:p>
        </w:tc>
        <w:tc>
          <w:tcPr>
            <w:tcW w:w="7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3,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$2,515,248 on capital expenditures during the nine months ended May 31, 2024,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facility improvements to the warehouse facility NTIC purchased during fiscal 2023 and the installation of a new Enterprise Resource Planning (ERP) software system and associated equipment. NTIC expects to spend an aggregate of approximately $600,000 to $1,100,000 on capital expenditures during fiscal 2024, which it expects will relate primarily to the installation of new Enterprise Resource Planning (ERP) software system and the purchase of new equipment and facility improvements.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inflation in the United States and abroad historically has had little effect on NTIC, inflationary pressures adversely affected NTIC’s gross margins during the third quarter of fiscal 2024. NTIC believes there is some seasonality in its business. NTIC’s net sales in the second fiscal quarter are typically adversely affected by the long Chinese New Year, the North American holiday season and overall less corrosion taking place at lower winter temperatures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Credit Facility with JPM bear interest at a floating rate, at the option of NTIC, equal to either the CB Floating Rate or the Adjusted SOFR Rate, as defined above. Borrowings of $1,988,380 were outstanding under the Credit Facility as of May 31, 2024.</w:t>
      </w:r>
    </w:p>
    <w:p>
      <w:pPr>
        <w:spacing w:after="0" w:line="162" w:lineRule="exact"/>
        <w:rPr>
          <w:sz w:val="20"/>
          <w:szCs w:val="20"/>
          <w:color w:val="auto"/>
        </w:rPr>
      </w:pPr>
    </w:p>
    <w:p>
      <w:pPr>
        <w:ind w:right="3120"/>
        <w:spacing w:after="0" w:line="266" w:lineRule="auto"/>
        <w:rPr>
          <w:sz w:val="20"/>
          <w:szCs w:val="20"/>
          <w:color w:val="auto"/>
        </w:rPr>
      </w:pPr>
      <w:r>
        <w:rPr>
          <w:rFonts w:ascii="Times New Roman" w:cs="Times New Roman" w:eastAsia="Times New Roman" w:hAnsi="Times New Roman"/>
          <w:sz w:val="18"/>
          <w:szCs w:val="18"/>
          <w:color w:val="auto"/>
        </w:rPr>
        <w:t>Both term loans undertaken by NTIC China with China Construction Bank Corporation have an annual interest rate of 3.25% with interest due monthly. The current outstanding balance as of May 31, 2024 for both term loans is USD $2,762,049.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acquisition of Zerust India on NTIC’s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660" w:right="4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 which will likely continue through fiscal 2024, regardless of the status of COVID-19;</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NTIC’s business, operating results and financial condition, including in particular in China, and disruption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inflation, recessionary indicators and any turmoil and disruption in the global credit, financial and banking markets or the perception of adverse conditions on NTIC’s business and the business of NTIC’s customers, suppliers, vendors and other third parties with whom NTIC conducts business;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war between Russia and Ukraine, and the effect of the war and the resulting sanctions by U.S. and European governments on commodity price fluctuations, which have decreased our margins and the margins of our joint ventures and resulted in decreased joint venture profitability, which will likely continue through the end of fiscal 2024;</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war between Israel and Hamas;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including trade or other issues that may result from increasing tensions between the U.S. and China;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9" w:name="page30"/>
    <w:bookmarkEnd w:id="29"/>
    <w:p>
      <w:pPr>
        <w:ind w:left="328" w:right="6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61" w:lineRule="exact"/>
        <w:rPr>
          <w:rFonts w:ascii="Times New Roman" w:cs="Times New Roman" w:eastAsia="Times New Roman" w:hAnsi="Times New Roman"/>
          <w:sz w:val="18"/>
          <w:szCs w:val="18"/>
          <w:color w:val="auto"/>
        </w:rPr>
      </w:pPr>
    </w:p>
    <w:p>
      <w:pPr>
        <w:ind w:left="328" w:right="22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health of the U.S. automotive industry on NTIC’s business and the evolution of the automotive industry towards electric vehicles;</w:t>
      </w:r>
    </w:p>
    <w:p>
      <w:pPr>
        <w:spacing w:after="0" w:line="236"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acquisition of the remaining 50% ownership interest in its Indian joint venture, Zerust India;</w:t>
      </w:r>
    </w:p>
    <w:p>
      <w:pPr>
        <w:spacing w:after="0" w:line="225"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61"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including supply chain disruptions and weather related impacts;</w:t>
      </w:r>
    </w:p>
    <w:p>
      <w:pPr>
        <w:spacing w:after="0" w:line="161" w:lineRule="exact"/>
        <w:rPr>
          <w:rFonts w:ascii="Times New Roman" w:cs="Times New Roman" w:eastAsia="Times New Roman" w:hAnsi="Times New Roman"/>
          <w:sz w:val="18"/>
          <w:szCs w:val="18"/>
          <w:color w:val="auto"/>
        </w:rPr>
      </w:pPr>
    </w:p>
    <w:p>
      <w:pPr>
        <w:ind w:left="328" w:right="220" w:hanging="328"/>
        <w:spacing w:after="0" w:line="266"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328" w:right="14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328" w:right="40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ongoing war between Russia and Ukraine;</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0" w:right="359" w:bottom="1440" w:gutter="0" w:footer="0" w:header="0"/>
        </w:sectPr>
      </w:pPr>
    </w:p>
    <w:bookmarkStart w:id="30" w:name="page31"/>
    <w:bookmarkEnd w:id="30"/>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effectively remediate its material weakness and maintain effective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2023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interest rate risk, any outstanding advances under NTIC’s Credit Facility with JPM bear interest at a floating rate, at the option of NTIC, equal to either the CB Floating Rate or the Adjusted SOFR Rate, as defined above. Borrowings of $1,988,380 were outstanding under the Credit Facility as of May 31, 2024. Both term loans undertaken by NTIC China with China Construction Bank Corporation have an annual interest rate of 3.25% with interest due monthly. The current outstanding balance as of May 31, 2024 for both term loans is USD $2,762,049.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and as a result of the material weakness in NTIC’s internal control over financial reporting discussed below, NTIC’s Chief Executive Officer and Chief Financial Officer concluded that NTIC’s disclosure controls and procedures were not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 in Internal Control over Financial Reporting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NTIC did not maintain effective controls over the probability assessment associated with the recognition of income related to employee retention credits (ERCs).</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providing numerous tax provisions and other stimulus measures, including ERCs, which are refundable tax credits against certain employment taxes. The Taxpayer Certainty and Disaster Tax Relief Act of 2020 and the American Rescue Plan Act of 2021 extended and expanded the availability of the ERC.</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engaged tax advisors of a Big 4 accounting firm which determined NTIC qualified for ERCs. NTIC qualified for ERCs on qualified wages paid in the first and second quarters of 2021 and filed for and recognized income from the ERCs in the second and third quarters of fiscal 2023. In connection with the preparation of its consolidated financial statements for the fiscal year ended August 31, 2023, NTIC concluded that it should have accounted for the ERCs as government grants in accordance with International Accounting Standard (IAS) 20, Accounting for Government Grants and Disclosure of Government Assistance (IAS 20) since U.S. Generally Accepted Accounting Principles (U.S. GAAP) do not provide for the accounting of government grants. Pursuant to IAS 20, NTIC cannot recognize any income from the grant until it is “reasonably assured” that the grant conditions will be met and that the grant will be received, at which time grant income is recorded on a systematic basis over the periods in which NTIC recognizes the payroll expenses for which the grant is intended to compensate. In connection with the preparation of its consolidated financial statements for the fiscal year ended August 31, 2023, NTIC determined that it was not yet reasonably assured that the grant conditions will be met, requiring the restatement of its previously issued consolidated financial statements for the three and six months ended February 28, 2023 and three and nine months ended May 31, 2023. Management determined that this control deficiency constitutes a material weakness in NTIC’s internal control over financial reporting.</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3" w:name="page34"/>
    <w:bookmarkEnd w:id="33"/>
    <w:p>
      <w:pPr>
        <w:spacing w:after="0" w:line="281" w:lineRule="auto"/>
        <w:rPr>
          <w:sz w:val="20"/>
          <w:szCs w:val="20"/>
          <w:color w:val="auto"/>
        </w:rPr>
      </w:pPr>
      <w:r>
        <w:rPr>
          <w:rFonts w:ascii="Times New Roman" w:cs="Times New Roman" w:eastAsia="Times New Roman" w:hAnsi="Times New Roman"/>
          <w:sz w:val="17"/>
          <w:szCs w:val="17"/>
          <w:color w:val="auto"/>
        </w:rPr>
        <w:t>NTIC’s management is taking steps to remediate the material weakness in its internal control over financial reporting relating to the proper accounting treatment of the ERCs. These steps include the preparation of a technical accounting memorandum for any material unusual transactions including careful evaluation of any probability assessments or other areas of judgment involved, such as the ERCs, to determine the correct accounting treatment for such transactions. Management believes the additional control procedures designed, and when implemented, will fully remediate the material weakness.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the remediation steps discussed above, there was no change in NTIC’s internal control over financial reporting that occurred during the quarter ended May 31, 2024 that has materially affected or is reasonably likely to materially affect NTIC’s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Item 1A. is inapplicable to NTIC as a smaller reporting company, NTIC hereby discloses the following new risk factor:</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installation of a new Enterprise Resource Planning (ERP) software system and related equipment could cause disruption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NTIC may not be able to effectively realize the benefits of this new system.</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NTIC is installing a new Enterprise Resource Planning (ERP) software system and related equipment in order to support its future growth and more fully optimize its existing processes. The implementation of a new ERP software system may prove to be more difficult, costly or time-consuming than expected, and it is possible that the system will not yield the anticipated benefits. Any disruptions, delays or deficiencies related to the new ERP software system could materially impact NTIC’s operations and its ability to manage inventory, fulfill obligations to customers or otherwise operate its business. In addition, implementation of a new ERP system will require significant resources, including the time and attention of NTIC’s management, in order to fully realize the anticipated benefits.</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31, 2024,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third quarter of fiscal 2024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4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4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16"/>
        </w:trPr>
        <w:tc>
          <w:tcPr>
            <w:tcW w:w="4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w:t>
            </w:r>
          </w:p>
        </w:tc>
      </w:tr>
      <w:tr>
        <w:trPr>
          <w:trHeight w:val="216"/>
        </w:trPr>
        <w:tc>
          <w:tcPr>
            <w:tcW w:w="4500" w:type="dxa"/>
            <w:vAlign w:val="bottom"/>
          </w:tcPr>
          <w:p>
            <w:pPr>
              <w:spacing w:after="0"/>
              <w:rPr>
                <w:sz w:val="18"/>
                <w:szCs w:val="18"/>
                <w:color w:val="auto"/>
              </w:rPr>
            </w:pPr>
          </w:p>
        </w:tc>
        <w:tc>
          <w:tcPr>
            <w:tcW w:w="266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4500" w:type="dxa"/>
            <w:vAlign w:val="bottom"/>
          </w:tcPr>
          <w:p>
            <w:pPr>
              <w:spacing w:after="0"/>
              <w:rPr>
                <w:sz w:val="18"/>
                <w:szCs w:val="18"/>
                <w:color w:val="auto"/>
              </w:rPr>
            </w:pPr>
          </w:p>
        </w:tc>
        <w:tc>
          <w:tcPr>
            <w:tcW w:w="266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500" w:type="dxa"/>
            <w:vAlign w:val="bottom"/>
          </w:tcPr>
          <w:p>
            <w:pPr>
              <w:spacing w:after="0"/>
              <w:rPr>
                <w:sz w:val="18"/>
                <w:szCs w:val="18"/>
                <w:color w:val="auto"/>
              </w:rPr>
            </w:pPr>
          </w:p>
        </w:tc>
        <w:tc>
          <w:tcPr>
            <w:tcW w:w="266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16"/>
        </w:trPr>
        <w:tc>
          <w:tcPr>
            <w:tcW w:w="4500" w:type="dxa"/>
            <w:vAlign w:val="bottom"/>
          </w:tcPr>
          <w:p>
            <w:pPr>
              <w:spacing w:after="0"/>
              <w:rPr>
                <w:sz w:val="18"/>
                <w:szCs w:val="18"/>
                <w:color w:val="auto"/>
              </w:rPr>
            </w:pPr>
          </w:p>
        </w:tc>
        <w:tc>
          <w:tcPr>
            <w:tcW w:w="266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3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660" w:type="dxa"/>
            <w:vAlign w:val="bottom"/>
            <w:tcBorders>
              <w:bottom w:val="single" w:sz="8" w:color="auto"/>
            </w:tcBorders>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2024 through March 31, 2024</w:t>
            </w: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April 1, 2024 through April 30, 2024</w:t>
            </w:r>
          </w:p>
        </w:tc>
        <w:tc>
          <w:tcPr>
            <w:tcW w:w="2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2024 through May 31, 2024</w:t>
            </w: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2660" w:type="dxa"/>
            <w:vAlign w:val="bottom"/>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7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jc w:val="both"/>
        <w:ind w:left="340" w:right="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31, 2024, up to $2,640,548 in shares of NTIC common stock remained available for repurchase under NTIC’s stock repurchase program.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31, 2024, none of our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20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29" w:lineRule="exact"/>
        <w:rPr>
          <w:sz w:val="20"/>
          <w:szCs w:val="20"/>
          <w:color w:val="auto"/>
        </w:rPr>
      </w:pPr>
    </w:p>
    <w:p>
      <w:pPr>
        <w:ind w:left="920" w:right="240" w:hanging="609"/>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SEC Rule 13a-14(a), as adopted pursuant to Section 302 of the Sarbanes-Oxley Act of 2002 (filed herewith)</w:t>
      </w:r>
    </w:p>
    <w:p>
      <w:pPr>
        <w:spacing w:after="0" w:line="162"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 Rule 13a-14(a), as adopted pursuant to Section 302 of the Sarbanes-Oxley Act of</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0000EE"/>
        </w:rPr>
        <w:t>2002 (filed herewith)</w:t>
      </w:r>
    </w:p>
    <w:p>
      <w:pPr>
        <w:spacing w:after="0" w:line="207" w:lineRule="exact"/>
        <w:rPr>
          <w:sz w:val="20"/>
          <w:szCs w:val="20"/>
          <w:color w:val="auto"/>
        </w:rPr>
      </w:pPr>
    </w:p>
    <w:p>
      <w:pPr>
        <w:ind w:left="920" w:hanging="609"/>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18 U.S.C. Section 1350, as adopted pursuant to Section 906 of the Sarbanes-Oxley Act of 2002 (furnished herewith)</w:t>
      </w:r>
    </w:p>
    <w:p>
      <w:pPr>
        <w:spacing w:after="0" w:line="162"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18 U.S.C. Section 1350, as adopted pursuant to Section 906 of the Sarbanes-Oxley Act of</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0000EE"/>
        </w:rPr>
        <w:t>2002 (furnished herewith)</w:t>
      </w:r>
    </w:p>
    <w:p>
      <w:pPr>
        <w:spacing w:after="0" w:line="207" w:lineRule="exact"/>
        <w:rPr>
          <w:sz w:val="20"/>
          <w:szCs w:val="20"/>
          <w:color w:val="auto"/>
        </w:rPr>
      </w:pPr>
    </w:p>
    <w:p>
      <w:pPr>
        <w:ind w:left="920" w:right="160" w:hanging="595"/>
        <w:spacing w:after="0" w:line="261"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May 31, 2024, formatted in Inline XBRL (Extensible Business Reporting Language): (i) the unaudited Consolidated Balance Sheets, (ii) the unaudited Consolidated Statements of Operations, (iii) the unaudited Consolidated Statements of Comprehensive Income, (iv) the unaudited Consolidated Statements of Equity, (v) the unaudited Consolidated Statements of Cash Flows, and (vi) Notes to Consolidated Financial Statements (filed herewith)</w:t>
      </w:r>
    </w:p>
    <w:p>
      <w:pPr>
        <w:spacing w:after="0" w:line="180" w:lineRule="exact"/>
        <w:rPr>
          <w:sz w:val="20"/>
          <w:szCs w:val="20"/>
          <w:color w:val="auto"/>
        </w:rPr>
      </w:pPr>
    </w:p>
    <w:p>
      <w:pPr>
        <w:ind w:left="5540" w:right="3780" w:hanging="5215"/>
        <w:spacing w:after="0" w:line="532" w:lineRule="auto"/>
        <w:tabs>
          <w:tab w:leader="none" w:pos="9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6" w:name="page37"/>
    <w:bookmarkEnd w:id="3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NORTHERN TECHNOLOGIES INTERNATIONAL CORPORATION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ind w:left="5620" w:right="3560" w:hanging="5615"/>
        <w:spacing w:after="0" w:line="265" w:lineRule="auto"/>
        <w:tabs>
          <w:tab w:leader="none" w:pos="5600" w:val="left"/>
        </w:tabs>
        <w:rPr>
          <w:sz w:val="20"/>
          <w:szCs w:val="20"/>
          <w:color w:val="auto"/>
        </w:rPr>
      </w:pPr>
      <w:r>
        <w:rPr>
          <w:rFonts w:ascii="Times New Roman" w:cs="Times New Roman" w:eastAsia="Times New Roman" w:hAnsi="Times New Roman"/>
          <w:sz w:val="18"/>
          <w:szCs w:val="18"/>
          <w:color w:val="auto"/>
        </w:rPr>
        <w:t>Date: July 11, 2024</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19" w:right="4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ind w:left="240" w:right="40" w:hanging="232"/>
        <w:spacing w:after="0" w:line="312" w:lineRule="auto"/>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240" w:right="500" w:hanging="232"/>
        <w:spacing w:after="0" w:line="282"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40" w:right="120" w:hanging="232"/>
        <w:spacing w:after="0" w:line="266"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80" w:hanging="200"/>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80" w:hanging="212"/>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80" w:right="20" w:hanging="200"/>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80" w:hanging="212"/>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240" w:right="240" w:hanging="232"/>
        <w:spacing w:after="0" w:line="282" w:lineRule="auto"/>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80" w:right="20" w:hanging="200"/>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80" w:hanging="212"/>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July 11, 2024</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218"/>
        </w:trPr>
        <w:tc>
          <w:tcPr>
            <w:tcW w:w="56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3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6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80" w:right="560" w:hanging="172"/>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80" w:right="180" w:hanging="172"/>
        <w:spacing w:after="0" w:line="266"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80" w:hanging="20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hanging="216"/>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0" w:hanging="20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80" w:hanging="216"/>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80" w:right="300" w:hanging="172"/>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80" w:right="20" w:hanging="20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July 11, 2024</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Matthew C. Wolsfeld</w:t>
            </w:r>
          </w:p>
        </w:tc>
        <w:tc>
          <w:tcPr>
            <w:tcW w:w="1720" w:type="dxa"/>
            <w:vAlign w:val="bottom"/>
          </w:tcPr>
          <w:p>
            <w:pPr>
              <w:spacing w:after="0"/>
              <w:rPr>
                <w:sz w:val="18"/>
                <w:szCs w:val="18"/>
                <w:color w:val="auto"/>
              </w:rPr>
            </w:pPr>
          </w:p>
        </w:tc>
      </w:tr>
      <w:tr>
        <w:trPr>
          <w:trHeight w:val="218"/>
        </w:trPr>
        <w:tc>
          <w:tcPr>
            <w:tcW w:w="56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Financial Officer and Corporate Secretary</w:t>
            </w:r>
          </w:p>
        </w:tc>
      </w:tr>
      <w:tr>
        <w:trPr>
          <w:trHeight w:val="234"/>
        </w:trPr>
        <w:tc>
          <w:tcPr>
            <w:tcW w:w="56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33"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quarterly period ended May 31, 2024,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460" w:hanging="223"/>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2024</w:t>
      </w:r>
    </w:p>
    <w:p>
      <w:pPr>
        <w:sectPr>
          <w:pgSz w:w="11900" w:h="16838" w:orient="portrait"/>
          <w:cols w:equalWidth="0" w:num="1">
            <w:col w:w="11240"/>
          </w:cols>
          <w:pgMar w:left="320" w:top="117"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quarterly period ended May 31, 2024,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460" w:hanging="223"/>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2024</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1."/>
      <w:numFmt w:val="decimal"/>
      <w:start w:val="9"/>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4"/>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1"/>
      <w:numFmt w:val="decimal"/>
      <w:start w:val="104"/>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2024-07-11T07:05:25Z</dcterms:created>
  <dcterms:modified xsi:type="dcterms:W3CDTF">2024-07-11T07:05:25Z</dcterms:modified>
</cp:coreProperties>
</file>