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UNDER SECTION 13 OR 15(d) 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November 30, 2006</w:t>
      </w:r>
    </w:p>
    <w:p>
      <w:pPr>
        <w:spacing w:after="0" w:line="132"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THE SECURITIES EXCHANGE ACT OF 1934</w:t>
      </w:r>
    </w:p>
    <w:p>
      <w:pPr>
        <w:spacing w:after="0" w:line="219"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For the transition period from ________________ to __________________.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line="253" w:lineRule="auto"/>
        <w:rPr>
          <w:sz w:val="20"/>
          <w:szCs w:val="20"/>
          <w:color w:val="auto"/>
        </w:rPr>
      </w:pPr>
      <w:r>
        <w:rPr>
          <w:rFonts w:ascii="Arial" w:cs="Arial" w:eastAsia="Arial" w:hAnsi="Arial"/>
          <w:sz w:val="43"/>
          <w:szCs w:val="43"/>
          <w:b w:val="1"/>
          <w:bCs w:val="1"/>
          <w:color w:val="auto"/>
        </w:rPr>
        <w:t>NORTHERN TECHNOLOGIES INTERNATIONAL CORPORATION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small business issuer in its charter)</w:t>
      </w:r>
    </w:p>
    <w:p>
      <w:pPr>
        <w:spacing w:after="0" w:line="189"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200" w:type="dxa"/>
            <w:vAlign w:val="bottom"/>
          </w:tcPr>
          <w:p>
            <w:pPr>
              <w:jc w:val="center"/>
              <w:ind w:right="2621"/>
              <w:spacing w:after="0"/>
              <w:rPr>
                <w:sz w:val="20"/>
                <w:szCs w:val="20"/>
                <w:color w:val="auto"/>
              </w:rPr>
            </w:pPr>
            <w:r>
              <w:rPr>
                <w:rFonts w:ascii="Arial" w:cs="Arial" w:eastAsia="Arial" w:hAnsi="Arial"/>
                <w:sz w:val="18"/>
                <w:szCs w:val="18"/>
                <w:b w:val="1"/>
                <w:bCs w:val="1"/>
                <w:color w:val="auto"/>
                <w:w w:val="88"/>
              </w:rPr>
              <w:t>Delaware</w:t>
            </w:r>
          </w:p>
        </w:tc>
        <w:tc>
          <w:tcPr>
            <w:tcW w:w="2280" w:type="dxa"/>
            <w:vAlign w:val="bottom"/>
          </w:tcPr>
          <w:p>
            <w:pPr>
              <w:jc w:val="right"/>
              <w:ind w:right="522"/>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6200" w:type="dxa"/>
            <w:vAlign w:val="bottom"/>
          </w:tcPr>
          <w:p>
            <w:pPr>
              <w:jc w:val="center"/>
              <w:ind w:right="2641"/>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6200" w:type="dxa"/>
            <w:vAlign w:val="bottom"/>
          </w:tcPr>
          <w:p>
            <w:pPr>
              <w:jc w:val="center"/>
              <w:ind w:right="2681"/>
              <w:spacing w:after="0"/>
              <w:rPr>
                <w:sz w:val="20"/>
                <w:szCs w:val="20"/>
                <w:color w:val="auto"/>
              </w:rPr>
            </w:pPr>
            <w:r>
              <w:rPr>
                <w:rFonts w:ascii="Arial" w:cs="Arial" w:eastAsia="Arial" w:hAnsi="Arial"/>
                <w:sz w:val="18"/>
                <w:szCs w:val="18"/>
                <w:b w:val="1"/>
                <w:bCs w:val="1"/>
                <w:color w:val="auto"/>
                <w:w w:val="89"/>
              </w:rPr>
              <w:t>4201 Woodland Rd</w:t>
            </w:r>
          </w:p>
        </w:tc>
        <w:tc>
          <w:tcPr>
            <w:tcW w:w="2280" w:type="dxa"/>
            <w:vAlign w:val="bottom"/>
          </w:tcPr>
          <w:p>
            <w:pPr>
              <w:spacing w:after="0"/>
              <w:rPr>
                <w:sz w:val="24"/>
                <w:szCs w:val="24"/>
                <w:color w:val="auto"/>
              </w:rPr>
            </w:pPr>
          </w:p>
        </w:tc>
      </w:tr>
      <w:tr>
        <w:trPr>
          <w:trHeight w:val="218"/>
        </w:trPr>
        <w:tc>
          <w:tcPr>
            <w:tcW w:w="6200" w:type="dxa"/>
            <w:vAlign w:val="bottom"/>
          </w:tcPr>
          <w:p>
            <w:pPr>
              <w:jc w:val="center"/>
              <w:ind w:right="2621"/>
              <w:spacing w:after="0"/>
              <w:rPr>
                <w:sz w:val="20"/>
                <w:szCs w:val="20"/>
                <w:color w:val="auto"/>
              </w:rPr>
            </w:pPr>
            <w:r>
              <w:rPr>
                <w:rFonts w:ascii="Arial" w:cs="Arial" w:eastAsia="Arial" w:hAnsi="Arial"/>
                <w:sz w:val="18"/>
                <w:szCs w:val="18"/>
                <w:b w:val="1"/>
                <w:bCs w:val="1"/>
                <w:color w:val="auto"/>
                <w:w w:val="88"/>
              </w:rPr>
              <w:t>Circle Pines, Minnesota</w:t>
            </w:r>
          </w:p>
        </w:tc>
        <w:tc>
          <w:tcPr>
            <w:tcW w:w="2280" w:type="dxa"/>
            <w:vAlign w:val="bottom"/>
          </w:tcPr>
          <w:p>
            <w:pPr>
              <w:jc w:val="right"/>
              <w:ind w:right="742"/>
              <w:spacing w:after="0"/>
              <w:rPr>
                <w:sz w:val="20"/>
                <w:szCs w:val="20"/>
                <w:color w:val="auto"/>
              </w:rPr>
            </w:pPr>
            <w:r>
              <w:rPr>
                <w:rFonts w:ascii="Arial" w:cs="Arial" w:eastAsia="Arial" w:hAnsi="Arial"/>
                <w:sz w:val="18"/>
                <w:szCs w:val="18"/>
                <w:b w:val="1"/>
                <w:bCs w:val="1"/>
                <w:color w:val="auto"/>
              </w:rPr>
              <w:t>55014</w:t>
            </w:r>
          </w:p>
        </w:tc>
      </w:tr>
      <w:tr>
        <w:trPr>
          <w:trHeight w:val="174"/>
        </w:trPr>
        <w:tc>
          <w:tcPr>
            <w:tcW w:w="6200" w:type="dxa"/>
            <w:vAlign w:val="bottom"/>
          </w:tcPr>
          <w:p>
            <w:pPr>
              <w:jc w:val="center"/>
              <w:ind w:right="26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406"/>
        </w:trPr>
        <w:tc>
          <w:tcPr>
            <w:tcW w:w="6200" w:type="dxa"/>
            <w:vAlign w:val="bottom"/>
          </w:tcPr>
          <w:p>
            <w:pPr>
              <w:jc w:val="right"/>
              <w:ind w:right="981"/>
              <w:spacing w:after="0"/>
              <w:rPr>
                <w:sz w:val="20"/>
                <w:szCs w:val="20"/>
                <w:color w:val="auto"/>
              </w:rPr>
            </w:pPr>
            <w:r>
              <w:rPr>
                <w:rFonts w:ascii="Arial" w:cs="Arial" w:eastAsia="Arial" w:hAnsi="Arial"/>
                <w:sz w:val="18"/>
                <w:szCs w:val="18"/>
                <w:b w:val="1"/>
                <w:bCs w:val="1"/>
                <w:color w:val="auto"/>
              </w:rPr>
              <w:t>(763) 225-6600</w:t>
            </w:r>
          </w:p>
        </w:tc>
        <w:tc>
          <w:tcPr>
            <w:tcW w:w="2280" w:type="dxa"/>
            <w:vAlign w:val="bottom"/>
          </w:tcPr>
          <w:p>
            <w:pPr>
              <w:spacing w:after="0"/>
              <w:rPr>
                <w:sz w:val="24"/>
                <w:szCs w:val="24"/>
                <w:color w:val="auto"/>
              </w:rPr>
            </w:pPr>
          </w:p>
        </w:tc>
      </w:tr>
      <w:tr>
        <w:trPr>
          <w:trHeight w:val="174"/>
        </w:trPr>
        <w:tc>
          <w:tcPr>
            <w:tcW w:w="6200" w:type="dxa"/>
            <w:vAlign w:val="bottom"/>
          </w:tcPr>
          <w:p>
            <w:pPr>
              <w:jc w:val="center"/>
              <w:ind w:left="2921"/>
              <w:spacing w:after="0"/>
              <w:rPr>
                <w:sz w:val="20"/>
                <w:szCs w:val="20"/>
                <w:color w:val="auto"/>
              </w:rPr>
            </w:pPr>
            <w:r>
              <w:rPr>
                <w:rFonts w:ascii="Arial" w:cs="Arial" w:eastAsia="Arial" w:hAnsi="Arial"/>
                <w:sz w:val="14"/>
                <w:szCs w:val="14"/>
                <w:b w:val="1"/>
                <w:bCs w:val="1"/>
                <w:color w:val="auto"/>
                <w:w w:val="85"/>
              </w:rPr>
              <w:t>(Issuer’s telephone number, including area code)</w:t>
            </w:r>
          </w:p>
        </w:tc>
        <w:tc>
          <w:tcPr>
            <w:tcW w:w="2280" w:type="dxa"/>
            <w:vAlign w:val="bottom"/>
          </w:tcPr>
          <w:p>
            <w:pPr>
              <w:spacing w:after="0"/>
              <w:rPr>
                <w:sz w:val="15"/>
                <w:szCs w:val="15"/>
                <w:color w:val="auto"/>
              </w:rPr>
            </w:pPr>
          </w:p>
        </w:tc>
      </w:tr>
    </w:tbl>
    <w:p>
      <w:pPr>
        <w:spacing w:after="0" w:line="195" w:lineRule="exact"/>
        <w:rPr>
          <w:sz w:val="24"/>
          <w:szCs w:val="24"/>
          <w:color w:val="auto"/>
        </w:rPr>
      </w:pPr>
    </w:p>
    <w:p>
      <w:pPr>
        <w:ind w:right="120"/>
        <w:spacing w:after="0" w:line="33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6" w:lineRule="exact"/>
        <w:rPr>
          <w:sz w:val="24"/>
          <w:szCs w:val="24"/>
          <w:color w:val="auto"/>
        </w:rPr>
      </w:pPr>
    </w:p>
    <w:p>
      <w:pPr>
        <w:ind w:left="4860"/>
        <w:spacing w:after="0"/>
        <w:tabs>
          <w:tab w:leader="none" w:pos="57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ind w:left="4860"/>
        <w:spacing w:after="0"/>
        <w:tabs>
          <w:tab w:leader="none" w:pos="57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1100" w:type="dxa"/>
            <w:vAlign w:val="bottom"/>
          </w:tcPr>
          <w:p>
            <w:pPr>
              <w:spacing w:after="0"/>
              <w:rPr>
                <w:sz w:val="15"/>
                <w:szCs w:val="15"/>
                <w:color w:val="auto"/>
              </w:rPr>
            </w:pP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as of January 11, 2007</w:t>
            </w:r>
          </w:p>
        </w:tc>
      </w:tr>
      <w:tr>
        <w:trPr>
          <w:trHeight w:val="95"/>
        </w:trPr>
        <w:tc>
          <w:tcPr>
            <w:tcW w:w="51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r>
      <w:tr>
        <w:trPr>
          <w:trHeight w:val="316"/>
        </w:trPr>
        <w:tc>
          <w:tcPr>
            <w:tcW w:w="5180" w:type="dxa"/>
            <w:vAlign w:val="bottom"/>
          </w:tcPr>
          <w:p>
            <w:pPr>
              <w:jc w:val="center"/>
              <w:spacing w:after="0"/>
              <w:rPr>
                <w:sz w:val="20"/>
                <w:szCs w:val="20"/>
                <w:color w:val="auto"/>
              </w:rPr>
            </w:pPr>
            <w:r>
              <w:rPr>
                <w:rFonts w:ascii="Arial" w:cs="Arial" w:eastAsia="Arial" w:hAnsi="Arial"/>
                <w:sz w:val="18"/>
                <w:szCs w:val="18"/>
                <w:color w:val="auto"/>
                <w:w w:val="88"/>
              </w:rPr>
              <w:t>Common Stock, $0.02 par value</w:t>
            </w:r>
          </w:p>
        </w:tc>
        <w:tc>
          <w:tcPr>
            <w:tcW w:w="6260" w:type="dxa"/>
            <w:vAlign w:val="bottom"/>
            <w:gridSpan w:val="2"/>
          </w:tcPr>
          <w:p>
            <w:pPr>
              <w:jc w:val="right"/>
              <w:ind w:right="2172"/>
              <w:spacing w:after="0"/>
              <w:rPr>
                <w:sz w:val="20"/>
                <w:szCs w:val="20"/>
                <w:color w:val="auto"/>
              </w:rPr>
            </w:pPr>
            <w:r>
              <w:rPr>
                <w:rFonts w:ascii="Arial" w:cs="Arial" w:eastAsia="Arial" w:hAnsi="Arial"/>
                <w:sz w:val="18"/>
                <w:szCs w:val="18"/>
                <w:color w:val="auto"/>
              </w:rPr>
              <w:t>3,656,238</w:t>
            </w:r>
          </w:p>
        </w:tc>
      </w:tr>
    </w:tbl>
    <w:p>
      <w:pPr>
        <w:spacing w:after="0" w:line="21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Transitional Small Business Disclosure Format (check one):</w:t>
      </w:r>
    </w:p>
    <w:p>
      <w:pPr>
        <w:spacing w:after="0" w:line="252" w:lineRule="exact"/>
        <w:rPr>
          <w:sz w:val="24"/>
          <w:szCs w:val="24"/>
          <w:color w:val="auto"/>
        </w:rPr>
      </w:pPr>
    </w:p>
    <w:p>
      <w:pPr>
        <w:ind w:left="4860"/>
        <w:spacing w:after="0"/>
        <w:tabs>
          <w:tab w:leader="none" w:pos="57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10-QSB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November 30, 2006</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Page</w:t>
            </w:r>
          </w:p>
        </w:tc>
      </w:tr>
      <w:tr>
        <w:trPr>
          <w:trHeight w:val="95"/>
        </w:trPr>
        <w:tc>
          <w:tcPr>
            <w:tcW w:w="14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77"/>
        </w:trPr>
        <w:tc>
          <w:tcPr>
            <w:tcW w:w="1032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8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222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8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45"/>
        </w:trPr>
        <w:tc>
          <w:tcPr>
            <w:tcW w:w="820" w:type="dxa"/>
            <w:vAlign w:val="bottom"/>
          </w:tcPr>
          <w:p>
            <w:pPr>
              <w:spacing w:after="0"/>
              <w:rPr>
                <w:sz w:val="24"/>
                <w:szCs w:val="24"/>
                <w:color w:val="auto"/>
              </w:rPr>
            </w:pPr>
          </w:p>
        </w:tc>
        <w:tc>
          <w:tcPr>
            <w:tcW w:w="69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as of November 30, 2006 (unaudited) and August 31, 2006 (audited)</w:t>
              </w:r>
            </w:hyperlink>
          </w:p>
        </w:tc>
        <w:tc>
          <w:tcPr>
            <w:tcW w:w="2600" w:type="dxa"/>
            <w:vAlign w:val="bottom"/>
            <w:gridSpan w:val="4"/>
          </w:tcPr>
          <w:p>
            <w:pPr>
              <w:spacing w:after="0"/>
              <w:rPr>
                <w:sz w:val="24"/>
                <w:szCs w:val="24"/>
                <w:color w:val="auto"/>
              </w:rPr>
            </w:pPr>
          </w:p>
        </w:tc>
        <w:tc>
          <w:tcPr>
            <w:tcW w:w="1120" w:type="dxa"/>
            <w:vAlign w:val="bottom"/>
            <w:gridSpan w:val="2"/>
          </w:tcPr>
          <w:p>
            <w:pPr>
              <w:jc w:val="center"/>
              <w:ind w:left="432"/>
              <w:spacing w:after="0"/>
              <w:rPr>
                <w:sz w:val="20"/>
                <w:szCs w:val="20"/>
                <w:color w:val="auto"/>
              </w:rPr>
            </w:pPr>
            <w:r>
              <w:rPr>
                <w:rFonts w:ascii="Arial" w:cs="Arial" w:eastAsia="Arial" w:hAnsi="Arial"/>
                <w:sz w:val="18"/>
                <w:szCs w:val="18"/>
                <w:color w:val="auto"/>
                <w:w w:val="79"/>
              </w:rPr>
              <w:t>3</w:t>
            </w:r>
          </w:p>
        </w:tc>
      </w:tr>
      <w:tr>
        <w:trPr>
          <w:trHeight w:val="345"/>
        </w:trPr>
        <w:tc>
          <w:tcPr>
            <w:tcW w:w="82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Months Ended November 30, 2006 and 2005</w:t>
              </w:r>
            </w:hyperlink>
          </w:p>
        </w:tc>
        <w:tc>
          <w:tcPr>
            <w:tcW w:w="1120" w:type="dxa"/>
            <w:vAlign w:val="bottom"/>
            <w:gridSpan w:val="2"/>
          </w:tcPr>
          <w:p>
            <w:pPr>
              <w:jc w:val="center"/>
              <w:ind w:left="432"/>
              <w:spacing w:after="0"/>
              <w:rPr>
                <w:sz w:val="20"/>
                <w:szCs w:val="20"/>
                <w:color w:val="auto"/>
              </w:rPr>
            </w:pPr>
            <w:r>
              <w:rPr>
                <w:rFonts w:ascii="Arial" w:cs="Arial" w:eastAsia="Arial" w:hAnsi="Arial"/>
                <w:sz w:val="18"/>
                <w:szCs w:val="18"/>
                <w:color w:val="auto"/>
                <w:w w:val="79"/>
              </w:rPr>
              <w:t>4</w:t>
            </w:r>
          </w:p>
        </w:tc>
      </w:tr>
      <w:tr>
        <w:trPr>
          <w:trHeight w:val="20"/>
        </w:trPr>
        <w:tc>
          <w:tcPr>
            <w:tcW w:w="8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45"/>
        </w:trPr>
        <w:tc>
          <w:tcPr>
            <w:tcW w:w="820" w:type="dxa"/>
            <w:vAlign w:val="bottom"/>
          </w:tcPr>
          <w:p>
            <w:pPr>
              <w:spacing w:after="0"/>
              <w:rPr>
                <w:sz w:val="24"/>
                <w:szCs w:val="24"/>
                <w:color w:val="auto"/>
              </w:rPr>
            </w:pPr>
          </w:p>
        </w:tc>
        <w:tc>
          <w:tcPr>
            <w:tcW w:w="95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Three Months ended November 30, 2006 and 2005</w:t>
              </w:r>
            </w:hyperlink>
          </w:p>
        </w:tc>
        <w:tc>
          <w:tcPr>
            <w:tcW w:w="1120" w:type="dxa"/>
            <w:vAlign w:val="bottom"/>
            <w:gridSpan w:val="2"/>
          </w:tcPr>
          <w:p>
            <w:pPr>
              <w:jc w:val="center"/>
              <w:ind w:left="432"/>
              <w:spacing w:after="0"/>
              <w:rPr>
                <w:sz w:val="20"/>
                <w:szCs w:val="20"/>
                <w:color w:val="auto"/>
              </w:rPr>
            </w:pPr>
            <w:r>
              <w:rPr>
                <w:rFonts w:ascii="Arial" w:cs="Arial" w:eastAsia="Arial" w:hAnsi="Arial"/>
                <w:sz w:val="18"/>
                <w:szCs w:val="18"/>
                <w:color w:val="auto"/>
                <w:w w:val="79"/>
              </w:rPr>
              <w:t>5</w:t>
            </w:r>
          </w:p>
        </w:tc>
      </w:tr>
      <w:tr>
        <w:trPr>
          <w:trHeight w:val="345"/>
        </w:trPr>
        <w:tc>
          <w:tcPr>
            <w:tcW w:w="82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4700" w:type="dxa"/>
            <w:vAlign w:val="bottom"/>
            <w:tcBorders>
              <w:top w:val="single" w:sz="8" w:color="0000EE"/>
            </w:tcBorders>
            <w:gridSpan w:val="6"/>
          </w:tcPr>
          <w:p>
            <w:pPr>
              <w:spacing w:after="0"/>
              <w:rPr>
                <w:sz w:val="24"/>
                <w:szCs w:val="24"/>
                <w:color w:val="auto"/>
              </w:rPr>
            </w:pPr>
          </w:p>
        </w:tc>
        <w:tc>
          <w:tcPr>
            <w:tcW w:w="1720" w:type="dxa"/>
            <w:vAlign w:val="bottom"/>
            <w:gridSpan w:val="2"/>
          </w:tcPr>
          <w:p>
            <w:pPr>
              <w:spacing w:after="0"/>
              <w:rPr>
                <w:sz w:val="24"/>
                <w:szCs w:val="24"/>
                <w:color w:val="auto"/>
              </w:rPr>
            </w:pPr>
          </w:p>
        </w:tc>
        <w:tc>
          <w:tcPr>
            <w:tcW w:w="112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6-14</w:t>
            </w:r>
          </w:p>
        </w:tc>
      </w:tr>
      <w:tr>
        <w:trPr>
          <w:trHeight w:val="345"/>
        </w:trPr>
        <w:tc>
          <w:tcPr>
            <w:tcW w:w="1032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5">
              <w:r>
                <w:rPr>
                  <w:rFonts w:ascii="Arial" w:cs="Arial" w:eastAsia="Arial" w:hAnsi="Arial"/>
                  <w:sz w:val="18"/>
                  <w:szCs w:val="18"/>
                  <w:color w:val="0000EE"/>
                </w:rPr>
                <w:t>Management’s Discussion and Analysis or Plan of Operation</w:t>
              </w:r>
            </w:hyperlink>
          </w:p>
        </w:tc>
        <w:tc>
          <w:tcPr>
            <w:tcW w:w="1120" w:type="dxa"/>
            <w:vAlign w:val="bottom"/>
            <w:gridSpan w:val="2"/>
          </w:tcPr>
          <w:p>
            <w:pPr>
              <w:jc w:val="center"/>
              <w:ind w:left="432"/>
              <w:spacing w:after="0"/>
              <w:rPr>
                <w:sz w:val="20"/>
                <w:szCs w:val="20"/>
                <w:color w:val="auto"/>
              </w:rPr>
            </w:pPr>
            <w:r>
              <w:rPr>
                <w:rFonts w:ascii="Arial" w:cs="Arial" w:eastAsia="Arial" w:hAnsi="Arial"/>
                <w:sz w:val="18"/>
                <w:szCs w:val="18"/>
                <w:color w:val="auto"/>
                <w:w w:val="86"/>
              </w:rPr>
              <w:t>15-27</w:t>
            </w:r>
          </w:p>
        </w:tc>
      </w:tr>
      <w:tr>
        <w:trPr>
          <w:trHeight w:val="20"/>
        </w:trPr>
        <w:tc>
          <w:tcPr>
            <w:tcW w:w="8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45"/>
        </w:trPr>
        <w:tc>
          <w:tcPr>
            <w:tcW w:w="1032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8">
              <w:r>
                <w:rPr>
                  <w:rFonts w:ascii="Arial" w:cs="Arial" w:eastAsia="Arial" w:hAnsi="Arial"/>
                  <w:sz w:val="18"/>
                  <w:szCs w:val="18"/>
                  <w:color w:val="0000EE"/>
                </w:rPr>
                <w:t>Controls and Procedures</w:t>
              </w:r>
            </w:hyperlink>
          </w:p>
        </w:tc>
        <w:tc>
          <w:tcPr>
            <w:tcW w:w="1120" w:type="dxa"/>
            <w:vAlign w:val="bottom"/>
            <w:gridSpan w:val="2"/>
          </w:tcPr>
          <w:p>
            <w:pPr>
              <w:jc w:val="center"/>
              <w:ind w:left="432"/>
              <w:spacing w:after="0"/>
              <w:rPr>
                <w:sz w:val="20"/>
                <w:szCs w:val="20"/>
                <w:color w:val="auto"/>
              </w:rPr>
            </w:pPr>
            <w:r>
              <w:rPr>
                <w:rFonts w:ascii="Arial" w:cs="Arial" w:eastAsia="Arial" w:hAnsi="Arial"/>
                <w:sz w:val="18"/>
                <w:szCs w:val="18"/>
                <w:color w:val="auto"/>
                <w:w w:val="86"/>
              </w:rPr>
              <w:t>28-30</w:t>
            </w:r>
          </w:p>
        </w:tc>
      </w:tr>
      <w:tr>
        <w:trPr>
          <w:trHeight w:val="20"/>
        </w:trPr>
        <w:tc>
          <w:tcPr>
            <w:tcW w:w="8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27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56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8200" w:type="dxa"/>
            <w:vAlign w:val="bottom"/>
            <w:gridSpan w:val="13"/>
          </w:tcPr>
          <w:p>
            <w:pPr>
              <w:spacing w:after="0"/>
              <w:rPr>
                <w:sz w:val="24"/>
                <w:szCs w:val="24"/>
                <w:color w:val="auto"/>
              </w:rPr>
            </w:pPr>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30</w:t>
            </w:r>
          </w:p>
        </w:tc>
      </w:tr>
      <w:tr>
        <w:trPr>
          <w:trHeight w:val="345"/>
        </w:trPr>
        <w:tc>
          <w:tcPr>
            <w:tcW w:w="1032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0">
              <w:r>
                <w:rPr>
                  <w:rFonts w:ascii="Arial" w:cs="Arial" w:eastAsia="Arial" w:hAnsi="Arial"/>
                  <w:sz w:val="18"/>
                  <w:szCs w:val="18"/>
                  <w:color w:val="0000EE"/>
                </w:rPr>
                <w:t>Unregistered Sales of Equity Securities, Use of Proceeds and Small Business Issuer Purchases of Equity Securities</w:t>
              </w:r>
            </w:hyperlink>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30</w:t>
            </w: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tcBorders>
              <w:top w:val="single" w:sz="8" w:color="0000EE"/>
            </w:tcBorders>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1440" w:type="dxa"/>
            <w:vAlign w:val="bottom"/>
          </w:tcPr>
          <w:p>
            <w:pPr>
              <w:spacing w:after="0"/>
              <w:rPr>
                <w:sz w:val="24"/>
                <w:szCs w:val="24"/>
                <w:color w:val="auto"/>
              </w:rPr>
            </w:pPr>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30</w:t>
            </w: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220" w:type="dxa"/>
            <w:vAlign w:val="bottom"/>
            <w:gridSpan w:val="14"/>
          </w:tcPr>
          <w:p>
            <w:pPr>
              <w:spacing w:after="0"/>
              <w:rPr>
                <w:sz w:val="24"/>
                <w:szCs w:val="24"/>
                <w:color w:val="auto"/>
              </w:rPr>
            </w:pPr>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31</w:t>
            </w:r>
          </w:p>
        </w:tc>
      </w:tr>
      <w:tr>
        <w:trPr>
          <w:trHeight w:val="20"/>
        </w:trPr>
        <w:tc>
          <w:tcPr>
            <w:tcW w:w="8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60" w:type="dxa"/>
            <w:vAlign w:val="bottom"/>
            <w:gridSpan w:val="1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45"/>
        </w:trPr>
        <w:tc>
          <w:tcPr>
            <w:tcW w:w="156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32">
              <w:r>
                <w:rPr>
                  <w:rFonts w:ascii="Arial" w:cs="Arial" w:eastAsia="Arial" w:hAnsi="Arial"/>
                  <w:sz w:val="18"/>
                  <w:szCs w:val="18"/>
                  <w:b w:val="1"/>
                  <w:bCs w:val="1"/>
                  <w:color w:val="0000EE"/>
                  <w:w w:val="95"/>
                </w:rPr>
                <w:t>SIGNATURE PAGE</w:t>
              </w:r>
            </w:hyperlink>
          </w:p>
        </w:tc>
        <w:tc>
          <w:tcPr>
            <w:tcW w:w="8760" w:type="dxa"/>
            <w:vAlign w:val="bottom"/>
            <w:gridSpan w:val="15"/>
          </w:tcPr>
          <w:p>
            <w:pPr>
              <w:spacing w:after="0"/>
              <w:rPr>
                <w:sz w:val="24"/>
                <w:szCs w:val="24"/>
                <w:color w:val="auto"/>
              </w:rPr>
            </w:pPr>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32</w:t>
            </w:r>
          </w:p>
        </w:tc>
      </w:tr>
      <w:tr>
        <w:trPr>
          <w:trHeight w:val="345"/>
        </w:trPr>
        <w:tc>
          <w:tcPr>
            <w:tcW w:w="1032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33</w:t>
            </w:r>
          </w:p>
        </w:tc>
      </w:tr>
      <w:tr>
        <w:trPr>
          <w:trHeight w:val="287"/>
        </w:trPr>
        <w:tc>
          <w:tcPr>
            <w:tcW w:w="8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i w:val="1"/>
          <w:iCs w:val="1"/>
          <w:color w:val="auto"/>
        </w:rPr>
        <w:t>This Quarterly Report on Form 10-QSB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or Plan of Operation – Forward-Looking Statements.”</w:t>
      </w:r>
    </w:p>
    <w:p>
      <w:pPr>
        <w:spacing w:after="0" w:line="16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8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ind w:right="3980"/>
        <w:spacing w:after="0" w:line="339" w:lineRule="auto"/>
        <w:rPr>
          <w:sz w:val="20"/>
          <w:szCs w:val="20"/>
          <w:color w:val="auto"/>
        </w:rPr>
      </w:pPr>
      <w:r>
        <w:rPr>
          <w:rFonts w:ascii="Arial" w:cs="Arial" w:eastAsia="Arial" w:hAnsi="Arial"/>
          <w:sz w:val="16"/>
          <w:szCs w:val="16"/>
          <w:b w:val="1"/>
          <w:bCs w:val="1"/>
          <w:color w:val="auto"/>
        </w:rPr>
        <w:t>NORTHERN TECHNOLOGIES INTERNATIONAL CORPORATION AND SUBSIDIARIES – CONSOLIDATED BALANCE SHEETS as of November 30, 2006 (Unaudited) and August 31, 2006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155" w:type="dxa"/>
            <w:vAlign w:val="bottom"/>
          </w:tcPr>
          <w:p>
            <w:pPr>
              <w:jc w:val="right"/>
              <w:ind w:right="193"/>
              <w:spacing w:after="0"/>
              <w:rPr>
                <w:sz w:val="20"/>
                <w:szCs w:val="20"/>
                <w:color w:val="auto"/>
              </w:rPr>
            </w:pPr>
            <w:r>
              <w:rPr>
                <w:rFonts w:ascii="Arial" w:cs="Arial" w:eastAsia="Arial" w:hAnsi="Arial"/>
                <w:sz w:val="14"/>
                <w:szCs w:val="14"/>
                <w:b w:val="1"/>
                <w:bCs w:val="1"/>
                <w:color w:val="auto"/>
                <w:w w:val="93"/>
              </w:rPr>
              <w:t>November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507,017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Trade excluding corporate joint ventures, less allowance for doubtful accounts of $10,311 and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$10,000 at November 30, 2006 and August 31, 2006</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2,155,136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Trade corporate joint ventures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522,869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Technical and other services, corporate joint ventures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303,206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367,503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6,780,511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PROPERTY AND EQUIPMENT,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3,793,090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Investments in corporate joint ventures: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chemical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11,408,360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non-chemical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431,954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Notes receivable and foreign deposit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497,179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 from employee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Industrial patents and trademarks,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986,243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996,592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433,915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14,739,905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25,313,506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Bank overdrafts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Borrowings made on line of credit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1,253,000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Current portion of notes payable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1,997,620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Payroll and related benefits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708,356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joint venture royalties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187,697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current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NOTES PAYABLE, NET OF CURRENT PORTION</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1,231,887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1,240,848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Arial" w:cs="Arial" w:eastAsia="Arial" w:hAnsi="Arial"/>
                <w:sz w:val="18"/>
                <w:szCs w:val="18"/>
                <w:color w:val="auto"/>
              </w:rPr>
              <w:t>3,656,238 and 3,618,993, respectively</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73,125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Retained earnings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13,885,798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12,895,574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19,690,550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25,313,506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-3648075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-3648075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-3648075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-3648075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-3648075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-3648075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4" w:right="239" w:bottom="572"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4" w:right="239" w:bottom="572"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NOVEMBER 30, 2006 AND NOVEMBER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November 30,</w:t>
            </w:r>
          </w:p>
        </w:tc>
        <w:tc>
          <w:tcPr>
            <w:tcW w:w="14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4,617,374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4,403,630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2,945,055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822,883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Lab and technical support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NORTH AMERICAN OPERATING (LOSS) INCOME</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(4,643)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CORPORATE JOINT VENTURES AND HOLDING COMPANIES: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Equity in income (loss) of industrial non-chemical corporate joint ventures and holding companies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Fees for technical support and other services provided to corporate joint ventures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1,132,841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Expenses incurred in support of corporate joint ventures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(1,316,249)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(1,165,584)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(42,881)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(9,586)</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3,624,314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3,589,993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3,668,095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2"/>
          </w:tcPr>
          <w:p>
            <w:pPr>
              <w:jc w:val="right"/>
              <w:ind w:right="271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-1680845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-1680845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-1680845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-1680845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-1680845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-1680845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-1381125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-1381125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-1381125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-1381125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-1381125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-1381125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-943610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-943610</wp:posOffset>
            </wp:positionV>
            <wp:extent cx="169354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9354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-643255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-643255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-643255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-643255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-643255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-643255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NOVEMBER 30, 2006 and NOVEMBER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November 30,</w:t>
            </w:r>
          </w:p>
        </w:tc>
        <w:tc>
          <w:tcPr>
            <w:tcW w:w="16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990,224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633,983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Expensing of fair value of stock options vested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assets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(724,495)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Minority interest expense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loss from corporate joint ventures: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chemical</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(592,990)</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(744,447)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non-chemical</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Deferred joint venture royalties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Trade excluding corporate joint ventures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(382,568)</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Trade corporate joint ventures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(133,853)</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note receivable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(265,279)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Investment in industrial chemical joint ventures</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(81,522)</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Loans made</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notes receivable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(562,845)</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assets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(58,716)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Additions to industrial patents</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(29,864)</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(79,814)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overdrafts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(299,109)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borrowings made on line of credit (repayments)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note payable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(786,249)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299,117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ind w:right="4200"/>
        <w:spacing w:after="0" w:line="275" w:lineRule="auto"/>
        <w:rPr>
          <w:sz w:val="20"/>
          <w:szCs w:val="20"/>
          <w:color w:val="auto"/>
        </w:rPr>
      </w:pPr>
      <w:r>
        <w:rPr>
          <w:rFonts w:ascii="Arial" w:cs="Arial" w:eastAsia="Arial" w:hAnsi="Arial"/>
          <w:sz w:val="18"/>
          <w:szCs w:val="18"/>
          <w:b w:val="1"/>
          <w:bCs w:val="1"/>
          <w:color w:val="auto"/>
        </w:rPr>
        <w:t>NORTHERN TECHNOLOGIES INTERNATIONAL CORPORATION AND SUBSIDIARIES - NOTES TO CONSOLIDATED FINANCIAL STATEMENTS (Unaudited)</w:t>
      </w:r>
    </w:p>
    <w:p>
      <w:pPr>
        <w:spacing w:after="0" w:line="174"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2006 and the results of their operations for the three months ended November 30, 2006 and November 30, 2005 and their cash flows for the three months ended November 30, 2006 and November 30, 2005, in conformity with accounting principles generally accepted in the United States of America.</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2006 and with the “Management’s Discussion and Analysis or Plan of Operation” section appearing in this quarterly report. Operating results for the three months ended November 30, 2006 are not necessarily indicative of the results that may be expected for the fiscal year ending August 31, 2007.</w:t>
      </w:r>
    </w:p>
    <w:p>
      <w:pPr>
        <w:spacing w:after="0" w:line="19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In September 2006, the Securities and Exchange Commission (SEC) issued Staff Accounting Bulletin 108, “Considering the Effects on Prior Year Misstatements when Quantifying Misstatements in Current Year Financial Statements,” (“SAB 108”). SAB 108 requires registrants to quantify errors using both the income statement method (i.e. iron curtain method) and the rollover method and requires adjustment if either method indicates a material error. If a correction in the current year relating to prior year errors is material to the current year, then the prior year financial information needs to be corrected. A correction to the prior year results that are not material to those years, would not require a “restatement process” where prior financials would be amended. SAB 108 is effective for fiscal years ending after November 15, 2006. The Company does not anticipate that SAB 108 will have a material effect on its consolidated financial statements.</w:t>
      </w:r>
    </w:p>
    <w:p>
      <w:pPr>
        <w:spacing w:after="0" w:line="153"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effect of the Statement is to require entities to measure the cost of employee services received in exchange for stock options based on the grant-date fair value of the award, and to recognize the cost over the period the employee is required to provide services for the award. Compensation cost under SFAS 123(R) is recognized ratably using the straight-line attribution method over the expected vesting period, which is considered to be the requisite service period. In addition, pursuant to SFAS 123(R), we are required to estimate the amount of expected forfeitures when calculating the compensation costs, instead of accounting for forfeitures as incurred, which was our previous method. All of our options previously awarded were classified as equity instruments and continue to maintain their equity classification under SFAS 123(R). FAS 123(R) permits entities to use any option-pricing model that meets the fair value objective in the Statement. The Company implemented FAS 123(R) on September 1, 2006, using the modified prospective transition method.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t>During the three months ended November 30, 2006, the Company granted options to purchase 14,000 shares of its common stock. The fair value of option grants is determined at date of grant, using the Black-Scholes option pricing model with the assumptions listed below. The volatility factor used in the Black-Scholes option pricing model is based on historical stock price fluctuations and risk free interest rate are based on U.S. treasury rates appropriate for expected term. Based on these valuations, the Company recognized compensation expense of $44,793 with an effect on earnings per share of $0.01 for the three months ended November 30, 2006, related to the options that vested during that quarter. The Company estimates that there will be no additional compensation expense relating to these option grants for the remainder of fiscal year 2007. As of November 30, 2006, the total compensation cost for nonvested options not yet recognized in the Company’s statements of operations was $45,813, net of estimated forfeitures. $38,874 and $6,939 are expected to be recognized during the three months ended November 30, 2007 and 2008, respectively. Future option grants will impact the compensation expense recognized.</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fair value of the options granted during the three months ended November 30, 2006 and 2005 was estimated using the Black-Scholes option pricing model with the following weighted average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November 30,</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1200" w:type="dxa"/>
            <w:vAlign w:val="bottom"/>
          </w:tcPr>
          <w:p>
            <w:pPr>
              <w:jc w:val="right"/>
              <w:ind w:right="39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years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Dividend yield and expected volatility are estimated using historical amounts that are anticipated to be consistent with current values. Expected life of option is based on the life of the option agreements.</w:t>
      </w:r>
    </w:p>
    <w:p>
      <w:pPr>
        <w:spacing w:after="0" w:line="18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Had compensation cost for stock options been determined based on the fair value methodology prescribed by SFAS 123, the Company’s net income and net income per common share for the three months ended November 30, 2005 would have been reduced to the pro forma amounts indicated below:</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633,985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9"/>
              </w:rPr>
              <w:t>Basic net income per common share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40" w:type="dxa"/>
            <w:vAlign w:val="bottom"/>
          </w:tcPr>
          <w:p>
            <w:pPr>
              <w:jc w:val="right"/>
              <w:ind w:right="205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90" w:right="279" w:bottom="1440" w:gutter="0" w:footer="0" w:header="0"/>
        </w:sectPr>
      </w:pPr>
    </w:p>
    <w:bookmarkStart w:id="7" w:name="page8"/>
    <w:bookmarkEnd w:id="7"/>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November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247,974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Finished goods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1,109,855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1,357,829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2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PROPERTY AND EQUIPMENT</w:t>
            </w:r>
          </w:p>
        </w:tc>
        <w:tc>
          <w:tcPr>
            <w:tcW w:w="2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360" w:type="dxa"/>
            <w:vAlign w:val="bottom"/>
            <w:vMerge w:val="continue"/>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November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2,989,585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3,420,596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4,401,101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(608,011)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(1,043,144)</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3,793,090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-2327275</wp:posOffset>
            </wp:positionV>
            <wp:extent cx="165036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5036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recognized a gain on the sale of land, building and equipment that previously served as its corporate headquarters of $724,495 during the three months ended November 30, 2006. This was a one-time sale and no additional gain is anticipated to be recognized relating to the building in the future and NTIC does not have any continued interest in the property sold.</w:t>
      </w:r>
    </w:p>
    <w:p>
      <w:pPr>
        <w:spacing w:after="0" w:line="188"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November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1,308,707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(322,464)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(282,253)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986,243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and trademark costs are amortized over seven years once a patent or trademark application is filed and approved. Amortization expense was $40,213 and $40,566, for the three months ended November 30, 2006 and 2005, respectively. Amortization expense is estimated to approximate $160,000 in each of the next five fiscal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592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 RECEIVABLE AND FOREIGN DEPOSITS</w:t>
            </w:r>
          </w:p>
        </w:tc>
        <w:tc>
          <w:tcPr>
            <w:tcW w:w="1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1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Arial" w:cs="Arial" w:eastAsia="Arial" w:hAnsi="Arial"/>
                <w:sz w:val="18"/>
                <w:szCs w:val="18"/>
                <w:color w:val="auto"/>
              </w:rPr>
              <w:t>Notes receivable and foreign deposits consisted of the following:</w:t>
            </w:r>
          </w:p>
        </w:tc>
        <w:tc>
          <w:tcPr>
            <w:tcW w:w="1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10" w:type="dxa"/>
            <w:vAlign w:val="bottom"/>
          </w:tcPr>
          <w:p>
            <w:pPr>
              <w:jc w:val="right"/>
              <w:ind w:right="160"/>
              <w:spacing w:after="0"/>
              <w:rPr>
                <w:sz w:val="20"/>
                <w:szCs w:val="20"/>
                <w:color w:val="auto"/>
              </w:rPr>
            </w:pPr>
            <w:r>
              <w:rPr>
                <w:rFonts w:ascii="Arial" w:cs="Arial" w:eastAsia="Arial" w:hAnsi="Arial"/>
                <w:sz w:val="14"/>
                <w:szCs w:val="14"/>
                <w:b w:val="1"/>
                <w:bCs w:val="1"/>
                <w:color w:val="auto"/>
                <w:w w:val="91"/>
              </w:rPr>
              <w:t>November 30,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10" w:type="dxa"/>
            <w:vAlign w:val="bottom"/>
          </w:tcPr>
          <w:p>
            <w:pPr>
              <w:jc w:val="right"/>
              <w:ind w:right="42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1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Foreign deposits</w:t>
            </w:r>
          </w:p>
        </w:tc>
        <w:tc>
          <w:tcPr>
            <w:tcW w:w="1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445,469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11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240" w:top="584" w:right="359" w:bottom="1440" w:gutter="0" w:footer="0" w:header="0"/>
          <w:type w:val="continuous"/>
        </w:sectPr>
      </w:pPr>
    </w:p>
    <w:bookmarkStart w:id="8" w:name="page9"/>
    <w:bookmarkEnd w:id="8"/>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November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37,297,284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43,952,531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39,030,247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15,816,651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2,721,582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1,496,557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25,414,299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91"/>
              </w:rPr>
              <w:t>Northern Technologies International Corporation’s share of Corporate Joint Ventures’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equity</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11,840,314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10,772,102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87"/>
              </w:rPr>
              <w:t>November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18,879,432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9,068,677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7,454,578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99"/>
              </w:rPr>
              <w:t>Northern Technologies International Corporation’s share of equity in income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Corporate Joint Ventures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635, 219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729,518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2006, the Company invested in corporate joint ventures as follows: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November 2006, the Company invested $81,522, in a new industrial chemical corporate joint venture to develop operations in the United Arab Emirates in the oil and gas industry. The Company has a 50% ownership interest in the new entity. The new entity had no operations prior to the Company’s investment. It is anticipated that this is the first of two installments towards the Company’s 50% capitalization of an estimated $200,000 over the next 12 months. It is anticipated that the total capitalization by all owners of the joint venture will be $400,000.</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Company has committed to contribute an additional $300,000 in February 2007 to its established industrial chemical corporate joint venture in India for a capital intensive expansion. It is anticipated that the total increase in capitalization by both owners of the joint venture will be $600,000.</w:t>
      </w:r>
    </w:p>
    <w:p>
      <w:pPr>
        <w:spacing w:after="0" w:line="13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each November 30, 2006 and August 31, 2006 was $304,000.</w:t>
      </w:r>
    </w:p>
    <w:p>
      <w:pPr>
        <w:spacing w:after="0" w:line="18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a revolving credit facility of $1,500,000 that expires on January 31, 2007. Outstanding amounts under the revolving credit facility bear interest at an annual rate based on LIBOR plus 2.25%. As of November 30, 2006, the interest rate was 7.49%, the average interest rate over the quarter ended November 30, 2006 was 7.25%. Amounts borrowed under the facility are collateralized by a lien on substantially all of the Company’s assets, excluding its corporate joint venture interests and intellectual property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20"/>
        <w:spacing w:after="0" w:line="298" w:lineRule="auto"/>
        <w:rPr>
          <w:sz w:val="20"/>
          <w:szCs w:val="20"/>
          <w:color w:val="auto"/>
        </w:rPr>
      </w:pPr>
      <w:r>
        <w:rPr>
          <w:rFonts w:ascii="Arial" w:cs="Arial" w:eastAsia="Arial" w:hAnsi="Arial"/>
          <w:sz w:val="16"/>
          <w:szCs w:val="16"/>
          <w:color w:val="auto"/>
        </w:rPr>
        <w:t>The credit documents contain other terms and provisions (including representations, covenants and conditions) customary for transactions of this type. Significant financial covenants include the maintenance of a minimum fixed charge coverage ratio of 1.0 to 1.0. The Company was in compliance with all covenants under the revolving credit facility. Outstanding balances were $1,253,000 and $610,000 as of November 30, 2006 and August 31, 2006, respectively. The Company expects the line of credit to be extended under substantially similar terms in the near future.</w:t>
      </w:r>
    </w:p>
    <w:p>
      <w:pPr>
        <w:spacing w:after="0" w:line="167"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Company has a term loan in the principal amount of $1,275,000 that matures on May 1, 2011, bears interest at a fixed rate of 8.01% and is payable in 59 monthly payments equal to approximately $10,776 (inclusive of principal and interest) commencing June 1, 2006. All of the remaining unpaid principal and accrued interest is due and payable on the maturity date. The term loan note is secured by a first lien on the Company’s Circle Pines facility pursuant to a Mortgage dated as of May 3, 2006 between Northern Technologies Holding Company LLC and National City Bank and is guaranteed by the Company.</w:t>
      </w:r>
    </w:p>
    <w:p>
      <w:pPr>
        <w:spacing w:after="0" w:line="16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months ended November 30, 2006, the Company did not purchase or retire any shares of its common stock and no stock options were exercised. The Company granted stock bonuses for 37,245 shares of its common stock to various employees with a value of $298,330 under its 2000 Stock Incentive Plan during the three months ended November 30, 2006.</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did not acquire or retire any shares of common stock during the three months ended November 30, 2005. Additionally, no stock options were exercised during the three months ended November 30, 2005.</w:t>
      </w:r>
    </w:p>
    <w:p>
      <w:pPr>
        <w:spacing w:after="0" w:line="180"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did not declare or pay any cash dividends during fiscal 2006 and as of January 11, 2007 had not declared or paid any cash dividends during fiscal 2007.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37,245 shares of unrestricted common stock to satisfy $298,330 of accrued payroll liability during the quarter ended November 30, 2006.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6560" w:type="dxa"/>
            <w:vAlign w:val="bottom"/>
          </w:tcPr>
          <w:p>
            <w:pPr>
              <w:ind w:left="200"/>
              <w:spacing w:after="0"/>
              <w:rPr>
                <w:sz w:val="20"/>
                <w:szCs w:val="20"/>
                <w:color w:val="auto"/>
              </w:rPr>
            </w:pPr>
            <w:r>
              <w:rPr>
                <w:rFonts w:ascii="Arial" w:cs="Arial" w:eastAsia="Arial" w:hAnsi="Arial"/>
                <w:sz w:val="18"/>
                <w:szCs w:val="18"/>
                <w:b w:val="1"/>
                <w:bCs w:val="1"/>
                <w:color w:val="auto"/>
              </w:rPr>
              <w:t>TOTAL COMPREHENSIVE INCOME</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w w:val="91"/>
              </w:rPr>
              <w:t>November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990,224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comprehensive income (loss): foreign currency translation adjustment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371,450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(316,029)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1,361,674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November 30, 2006.</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Options to purchase 3,000 and 334 shares of common stock with per share exercise prices of $6.15 and $5.96, respectively, were outstanding as of November 30, 2005, but were excluded from the computation of common share equivalents, because their exercise prices were greater than the average market price of a share of common stock during the quarter.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0" w:right="239" w:bottom="1440" w:gutter="0" w:footer="0" w:header="0"/>
        </w:sectPr>
      </w:pPr>
    </w:p>
    <w:bookmarkStart w:id="10" w:name="page11"/>
    <w:bookmarkEnd w:id="10"/>
    <w:p>
      <w:pPr>
        <w:ind w:left="620" w:hanging="612"/>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currently has one stock-based compensation plan under which it grants stock options and other stock-based awards, the 2000 Stock Incentive Plan (the Plan). The Company’s Board of Directors and stockholders approved the Plan and the Compensation Committee of the Board of Directors administers the Plan. Under the Plan, incentive stock options, nonqualified stock options, stock bonuses and other stock-based awards could be granted to directors, officers, non-officer employees, and independent consultants of the Company. Options granted under the Plan generally have a term of five years and become exercisable over a three- or four-year period beginning on the one-year anniversary date of the grant. Options are granted at per share exercise prices equal to the market value of the Company’s common stock on the date of grant.</w:t>
      </w:r>
    </w:p>
    <w:p>
      <w:pPr>
        <w:spacing w:after="0" w:line="17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2006, the Company’s Board of Directors approved a new 2007 Stock Incentive Plan and a new Employee Stock Purchase Plan, both of which will be submitted to the Company’s stockholders for their consideration and approval at the Company’s 2007 annual meeting of stockholders scheduled to be held on January 23, 2007. The 2007 Stock Incentive Plan provides for the grant of up to a total of 400,000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The Employee Stock Purchase Plan provides for purchase of up to 100,000 common shares for employees of the Company to purchase on a periodic basis through payroll deductions at a 10% discount to the fair market value of the Company’s common stock. If the Company’s stockholders approve the new 2007 Stock Incentive Plan, it will replace the Company’s 2000 Stock Incentive Plan, which will be terminated with respect to future grants upon the effectiveness of the new 2007 Stock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November 30,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138"/>
              <w:spacing w:after="0"/>
              <w:rPr>
                <w:sz w:val="20"/>
                <w:szCs w:val="20"/>
                <w:color w:val="auto"/>
              </w:rPr>
            </w:pPr>
            <w:r>
              <w:rPr>
                <w:rFonts w:ascii="Arial" w:cs="Arial" w:eastAsia="Arial" w:hAnsi="Arial"/>
                <w:sz w:val="14"/>
                <w:szCs w:val="14"/>
                <w:b w:val="1"/>
                <w:bCs w:val="1"/>
                <w:color w:val="auto"/>
                <w:w w:val="85"/>
              </w:rPr>
              <w:t>Per Share</w:t>
            </w: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176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r>
      <w:tr>
        <w:trPr>
          <w:trHeight w:val="174"/>
        </w:trPr>
        <w:tc>
          <w:tcPr>
            <w:tcW w:w="3500" w:type="dxa"/>
            <w:vAlign w:val="bottom"/>
          </w:tcPr>
          <w:p>
            <w:pPr>
              <w:ind w:left="1200"/>
              <w:spacing w:after="0"/>
              <w:rPr>
                <w:sz w:val="20"/>
                <w:szCs w:val="20"/>
                <w:color w:val="auto"/>
              </w:rPr>
            </w:pPr>
            <w:r>
              <w:rPr>
                <w:rFonts w:ascii="Arial" w:cs="Arial" w:eastAsia="Arial" w:hAnsi="Arial"/>
                <w:sz w:val="14"/>
                <w:szCs w:val="14"/>
                <w:b w:val="1"/>
                <w:bCs w:val="1"/>
                <w:color w:val="auto"/>
              </w:rPr>
              <w:t>Option Grant Date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center"/>
              <w:ind w:right="98"/>
              <w:spacing w:after="0"/>
              <w:rPr>
                <w:sz w:val="20"/>
                <w:szCs w:val="20"/>
                <w:color w:val="auto"/>
              </w:rPr>
            </w:pPr>
            <w:r>
              <w:rPr>
                <w:rFonts w:ascii="Arial" w:cs="Arial" w:eastAsia="Arial" w:hAnsi="Arial"/>
                <w:sz w:val="14"/>
                <w:szCs w:val="14"/>
                <w:b w:val="1"/>
                <w:bCs w:val="1"/>
                <w:color w:val="auto"/>
                <w:w w:val="85"/>
              </w:rPr>
              <w:t>Prices</w:t>
            </w:r>
          </w:p>
        </w:tc>
        <w:tc>
          <w:tcPr>
            <w:tcW w:w="180" w:type="dxa"/>
            <w:vAlign w:val="bottom"/>
          </w:tcPr>
          <w:p>
            <w:pPr>
              <w:spacing w:after="0"/>
              <w:rPr>
                <w:sz w:val="15"/>
                <w:szCs w:val="15"/>
                <w:color w:val="auto"/>
              </w:rPr>
            </w:pPr>
          </w:p>
        </w:tc>
        <w:tc>
          <w:tcPr>
            <w:tcW w:w="1760" w:type="dxa"/>
            <w:vAlign w:val="bottom"/>
          </w:tcPr>
          <w:p>
            <w:pPr>
              <w:jc w:val="right"/>
              <w:ind w:right="352"/>
              <w:spacing w:after="0"/>
              <w:rPr>
                <w:sz w:val="20"/>
                <w:szCs w:val="20"/>
                <w:color w:val="auto"/>
              </w:rPr>
            </w:pPr>
            <w:r>
              <w:rPr>
                <w:rFonts w:ascii="Arial" w:cs="Arial" w:eastAsia="Arial" w:hAnsi="Arial"/>
                <w:sz w:val="14"/>
                <w:szCs w:val="14"/>
                <w:b w:val="1"/>
                <w:bCs w:val="1"/>
                <w:color w:val="auto"/>
              </w:rPr>
              <w:t>Contractual Life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Outstanding (#)</w:t>
            </w:r>
          </w:p>
        </w:tc>
        <w:tc>
          <w:tcPr>
            <w:tcW w:w="18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Exercisable (#)</w:t>
            </w:r>
          </w:p>
        </w:tc>
      </w:tr>
      <w:tr>
        <w:trPr>
          <w:trHeight w:val="95"/>
        </w:trPr>
        <w:tc>
          <w:tcPr>
            <w:tcW w:w="3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2/15/2002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jc w:val="center"/>
              <w:spacing w:after="0"/>
              <w:rPr>
                <w:sz w:val="20"/>
                <w:szCs w:val="20"/>
                <w:color w:val="auto"/>
              </w:rPr>
            </w:pPr>
            <w:r>
              <w:rPr>
                <w:rFonts w:ascii="Arial" w:cs="Arial" w:eastAsia="Arial" w:hAnsi="Arial"/>
                <w:sz w:val="18"/>
                <w:szCs w:val="18"/>
                <w:color w:val="auto"/>
                <w:w w:val="88"/>
              </w:rPr>
              <w:t>9/1/2003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4,000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9/1/2004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jc w:val="center"/>
              <w:spacing w:after="0"/>
              <w:rPr>
                <w:sz w:val="20"/>
                <w:szCs w:val="20"/>
                <w:color w:val="auto"/>
              </w:rPr>
            </w:pPr>
            <w:r>
              <w:rPr>
                <w:rFonts w:ascii="Arial" w:cs="Arial" w:eastAsia="Arial" w:hAnsi="Arial"/>
                <w:sz w:val="18"/>
                <w:szCs w:val="18"/>
                <w:color w:val="auto"/>
                <w:w w:val="88"/>
              </w:rPr>
              <w:t>11/12/2004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6.15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7/29/2005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jc w:val="center"/>
              <w:spacing w:after="0"/>
              <w:rPr>
                <w:sz w:val="20"/>
                <w:szCs w:val="20"/>
                <w:color w:val="auto"/>
              </w:rPr>
            </w:pPr>
            <w:r>
              <w:rPr>
                <w:rFonts w:ascii="Arial" w:cs="Arial" w:eastAsia="Arial" w:hAnsi="Arial"/>
                <w:sz w:val="18"/>
                <w:szCs w:val="18"/>
                <w:color w:val="auto"/>
                <w:w w:val="88"/>
              </w:rPr>
              <w:t>9/1/2005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5.75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11/4/2005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8"/>
                <w:szCs w:val="18"/>
                <w:color w:val="auto"/>
              </w:rPr>
            </w:pPr>
          </w:p>
        </w:tc>
      </w:tr>
      <w:tr>
        <w:trPr>
          <w:trHeight w:val="222"/>
        </w:trPr>
        <w:tc>
          <w:tcPr>
            <w:tcW w:w="3500" w:type="dxa"/>
            <w:vAlign w:val="bottom"/>
          </w:tcPr>
          <w:p>
            <w:pPr>
              <w:jc w:val="center"/>
              <w:spacing w:after="0"/>
              <w:rPr>
                <w:sz w:val="20"/>
                <w:szCs w:val="20"/>
                <w:color w:val="auto"/>
              </w:rPr>
            </w:pPr>
            <w:r>
              <w:rPr>
                <w:rFonts w:ascii="Arial" w:cs="Arial" w:eastAsia="Arial" w:hAnsi="Arial"/>
                <w:sz w:val="18"/>
                <w:szCs w:val="18"/>
                <w:color w:val="auto"/>
                <w:w w:val="88"/>
              </w:rPr>
              <w:t>9/1/2006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8.01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125"/>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119,334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55,563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-233045</wp:posOffset>
            </wp:positionV>
            <wp:extent cx="484949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49495" cy="298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three months ended November 30, 2006 and 2005, was $2.08 and $1.46,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820" w:type="dxa"/>
            <w:vAlign w:val="bottom"/>
            <w:gridSpan w:val="3"/>
          </w:tcPr>
          <w:p>
            <w:pPr>
              <w:spacing w:after="0"/>
              <w:rPr>
                <w:sz w:val="20"/>
                <w:szCs w:val="20"/>
                <w:color w:val="auto"/>
              </w:rPr>
            </w:pPr>
            <w:r>
              <w:rPr>
                <w:rFonts w:ascii="Arial" w:cs="Arial" w:eastAsia="Arial" w:hAnsi="Arial"/>
                <w:sz w:val="18"/>
                <w:szCs w:val="18"/>
                <w:color w:val="auto"/>
              </w:rPr>
              <w:t>Net sales by geographic location as a percentage of total net sales were as follows: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November 30,</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360" w:type="dxa"/>
            <w:vAlign w:val="bottom"/>
          </w:tcPr>
          <w:p>
            <w:pPr>
              <w:jc w:val="right"/>
              <w:ind w:right="47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360" w:type="dxa"/>
            <w:vAlign w:val="bottom"/>
          </w:tcPr>
          <w:p>
            <w:pPr>
              <w:jc w:val="right"/>
              <w:ind w:right="47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Outside the U.S.A. to:</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Corporate Joint Ventures in which the Company is a shareholder directly and indirectly</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40" w:type="dxa"/>
            <w:vAlign w:val="bottom"/>
          </w:tcPr>
          <w:p>
            <w:pPr>
              <w:ind w:left="440"/>
              <w:spacing w:after="0"/>
              <w:rPr>
                <w:sz w:val="20"/>
                <w:szCs w:val="20"/>
                <w:color w:val="auto"/>
              </w:rPr>
            </w:pPr>
            <w:r>
              <w:rPr>
                <w:rFonts w:ascii="Arial" w:cs="Arial" w:eastAsia="Arial" w:hAnsi="Arial"/>
                <w:sz w:val="18"/>
                <w:szCs w:val="18"/>
                <w:color w:val="auto"/>
              </w:rPr>
              <w:t>Unaffiliated customers</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One of the Company’s North American customers accounted for in the aggregate approximately 33.5% and 32.2% of the Company’s net sales for the three months ended November 30, 2006 and 2005 respectively, and $661,278 and $304,430 of the Company’s receivables at November 30, 2006 and August 31, 2006, respectively.</w:t>
      </w:r>
    </w:p>
    <w:p>
      <w:pPr>
        <w:spacing w:after="0" w:line="188"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$26,426 and $26,268, for the three months ended November 30, 2006 and 2005, respectively.</w:t>
      </w:r>
    </w:p>
    <w:p>
      <w:pPr>
        <w:spacing w:after="0" w:line="155"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May 18, 2006, the Company and Emeritushnic Facilities Company, Inc. (“EFC”), an entity owned by the Company’s former Chairman of the Board and Chief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current Chairman Emeritus, Philip M. Lynch, and certain of his family members, excluding G. Patrick Lynch, the Company’s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entered into a Consulting Agreement, effective as of May 1, 2006. Pursuant to the Consulting Agreement,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engaged EFC to perform certain consulting services to the Company, including maintaining communications and relations between the Company and its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 partners. In consideration for such services, the Company paid EFC monthly consulting fees totaling $75,000 and $0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30, 2006 and 2005, respectively, and reimbursed EFC for out-of-pocket expenses reasonably incurred in the course of providing such services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$47,085 and $0 for the three months ended November 30, 2006 and 2005, respectively. The Consulting Agreement provides for fees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per month and up to $180,000 in expense reimbursement in a given fiscal year. Additionally, it may be terminated by either party for any reason upon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90 days prior written notice to the other party and may be terminated upon the occurrence of other certain events, as set forth in the Consulting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Consulting Agreement also contains other standard and customary terms, including provisions regarding confidentiality, non-competition and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solicitation.</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1, 2006, the Company and Inter Alia Holding Co. (“Inter Alia”) entered into a termination agreement pursuant to which they agreed to mutually terminate that certain Manufacturer’s Representative Agreement dated as of October 1, 1976 and as subsequently amended thereafter. Inter Alia beneficially owns approximately 25.4% of the Company’s outstanding common stock, and Philip M. Lynch, the Company’s former Chairman of the Board and Chief Executive Officer and current Chairman Emeritus, and G. Patrick Lynch, the Company’s current President and Chief Executive Officer, are shareholders of Inter Alia. Prior to terminating the agreement, the Company reimbursed Inter Alia for travel and related expenses in the aggregate amount of $121,636 during the three months ended November 30, 2005. The Company paid Inter Alia commissions on royalties paid by corporate joint ventures and net proceeds of sales of the Company’s products of approximately $25,977 during the three months ended November 30, 2005. In addition, the Company paid health insurance premiums of $4,185 during the three months ended November 30, 2005, related to policies that insure Philip M. Lynch, the Company’s former Chairman of the Board and Chief Executive Officer and current Chairman Emeritus.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right="20"/>
        <w:spacing w:after="0" w:line="259" w:lineRule="auto"/>
        <w:rPr>
          <w:sz w:val="20"/>
          <w:szCs w:val="20"/>
          <w:color w:val="auto"/>
        </w:rPr>
      </w:pPr>
      <w:r>
        <w:rPr>
          <w:rFonts w:ascii="Arial" w:cs="Arial" w:eastAsia="Arial" w:hAnsi="Arial"/>
          <w:sz w:val="18"/>
          <w:szCs w:val="18"/>
          <w:color w:val="auto"/>
        </w:rPr>
        <w:t>The Company made consulting payments to Dr. Ramani Narayan, a director of the Company, of $25,000 on each of November 8, 2005, February 1, 2006, May 1, 2006, August 1, 2006 and November 2, 2006. The consulting services rendered by Dr. Narayan related to research and development associated with various new technologies.</w:t>
      </w:r>
    </w:p>
    <w:p>
      <w:pPr>
        <w:spacing w:after="0" w:line="19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made a consulting payment to Dr. Sunggyu Lee, a director of the Company, of $25,000 on each of November 8, 2005, February 1, 2006, May 1, 2006, August 1, 2006 and November 28, 2006. The consulting services rendered by Dr. Lee related to research and development associated with various new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20.</w:t>
      </w:r>
    </w:p>
    <w:p>
      <w:pPr>
        <w:spacing w:after="0" w:line="219"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three months ended November 30, 2006 and 2005 are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November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79641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96415" cy="29845"/>
                    </a:xfrm>
                    <a:prstGeom prst="rect">
                      <a:avLst/>
                    </a:prstGeom>
                    <a:noFill/>
                  </pic:spPr>
                </pic:pic>
              </a:graphicData>
            </a:graphic>
          </wp:anchor>
        </w:drawing>
      </w:r>
    </w:p>
    <w:p>
      <w:pPr>
        <w:spacing w:after="0" w:line="287"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involved in a legal action in Finland whereby the Company sued a Finnish company for trademark infringement. The Company won the initial case, but has subsequently lost on appeal. The Company is currently appealing the latest court decision. The outcome of the appeal is unknown and any potential loss cannot be estimated at this time; however, the potential judgment or settlement resulting from the case could have a material impact on the financial position or results of operations of the Company. The Company has put up a deposit of $445,469 that is being held by the courts in Finland against the defendant’s products that were seized as contraband pending the outcome of the lawsuit. There are no other legal actions arising in the ordinary course of business that management is of the opinion that any judgment or settlement therefrom would have a material adverse effect on the financial position or results of operations of the Company.</w:t>
      </w: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10, 2006, NTIC obtained a demand line of credit of up to the principal amount of $600,000 from National City Bank to fund NTIC’s obligations related to a required deposit of $445,469 with the courts in Finland in connection with NTIC’s legal action in Finland. Advances made under the demand line of credit will be made at the sole discretion of National City Bank and will be due and payable on demand. Any outstanding unpaid principal balance under the demand line of credit bears interest at an annual rate based on LIBOR plus 2.25%. Interest is payable in arrears on January 15, 2007 and on the 15th day of each month thereafter and on demand.</w:t>
      </w:r>
    </w:p>
    <w:p>
      <w:pPr>
        <w:spacing w:after="0" w:line="19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an Ohio limited liability company to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 The property has an approximate value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0" w:right="25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t>$2,205,000, based upon the cash-to-mortgage acquisition price of the property paid in fiscal 2000. The Company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November 16, 2006, the “independent directors” of the Company approved the material terms of an annual bonus plan for executive officers and certain employees of the Company for fiscal year ending August 31, 2007,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97"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180" w:lineRule="exact"/>
        <w:rPr>
          <w:rFonts w:ascii="Arial" w:cs="Arial" w:eastAsia="Arial" w:hAnsi="Arial"/>
          <w:sz w:val="16"/>
          <w:szCs w:val="16"/>
          <w:color w:val="auto"/>
        </w:rPr>
      </w:pPr>
    </w:p>
    <w:p>
      <w:pPr>
        <w:ind w:left="1160" w:right="12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18"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payment of bonuses under the plan will be made in both cash and stock, the exact amount and percentages of which will be determined by the Compensation Committee.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90"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captions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focuses on developing, marketing and selling proprietary environmentally responsible materials science based products and technical services directly and via a network of independent distributors, manufacturer sales representatives and joint ventures in over 50 countries. NTIC manufactures, markets and sells primarily rust and corrosion inhibiting products and services for automotive, electronics, electrical, mechanical and military applications, sold under the brand names Zerust® and EXCOR®. NTIC also offers direct, worldwide on-site technical support on rust and corrosion issues. In North America, NTIC markets its technical service and Zerust®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w:t>
      </w:r>
    </w:p>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NTIC participates, either directly or indirectly through holding companies, in approximately 30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bio-based additives with both industrial and personal care applications, plastic recycling technology and electronic sensing instruments.</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React-NTI LLC is an industrial chemical corporate joint venture of NTIC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NTIC’s existing industrial customer base, as well as the personal care and cosmetics industry. As of February 28, 2005, NTIC began fully consolidating this 75% owned subsidiary, which was previously accounted for using the equity method.</w:t>
      </w:r>
    </w:p>
    <w:p>
      <w:pPr>
        <w:spacing w:after="0" w:line="19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NTIC conducts all foreign transactions based on the U.S. dollar, except for its investments in various foreign corporate joint ventures. The exchange rate differential relating to investments in foreign corporate joint ventures is accounted for under the requirements of SFAS No. 52, Foreign Currency Translation.</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NTIC’s net sales increased 4.9% during the three months ended November 30, 2006 as compared to the same period in fiscal 2006 primarily as a result of the increase in net sales of traditional Zerust® products and of React-NTI products to new and existing customers in North America. Net sales of traditional Zerust® products increased $33,205 to $3,023,384 during the three months ended November 30, 2006 as compared to the same period in fiscal 2006. Net sales of React-NTI products increased $180,540 to $1,593,990 for the three months ended November 30, 2006 as compared to the same period in fiscal 2006.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380"/>
        <w:spacing w:after="0" w:line="332" w:lineRule="auto"/>
        <w:rPr>
          <w:sz w:val="20"/>
          <w:szCs w:val="20"/>
          <w:color w:val="auto"/>
        </w:rPr>
      </w:pPr>
      <w:r>
        <w:rPr>
          <w:rFonts w:ascii="Arial" w:cs="Arial" w:eastAsia="Arial" w:hAnsi="Arial"/>
          <w:sz w:val="16"/>
          <w:szCs w:val="16"/>
          <w:color w:val="auto"/>
        </w:rPr>
        <w:t>Cost of sales as a percentage of net sales increased to 63.8% during the three months ended November 30, 2006 as compared to 62.0% during same period in fiscal 2006 primarily as a result of an increase in raw material prices, including in particular, plastic resins and a varying sale product mix.</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Total net sales of all of NTIC’s joint ventures increased 14.2% to $18,879,432 during the three months ended November 30, 2006 as compared to $16,535,347 the same period in fiscal 2006. NTIC receives fees for technical and other support services it provides to its joint ventures based on the revenues of the individual joint ventures. NTIC recognized an increase in fee income for such technical and support services during the three months ended November 30, 2006 as compared to the same period in fiscal 2006 due to the increase in total net sales of the joint ventures. NTIC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increased direct expenses related to its corporate joint ventures and the holding companies during the three months ended November 30, 2006 as compared to the same period in fiscal 2006 due primarily to the increased number of employees and an increase in legal expenses.</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NTIC’s net income for the three months ended November 30, 2006 increased to $990,224 as compared to $633,985 for the three months ended November 30, 2005 and net income per common share, basic and diluted, increased to $0.27 per share for the three months ended November 30, 2006 compared to $0.18 for the three months ended November 30, 2005 primarily as a result of the gain on the sale of assets partially offset by the decrease in equity in income of industrial chemical corporate joint ventures.</w:t>
      </w:r>
    </w:p>
    <w:p>
      <w:pPr>
        <w:spacing w:after="0" w:line="1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NTIC’s working capital was $2,454,282 at November 30, 2006, including $507,017 in cash and cash equivalents. In August 2006, NTIC increased its existing $1,000,000 revolving credit facility with National City Bank to $1,500,000. As of November 30, 2006, NTIC had borrowed $1,253,000 under the revolving credit facility. The revolving credit facility expires on January 31, 2007. NTIC intends to renew or replace this facility on or prior to the January 31, 2007 maturity date.</w:t>
      </w:r>
    </w:p>
    <w:p>
      <w:pPr>
        <w:spacing w:after="0" w:line="19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NTIC elected not to pay a cash dividend in fiscal 2006, based on fiscal 2005 results, or thus far in fiscal 2007, based on fiscal 2006 results, in order to preserve cash and make investments in future operations. NTIC expects to meet its future liquidity requirements during at least the next twelve months by using its existing cash and cash equivalents, forecasted cash flows from future operations, distributions of earnings and technical assistance fees to NTIC from its joint venture investments and funds available through existing or anticipated financing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November 30, 2006 and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18"/>
              <w:spacing w:after="0"/>
              <w:rPr>
                <w:sz w:val="20"/>
                <w:szCs w:val="20"/>
                <w:color w:val="auto"/>
              </w:rPr>
            </w:pPr>
            <w:r>
              <w:rPr>
                <w:rFonts w:ascii="Arial" w:cs="Arial" w:eastAsia="Arial" w:hAnsi="Arial"/>
                <w:sz w:val="14"/>
                <w:szCs w:val="14"/>
                <w:b w:val="1"/>
                <w:bCs w:val="1"/>
                <w:color w:val="auto"/>
                <w:w w:val="89"/>
              </w:rPr>
              <w:t>November 30,</w:t>
            </w:r>
          </w:p>
        </w:tc>
        <w:tc>
          <w:tcPr>
            <w:tcW w:w="20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4"/>
                <w:szCs w:val="14"/>
                <w:color w:val="auto"/>
              </w:rPr>
            </w:pPr>
          </w:p>
        </w:tc>
        <w:tc>
          <w:tcPr>
            <w:tcW w:w="1060" w:type="dxa"/>
            <w:vAlign w:val="bottom"/>
          </w:tcPr>
          <w:p>
            <w:pPr>
              <w:jc w:val="right"/>
              <w:ind w:right="118"/>
              <w:spacing w:after="0"/>
              <w:rPr>
                <w:sz w:val="20"/>
                <w:szCs w:val="20"/>
                <w:color w:val="auto"/>
              </w:rPr>
            </w:pPr>
            <w:r>
              <w:rPr>
                <w:rFonts w:ascii="Arial" w:cs="Arial" w:eastAsia="Arial" w:hAnsi="Arial"/>
                <w:sz w:val="14"/>
                <w:szCs w:val="14"/>
                <w:b w:val="1"/>
                <w:bCs w:val="1"/>
                <w:color w:val="auto"/>
                <w:w w:val="91"/>
              </w:rPr>
              <w:t>November 30,</w:t>
            </w:r>
          </w:p>
        </w:tc>
        <w:tc>
          <w:tcPr>
            <w:tcW w:w="2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of Net</w:t>
            </w:r>
          </w:p>
        </w:tc>
        <w:tc>
          <w:tcPr>
            <w:tcW w:w="1080" w:type="dxa"/>
            <w:vAlign w:val="bottom"/>
          </w:tcPr>
          <w:p>
            <w:pPr>
              <w:spacing w:after="0"/>
              <w:rPr>
                <w:sz w:val="14"/>
                <w:szCs w:val="14"/>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1060" w:type="dxa"/>
            <w:vAlign w:val="bottom"/>
          </w:tcPr>
          <w:p>
            <w:pPr>
              <w:jc w:val="right"/>
              <w:ind w:right="37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Sales</w:t>
            </w:r>
          </w:p>
        </w:tc>
        <w:tc>
          <w:tcPr>
            <w:tcW w:w="1080" w:type="dxa"/>
            <w:vAlign w:val="bottom"/>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4,617,374</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4,403,630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2,945,055</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2,729,111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62.0%</w:t>
            </w:r>
          </w:p>
        </w:tc>
        <w:tc>
          <w:tcPr>
            <w:tcW w:w="1080" w:type="dxa"/>
            <w:vAlign w:val="bottom"/>
          </w:tcPr>
          <w:p>
            <w:pPr>
              <w:jc w:val="right"/>
              <w:spacing w:after="0"/>
              <w:rPr>
                <w:sz w:val="20"/>
                <w:szCs w:val="20"/>
                <w:color w:val="auto"/>
              </w:rPr>
            </w:pPr>
            <w:r>
              <w:rPr>
                <w:rFonts w:ascii="Arial" w:cs="Arial" w:eastAsia="Arial" w:hAnsi="Arial"/>
                <w:sz w:val="18"/>
                <w:szCs w:val="18"/>
                <w:color w:val="auto"/>
              </w:rPr>
              <w:t>215,944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769,039</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697,955</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822,883</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686,559</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1080" w:type="dxa"/>
            <w:vAlign w:val="bottom"/>
          </w:tcPr>
          <w:p>
            <w:pPr>
              <w:jc w:val="right"/>
              <w:spacing w:after="0"/>
              <w:rPr>
                <w:sz w:val="20"/>
                <w:szCs w:val="20"/>
                <w:color w:val="auto"/>
              </w:rPr>
            </w:pPr>
            <w:r>
              <w:rPr>
                <w:rFonts w:ascii="Arial" w:cs="Arial" w:eastAsia="Arial" w:hAnsi="Arial"/>
                <w:sz w:val="18"/>
                <w:szCs w:val="18"/>
                <w:color w:val="auto"/>
              </w:rPr>
              <w:t>136,324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85,040</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Net Sales and Cost of Sales</w:t>
      </w:r>
      <w:r>
        <w:rPr>
          <w:rFonts w:ascii="Arial" w:cs="Arial" w:eastAsia="Arial" w:hAnsi="Arial"/>
          <w:sz w:val="16"/>
          <w:szCs w:val="16"/>
          <w:color w:val="auto"/>
        </w:rPr>
        <w:t>. NTIC’s net sales originating in the United States increased during the three months ended November 30, 2006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fiscal 2006 primarily as a result of an increase in the demand for Zerust® products sold to existing customers and an increase in the demand for React-NTI products sold to an existing customer in North America. Cost of sales increased as a percentage of net sales for the three months ended November 30, 2006 compared to the same period in fiscal 2006 primarily as a result of an increase in petroleum based raw material prices.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for the three months ended November 30, 2006 compared the same period in fiscal 2006 primarily as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 of increases in (i) communication expense of $13,000, (ii) trade show expense of $10,000, (iii) salaries, commissions and related employee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$24,000, (iv) travel expense of $23,000 and (v) expense related to the sale of React products of $26,000. These increases were partially offset by decreases in (i)</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consulting expenses of $10,000. Selling expenses as a percentage of net sales increased slightly for the three months ended November 30, 2006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fiscal 2006 primarily as a result of the changes in spending as described above.</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for the three months ended November 30, 2006 compared to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fiscal 2006 primarily as a result of increases in (i) information technology expenses of $74,000, (ii) insurance expense of $13,000, (iii) legal expenses of $22,000, (iv) travel expense of $17,000, (v) consulting expenses of $11,000, and (vi) depreciation expense of 23,000. These increases were partially offset by decreases in (i) salaries and benefits of $10,000 and (ii) directors’ fees and expenses of $11,000. As a percentage of net sales, general and administrative expenses increased slightly for the three months ended November 30, 2006 compared to same period in fiscal 2006 primarily as a result of the changes in spending as described above. The Company anticipates these expenses to continue into the future.</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increased slightly for the three months ended November 30, 2006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fiscal 2006 primarily due to (i) travel expense of $5,000 and (ii) lab supplies of $6,000. As a percentage of net sales, lab and technical support expenses increased slightly for the three months ended November 30, 2006 compared to same period in fiscal 2006 primarily as a result of the changes in spending as described above.</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International Corporate Joint Ventures and Holding Companies</w:t>
      </w:r>
      <w:r>
        <w:rPr>
          <w:rFonts w:ascii="Arial" w:cs="Arial" w:eastAsia="Arial" w:hAnsi="Arial"/>
          <w:sz w:val="16"/>
          <w:szCs w:val="16"/>
          <w:color w:val="auto"/>
        </w:rPr>
        <w:t>. NTIC continues its business program of establishing corporate joint venture arrangements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markets directly or indirectly through holding companies. NTIC and/or an existing corporate joint venture manufactures and supplies proprietary ingredients, which make the finished products functional and enable manufacturing of the finished products to take place in the foreign countries. NTIC’s corporate joint ventures then market the finished products in their territories, and NTIC’s corporate joint ventures’ profits are shared by the corporate joint venture shareholders in accordance with their ownership percentages of the joint venture entity.</w:t>
      </w:r>
    </w:p>
    <w:p>
      <w:pPr>
        <w:spacing w:after="0" w:line="17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NTIC had equity in income of industrial chemical and non-chemical corporate joint ventures and holding companies of $635,219 and $729,518 for the three months ended November 30, 2006 and 2005, respectively. This decrease in equity in income for the three month period was due specifically to expenses that resulted in poor quarterly results at two joint ventures compared to the previous fiscal year.</w:t>
      </w:r>
    </w:p>
    <w:p>
      <w:pPr>
        <w:spacing w:after="0" w:line="194" w:lineRule="exact"/>
        <w:rPr>
          <w:sz w:val="20"/>
          <w:szCs w:val="20"/>
          <w:color w:val="auto"/>
        </w:rPr>
      </w:pPr>
    </w:p>
    <w:p>
      <w:pPr>
        <w:jc w:val="both"/>
        <w:ind w:right="320"/>
        <w:spacing w:after="0" w:line="370" w:lineRule="auto"/>
        <w:rPr>
          <w:sz w:val="20"/>
          <w:szCs w:val="20"/>
          <w:color w:val="auto"/>
        </w:rPr>
      </w:pPr>
      <w:r>
        <w:rPr>
          <w:rFonts w:ascii="Arial" w:cs="Arial" w:eastAsia="Arial" w:hAnsi="Arial"/>
          <w:sz w:val="15"/>
          <w:szCs w:val="15"/>
          <w:color w:val="auto"/>
        </w:rPr>
        <w:t>NTIC receives fees for technical and other support to NTIC’s corporate joint ventures based on the revenues of the individual corporate joint ventures. NTIC recognized fee income for such support in the amounts of $1,132,841 and $1,114,060 for the three months ended November 30, 2006 and 2005, respectively.</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2008. There was $120,000 of deferred income recorded within other accrued liabilities at November 30, 2006, related to this future conference. The costs associated with these joint venture conferences are offset against the deferral as incurred, generally in the period in which the conference is held and immediately before.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0" w:right="259" w:bottom="1440" w:gutter="0" w:footer="0" w:header="0"/>
        </w:sectPr>
      </w:pPr>
    </w:p>
    <w:bookmarkStart w:id="17" w:name="page18"/>
    <w:bookmarkEnd w:id="17"/>
    <w:p>
      <w:pPr>
        <w:ind w:right="180"/>
        <w:spacing w:after="0" w:line="288"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$1,316,249 and $1,165,584 for the three months ended November 30, 2006 and 2005, respectively.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NTIC acquired certain rights. The increase in direct expenses incurred relating to NTIC’s corporate joint ventures and holding companies for the three months ended November 30, 2006 compared to the same period in fiscal 2006 was attributable to increases in (i) legal fees of $130,000, (ii) travel expenses of $10,000 and (iii) lab testing and supplies expense of $37,000. These increases were partially offset by decreases in (i) consulting expense of $19,000. As a percentage of net sales, direct expenses incurred relating to NTIC’s corporate joint ventures and holding companies increased for the three months ended November 30, 2006 compared to the same respective period in fiscal 2006, primarily as a result of the changes in spending as described above.</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$935 for the three months ended November 30, 2006 compared to $26,801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2006 due to a lower average invested cash balances during the most recent period.</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$42,881 for the three months ended November 30, 2006 compared to $3,649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2006 due to a higher average outstanding debt and an increase in interest rates during the most recent period.</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Gain on sale of assets</w:t>
      </w:r>
      <w:r>
        <w:rPr>
          <w:rFonts w:ascii="Arial" w:cs="Arial" w:eastAsia="Arial" w:hAnsi="Arial"/>
          <w:sz w:val="18"/>
          <w:szCs w:val="18"/>
          <w:color w:val="auto"/>
        </w:rPr>
        <w:t>. NTIC recognized a gain on the sale of land, building and equipment that previously served as NTIC’s corporate headquarters of $724,495</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November 30, 2006. This was a one-time sale and no additional gain is anticipated to be recognized relating to the building in the future.</w:t>
      </w:r>
    </w:p>
    <w:p>
      <w:pPr>
        <w:spacing w:after="0" w:line="19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taxes increased $216,239 to $1,122,224 for the three months ended November 30, 2006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$905,984 for the same period in fiscal 2006.</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November 30, 2006 and 2005 was calculated based on management’s estimate of NTIC’s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effective income tax rate. NTIC’s annual effective income tax rate for the three months ended November 30, 2006 and 2005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November 30, 2006, NTIC’s working capital was $2,454,282 with $507,017 in cash and cash equivalents,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working capital of $2,221,334, including $299,117 in cash and cash equivalents, as of August 31, 2006.</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has a revolving credit facility that expires on January 31, 2007. Outstanding amounts under the revolving credit facility bear interest at an annual rate based on LIBOR plus 2.25%. As of November 30, 2006, the interest rate was 7.49%. Amounts borrowed under the facility are collateralized by a lien on substantially all of NTIC’s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NTIC is in compliance with all covenants under the revolving credit facility.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0" w:right="23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judgments entered against NTIC; and a sale of material assets. If an event of default occurs and is continuing, the lender may, among other things, terminate its obligations thereunder and require NTIC to repay all amounts thereunder. Outstanding balances under the revolving credit facility were $1,253,000 and $610,000 as of November 30, 2006 and August 31, 2006, respectively. The increase in the utilization of the line of credit is a result of the cash needed to finance the renovations to the new corporate headquarters. The line of credit is subject to a borrowing base calculation and at November 30, 2006, NTIC had $247,000 in available credit under the line.</w:t>
      </w:r>
    </w:p>
    <w:p>
      <w:pPr>
        <w:spacing w:after="0" w:line="19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NTIC believes that a combination of its existing cash and cash equivalents, funds available through existing or anticipated financing arrangements and forecasted cash flows, will continue to be adequate to fund its operations, capital expenditures, debt repayments and stock repurchases for at least the next twelve months.</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Cash flows used in operations for the three months ended November 30, 2006 was $265,279, which resulted principally from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depreciation and amortization expense, inventories and accounts payable being offset by equity income of corporate joint ventures, trade excluding corporate joint ventures, prepaid expenses, gain on sale of assets and accrued liabilities. Cash flows used in operations for the three months ended November 30, 2005 was $94,505, which resulted principally from equity income of corporate joint ventures, trade excluding corporate joint ventures, prepaid expenses and inventories, being offset by net income, depreciation and amortization expense, accounts payable, technical receivables from corporate joint ventures, income taxes and accrued liabilities.</w:t>
      </w:r>
    </w:p>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cash provided by investing activities for the three months ended November 30, 2006 was $135,698, which resulted from additions to property and equipment and industrial patents, offset by proceeds from the sale of assets and dividends received from corporate joint ventures. Net cash provided by investing activities for the three months ended November 30, 2005 was $604,560, which resulted from dividends received from corporate joint ventures and cash received from loans, offset by loans made, additions to property and equipment and industrial patents.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financing activities for the three months ended November 30, 2006 was $337,481, which resulted primarily from the borrowings on the line of credit, offset by bank overdrafts. Net cash used in financing activities the three months ended November 30, 2005 was $786,249, which resulted primarily from borrowing on the line of credit, partially offset by repayment of a note payable.</w:t>
      </w:r>
    </w:p>
    <w:p>
      <w:pPr>
        <w:spacing w:after="0" w:line="194" w:lineRule="exact"/>
        <w:rPr>
          <w:sz w:val="20"/>
          <w:szCs w:val="20"/>
          <w:color w:val="auto"/>
        </w:rPr>
      </w:pPr>
    </w:p>
    <w:p>
      <w:pPr>
        <w:jc w:val="both"/>
        <w:ind w:right="440"/>
        <w:spacing w:after="0" w:line="298"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has no material lease commitments as of November 30, 2006,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 NTIC has no postretirement benefit plan and does not anticipate establishing any postretirement benefit program.</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NTIC recently moved its corporate headquarters.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maturity date. The loan is secured by a first lien on the real estate and building.</w:t>
      </w:r>
    </w:p>
    <w:p>
      <w:pPr>
        <w:spacing w:after="0" w:line="19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$724,495 and are reflected in NTIC’s first quarter fiscal 2007 financial results.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9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NTIC. NTIC’s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consolidated statement of income.</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NTIC’s revolving credit facility bears interest at a rate based on LIBOR and thus may subject NTIC to some market risk on interest rates, $1,253,000 was outstanding under this facility as of November 30,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18 to NTIC’s consolidated financial statements for disclosure regarding related party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120"/>
        <w:spacing w:after="0" w:line="332" w:lineRule="auto"/>
        <w:rPr>
          <w:sz w:val="20"/>
          <w:szCs w:val="20"/>
          <w:color w:val="auto"/>
        </w:rPr>
      </w:pPr>
      <w:r>
        <w:rPr>
          <w:rFonts w:ascii="Arial" w:cs="Arial" w:eastAsia="Arial" w:hAnsi="Arial"/>
          <w:sz w:val="16"/>
          <w:szCs w:val="16"/>
          <w:color w:val="auto"/>
        </w:rPr>
        <w:t>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$11,840,314 and $10,772,102 as of November 30, 2006 and August 31,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$10,311 and $10,000 at November 30, 2006 and August 31,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90"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December 2004, FASB published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interpretive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effect of the Statement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the Statement. NTIC implemented FAS 123(R) on September 1, 2006, using the modified prospective transition method.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10-QSB contains not only historical information, but also forward-looking statements within the meaning of Section 27A of the Securities Act of 1933 and Section 21E of the Securities Exchange Act of 1934. In addition, NTIC or others on NTIC’s behalf may make forward-looking statements from time to time in oral presentations, including telephone conferences, in press releases or reports, on NTIC’s Internet web site or otherwise. Statements that are not historical are forward-looking and reflect expectations and assumptions. NTIC tries to identify forward-looking statements in this report and elsewhere by using words such as “may,” “will,” “should,” “expects,” “anticipates,” “contemplates,” “estimates,” “believes,” “plans,” “projected,” “predicts,” “potential” or “continue” or the negative of these or similar terms.</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Forward-looking statements involve risks and uncertainties. These uncertainties include factors that affect all businesses as well as matters specific to NTIC. NTIC cautions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below under the heading “Risk Factors,” as well as others that NTIC may consider immaterial or does not anticipate at this time. The risks and uncertainties described below under the heading “Risk Factors”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future quarterly reports on Form 10-QSB and current reports on Form 8-K it files with or furnishes to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NTIC that could materially adversely affect its business, financial condition or operating results.</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Over 19 percent of NTIC’s consolidated net sales, not including sales made at the various corporate joint venture, are generated outside of the U.S. and NTIC intends to continue to expand its international operations. NTIC’s international operations require management attention and financial resources and expose NTIC to difficulties presented by international economic, political, legal, accounting and business factors.</w:t>
      </w:r>
    </w:p>
    <w:p>
      <w:pPr>
        <w:spacing w:after="0" w:line="161"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not including the corporate joint venture sales, outside the United States were 19.8% of its total consolidated net sales for the three months ended November 30, 2006 and 20.3% of its total consolidated net sales for fiscal 2006. One of NTIC’s strategic objectives is to expand its international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0" w:right="259" w:bottom="1440" w:gutter="0" w:footer="0" w:header="0"/>
        </w:sectPr>
      </w:pPr>
    </w:p>
    <w:bookmarkStart w:id="22" w:name="page23"/>
    <w:bookmarkEnd w:id="22"/>
    <w:p>
      <w:pPr>
        <w:ind w:right="80"/>
        <w:spacing w:after="0" w:line="255" w:lineRule="auto"/>
        <w:rPr>
          <w:sz w:val="20"/>
          <w:szCs w:val="20"/>
          <w:color w:val="auto"/>
        </w:rPr>
      </w:pPr>
      <w:r>
        <w:rPr>
          <w:rFonts w:ascii="Arial" w:cs="Arial" w:eastAsia="Arial" w:hAnsi="Arial"/>
          <w:sz w:val="18"/>
          <w:szCs w:val="18"/>
          <w:color w:val="auto"/>
        </w:rPr>
        <w:t>NTIC has recently entered into joint ventures in Australia, the Ukraine, Thailand and the United Arab Emirates. The expansion of NTIC’s existing international operations and entry into 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97" w:lineRule="exact"/>
        <w:rPr>
          <w:sz w:val="20"/>
          <w:szCs w:val="20"/>
          <w:color w:val="auto"/>
        </w:rPr>
      </w:pPr>
    </w:p>
    <w:p>
      <w:pPr>
        <w:ind w:left="1160" w:right="22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1160" w:right="320" w:hanging="571"/>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influence NTIC’s operating results.</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NTIC’s liquidity and financial position rely on dividend distributions from its corporate joint ventures. Because NTIC typically owns only 50%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consolidated net sales and net earnings.</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590" w:right="29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Approximately 33.5% of NTIC’s consolidated net sales for the three months ended November 30, 2006 and 26.6% of NTIC’s consolidated net sales for the fiscal year ended August 31, 2006 were dependent upon a single customer, the loss of which would adversely affect NTIC’s financial condition and consolidated operating results.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One of NTIC’s North American customers accounted for, in the aggregate, approximately 33.5% of NTIC’s consolidated net sales for the three months ended November 30, 2006 and 26.6% of NTIC’s consolidated net sales for the fiscal year ended August 31, 2006. If NTIC were to lose this customer or if this customer were to substantially decrease its purchases of NTIC’s products, NTIC’s financial condition and consolidated operating results would be adversely affected.</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Sarbanes-Oxley Act of 2002 could adversely affect NTIC’s operating results and financial condition.</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NTIC adopted accounting policy FASB Interpretation No. 46R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a revision of FIN 46”</w:t>
      </w:r>
      <w:r>
        <w:rPr>
          <w:rFonts w:ascii="Arial" w:cs="Arial" w:eastAsia="Arial" w:hAnsi="Arial"/>
          <w:sz w:val="16"/>
          <w:szCs w:val="16"/>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all of its corporate joint ventures or if NTIC’s corporate joint ventures otherwise would be required to be Sarbanes-Oxley compliant,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One of NTIC’s principal stockholders beneficially owns 25.2% of NTIC’s outstanding common stock and is affiliated with NTIC’s President and Chief Executive Officer and thus may be able influence matters requiring stockholder approval and could discourage or otherwise impede a transaction in which a third party wishes to purchase NTIC’s outstanding shares at a premium.</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November 30, 2006, Inter Alia Holding Company beneficially owned approximately 25.2% of NTIC’s outstanding common stock. Inter Alia is an entity owned by, among others, G. Patrick Lynch, NTIC’s President and Chief Executive Officer and a director, and Philip M. Lynch, NTIC’s former Chairman of the Board and Chief Executive Officer and current Chairman Emeritus.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Messrs. G.P.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0" w:right="259" w:bottom="1440" w:gutter="0" w:footer="0" w:header="0"/>
        </w:sectPr>
      </w:pPr>
    </w:p>
    <w:bookmarkStart w:id="24" w:name="page25"/>
    <w:bookmarkEnd w:id="24"/>
    <w:p>
      <w:pPr>
        <w:ind w:right="120"/>
        <w:spacing w:after="0" w:line="268"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any future litigation over this trademark, NTIC could be in a more difficult position to enforce its rights to this trademark in other countries and against other third parties. NTIC believes that the loss of its trademark for the color Yellow could have an adverse affect on NTIC’s business.</w:t>
      </w:r>
    </w:p>
    <w:p>
      <w:pPr>
        <w:spacing w:after="0" w:line="16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with which compliance may require NTIC to incur expenses or modify its products or operations and may expose NTIC to penalties for non-compliance. Governmental regulation may also adversely affect the demand for some of NTIC’s products and its operating results.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its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intends to grow its business through additional joint ventures, alliances and acquisitions, which could be risky and could harm its business.</w:t>
      </w:r>
    </w:p>
    <w:p>
      <w:pPr>
        <w:spacing w:after="0" w:line="2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97"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57"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25" w:name="page26"/>
    <w:bookmarkEnd w:id="25"/>
    <w:p>
      <w:pPr>
        <w:ind w:left="1160" w:hanging="571"/>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NTIC’s valuation models;</w:t>
      </w:r>
    </w:p>
    <w:p>
      <w:pPr>
        <w:spacing w:after="0" w:line="180" w:lineRule="exact"/>
        <w:rPr>
          <w:rFonts w:ascii="Arial" w:cs="Arial" w:eastAsia="Arial" w:hAnsi="Arial"/>
          <w:sz w:val="16"/>
          <w:szCs w:val="16"/>
          <w:color w:val="auto"/>
        </w:rPr>
      </w:pPr>
    </w:p>
    <w:p>
      <w:pPr>
        <w:jc w:val="both"/>
        <w:ind w:left="1160" w:right="20" w:hanging="571"/>
        <w:spacing w:after="0" w:line="259"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our ability to access additional capital when needed or to pursue other important elements of NTIC’s business strategy;</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1160" w:right="100" w:hanging="571"/>
        <w:spacing w:after="0" w:line="268"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employment.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4" w:right="23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t>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is patents or if it initiates any proceedings to protect its proprietary rights and if the outcome of any such litigation is unfavorable to NTIC, its business and operating results could be materially adversely affected.</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Products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NTIC faces intense competition in all of its product lines, including from competitors that have substantially greater resources than NTIC does. NTIC cannot assure you it will be able to compete effectively, which would harm its business and operating results.</w:t>
      </w:r>
    </w:p>
    <w:p>
      <w:pPr>
        <w:spacing w:after="0" w:line="139"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NTIC’s products are sold in highly competitive markets throughout the world. The principal competitive factors in NTIC’s markets are pricing, product innovation, quality and reliability, product support and customer service and reputation. NTIC competes in all of its products with numerous manufacturers, many of who have substantially greater financial, marketing, and other resources than NTIC does. As a result, they may be able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0" w:right="239" w:bottom="1440" w:gutter="0" w:footer="0" w:header="0"/>
        </w:sectPr>
      </w:pPr>
    </w:p>
    <w:bookmarkStart w:id="27" w:name="page28"/>
    <w:bookmarkEnd w:id="27"/>
    <w:p>
      <w:pPr>
        <w:ind w:right="100"/>
        <w:spacing w:after="0" w:line="255" w:lineRule="auto"/>
        <w:rPr>
          <w:sz w:val="20"/>
          <w:szCs w:val="20"/>
          <w:color w:val="auto"/>
        </w:rPr>
      </w:pPr>
      <w:r>
        <w:rPr>
          <w:rFonts w:ascii="Arial" w:cs="Arial" w:eastAsia="Arial" w:hAnsi="Arial"/>
          <w:sz w:val="18"/>
          <w:szCs w:val="18"/>
          <w:color w:val="auto"/>
        </w:rPr>
        <w:t>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Securities and Exchange Commission rules and regulations and American Stock Exchange rules, create challenges and compliance requirements for publicly held companies, including NTIC. NTIC’s efforts to comply with evolving laws, rules,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evaluations of internal control over financial reporting required by Section 404 of the Sarbanes-Oxley Act.</w:t>
      </w:r>
    </w:p>
    <w:p>
      <w:pPr>
        <w:spacing w:after="0" w:line="2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and related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0" w:right="239" w:bottom="1440" w:gutter="0" w:footer="0" w:header="0"/>
        </w:sectPr>
      </w:pPr>
    </w:p>
    <w:bookmarkStart w:id="28" w:name="page29"/>
    <w:bookmarkEnd w:id="28"/>
    <w:p>
      <w:pPr>
        <w:ind w:right="20"/>
        <w:spacing w:after="0" w:line="288" w:lineRule="auto"/>
        <w:rPr>
          <w:sz w:val="20"/>
          <w:szCs w:val="20"/>
          <w:color w:val="auto"/>
        </w:rPr>
      </w:pPr>
      <w:r>
        <w:rPr>
          <w:rFonts w:ascii="Arial" w:cs="Arial" w:eastAsia="Arial" w:hAnsi="Arial"/>
          <w:sz w:val="16"/>
          <w:szCs w:val="16"/>
          <w:color w:val="auto"/>
        </w:rPr>
        <w:t>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2006 that has materially affected, or is reasonably likely to materially affect NTIC’s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9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 description of NTIC’s legal proceedings in the first paragraph under Note 20 of NTIC’s consolidated financial statements included within this report is incorporated herein by reference.</w:t>
      </w:r>
    </w:p>
    <w:p>
      <w:pPr>
        <w:spacing w:after="0" w:line="180"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ITEM 2.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During the three months ended November 30, 2006, NTIC did not issue any shares of its common stock or other equity securities of NTIC that were not registered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2006, NTIC did not purchase any shares of its common stock or other equity securities of NTIC.</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repurchased and retired an aggregate of 44,200 shares of its common stock.</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On December 10, 2006, NTIC obtained a demand line of credit of up to the principal amount of $600,000 from National City Bank to fund NTIC’s obligations related to a required deposit of $445,469 with the courts in Finland in connection with NTIC’s legal action in Finland. We refer you to Note 20 of NTIC’s consolidated financial statements included elsewhere in this report for more information regarding the legal action. Advances made under the demand line of credit will be made at the sole discretion of National City Bank and will be due and payable on demand. Any outstanding unpaid principal balance under the</w:t>
      </w:r>
    </w:p>
    <w:p>
      <w:pPr>
        <w:spacing w:after="0" w:line="3"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demand line of credit bears interest at an annual rate based on LIBOR plus 2.25%. Interest is payable in arrears on January 15, 2007 and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each month thereafter and on demand.</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16, 2006, the “independent directors” of NTIC approved the material terms of an annual bonus plan for executive officers and certain employees of NTIC for the fiscal year ending August 31, 2007, the purpose of which is to align the interests of NTIC and its subsidiaries, executive officers and stockholders by providing an incentive for the achievement of key corporate and individual performance measures that are critical to the success of NTIC and linking a significant portion of each executive officer’s annual compensation to the achievement of such measures. The following is a brief summary of the material terms approved by the Board:</w:t>
      </w:r>
    </w:p>
    <w:p>
      <w:pPr>
        <w:spacing w:after="0" w:line="197"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NTIC’s earnings before interest, taxes and other income (EBITOI);</w:t>
      </w:r>
    </w:p>
    <w:p>
      <w:pPr>
        <w:spacing w:after="0" w:line="180" w:lineRule="exact"/>
        <w:rPr>
          <w:rFonts w:ascii="Arial" w:cs="Arial" w:eastAsia="Arial" w:hAnsi="Arial"/>
          <w:sz w:val="16"/>
          <w:szCs w:val="16"/>
          <w:color w:val="auto"/>
        </w:rPr>
      </w:pPr>
    </w:p>
    <w:p>
      <w:pPr>
        <w:ind w:left="1160" w:right="12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of bonuses under the plan will be made in both cash and stock, the exact amount and percentages of which will be determined by the Compensation Committee of the Board of Directors of NTIC.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020" w:type="dxa"/>
            <w:vAlign w:val="bottom"/>
            <w:gridSpan w:val="2"/>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09"/>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w w:val="98"/>
              </w:rPr>
              <w:t>Commercial Note: Demand Line of Credit dated December 10, 2006 in the principal amount of $600,000 issued by Northern</w:t>
            </w:r>
          </w:p>
        </w:tc>
      </w:tr>
      <w:tr>
        <w:trPr>
          <w:trHeight w:val="222"/>
        </w:trPr>
        <w:tc>
          <w:tcPr>
            <w:tcW w:w="1420" w:type="dxa"/>
            <w:vAlign w:val="bottom"/>
          </w:tcPr>
          <w:p>
            <w:pPr>
              <w:spacing w:after="0"/>
              <w:rPr>
                <w:sz w:val="19"/>
                <w:szCs w:val="19"/>
                <w:color w:val="auto"/>
              </w:rPr>
            </w:pP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Technologies International Corporation to National City Bank</w:t>
            </w:r>
          </w:p>
        </w:tc>
      </w:tr>
      <w:tr>
        <w:trPr>
          <w:trHeight w:val="365"/>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65"/>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58"/>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r>
      <w:tr>
        <w:trPr>
          <w:trHeight w:val="222"/>
        </w:trPr>
        <w:tc>
          <w:tcPr>
            <w:tcW w:w="1420" w:type="dxa"/>
            <w:vAlign w:val="bottom"/>
          </w:tcPr>
          <w:p>
            <w:pPr>
              <w:spacing w:after="0"/>
              <w:rPr>
                <w:sz w:val="19"/>
                <w:szCs w:val="19"/>
                <w:color w:val="auto"/>
              </w:rPr>
            </w:pP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Act of 2002</w:t>
            </w:r>
          </w:p>
        </w:tc>
      </w:tr>
      <w:tr>
        <w:trPr>
          <w:trHeight w:val="358"/>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w:t>
            </w:r>
          </w:p>
        </w:tc>
      </w:tr>
      <w:tr>
        <w:trPr>
          <w:trHeight w:val="222"/>
        </w:trPr>
        <w:tc>
          <w:tcPr>
            <w:tcW w:w="1420" w:type="dxa"/>
            <w:vAlign w:val="bottom"/>
          </w:tcPr>
          <w:p>
            <w:pPr>
              <w:spacing w:after="0"/>
              <w:rPr>
                <w:sz w:val="19"/>
                <w:szCs w:val="19"/>
                <w:color w:val="auto"/>
              </w:rPr>
            </w:pP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Act of 2002</w:t>
            </w:r>
          </w:p>
        </w:tc>
      </w:tr>
      <w:tr>
        <w:trPr>
          <w:trHeight w:val="432"/>
        </w:trPr>
        <w:tc>
          <w:tcPr>
            <w:tcW w:w="1420" w:type="dxa"/>
            <w:vAlign w:val="bottom"/>
          </w:tcPr>
          <w:p>
            <w:pPr>
              <w:spacing w:after="0"/>
              <w:rPr>
                <w:sz w:val="24"/>
                <w:szCs w:val="24"/>
                <w:color w:val="auto"/>
              </w:rPr>
            </w:pPr>
          </w:p>
        </w:tc>
        <w:tc>
          <w:tcPr>
            <w:tcW w:w="10020" w:type="dxa"/>
            <w:vAlign w:val="bottom"/>
            <w:gridSpan w:val="2"/>
          </w:tcPr>
          <w:p>
            <w:pPr>
              <w:jc w:val="right"/>
              <w:ind w:right="56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40"/>
          </w:cols>
          <w:pgMar w:left="240" w:top="584" w:right="219" w:bottom="1440" w:gutter="0" w:footer="0" w:header="0"/>
        </w:sectPr>
      </w:pPr>
    </w:p>
    <w:bookmarkStart w:id="31" w:name="page32"/>
    <w:bookmarkEnd w:id="3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NORTHERN TECHNOLOGIES INTERNATIONAL</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804545</wp:posOffset>
            </wp:positionV>
            <wp:extent cx="2838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144145</wp:posOffset>
            </wp:positionV>
            <wp:extent cx="1200785" cy="5918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785" cy="59182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Date: January 11,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 and Duly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Authorized to Sign on Behalf of the Registrant)</w:t>
      </w:r>
    </w:p>
    <w:p>
      <w:pPr>
        <w:spacing w:after="0" w:line="200" w:lineRule="exact"/>
        <w:rPr>
          <w:sz w:val="20"/>
          <w:szCs w:val="20"/>
          <w:color w:val="auto"/>
        </w:rPr>
      </w:pPr>
    </w:p>
    <w:p>
      <w:pPr>
        <w:sectPr>
          <w:pgSz w:w="11900" w:h="16838" w:orient="portrait"/>
          <w:cols w:equalWidth="0" w:num="2">
            <w:col w:w="6260" w:space="720"/>
            <w:col w:w="4320"/>
          </w:cols>
          <w:pgMar w:left="240" w:top="584" w:right="359" w:bottom="1440" w:gutter="0" w:footer="0" w:header="0"/>
          <w:type w:val="continuous"/>
        </w:sectPr>
      </w:pP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00"/>
          </w:cols>
          <w:pgMar w:left="240" w:top="584" w:right="35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jc w:val="center"/>
              <w:ind w:left="1437"/>
              <w:spacing w:after="0"/>
              <w:rPr>
                <w:sz w:val="20"/>
                <w:szCs w:val="20"/>
                <w:color w:val="auto"/>
              </w:rPr>
            </w:pPr>
            <w:r>
              <w:rPr>
                <w:rFonts w:ascii="Arial" w:cs="Arial" w:eastAsia="Arial" w:hAnsi="Arial"/>
                <w:sz w:val="18"/>
                <w:szCs w:val="18"/>
                <w:b w:val="1"/>
                <w:bCs w:val="1"/>
                <w:color w:val="auto"/>
                <w:w w:val="99"/>
              </w:rPr>
              <w:t>NORTHERN TECHNOLOGIES INTERNATIONAL CORPORATION</w:t>
            </w:r>
          </w:p>
        </w:tc>
      </w:tr>
      <w:tr>
        <w:trPr>
          <w:trHeight w:val="216"/>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2"/>
          </w:tcPr>
          <w:p>
            <w:pPr>
              <w:jc w:val="center"/>
              <w:ind w:left="1437"/>
              <w:spacing w:after="0"/>
              <w:rPr>
                <w:sz w:val="20"/>
                <w:szCs w:val="20"/>
                <w:color w:val="auto"/>
              </w:rPr>
            </w:pPr>
            <w:r>
              <w:rPr>
                <w:rFonts w:ascii="Arial" w:cs="Arial" w:eastAsia="Arial" w:hAnsi="Arial"/>
                <w:sz w:val="18"/>
                <w:szCs w:val="18"/>
                <w:b w:val="1"/>
                <w:bCs w:val="1"/>
                <w:color w:val="auto"/>
                <w:w w:val="96"/>
              </w:rPr>
              <w:t>QUARTERLY REPORT ON FORM 10-QSB</w:t>
            </w:r>
          </w:p>
        </w:tc>
      </w:tr>
      <w:tr>
        <w:trPr>
          <w:trHeight w:val="228"/>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00" w:type="dxa"/>
            <w:vAlign w:val="bottom"/>
            <w:gridSpan w:val="2"/>
          </w:tcPr>
          <w:p>
            <w:pPr>
              <w:jc w:val="center"/>
              <w:ind w:left="1457"/>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200" w:type="dxa"/>
            <w:vAlign w:val="bottom"/>
          </w:tcPr>
          <w:p>
            <w:pPr>
              <w:spacing w:after="0"/>
              <w:rPr>
                <w:sz w:val="24"/>
                <w:szCs w:val="24"/>
                <w:color w:val="auto"/>
              </w:rPr>
            </w:pPr>
          </w:p>
        </w:tc>
        <w:tc>
          <w:tcPr>
            <w:tcW w:w="6900" w:type="dxa"/>
            <w:vAlign w:val="bottom"/>
            <w:gridSpan w:val="2"/>
          </w:tcPr>
          <w:p>
            <w:pPr>
              <w:ind w:left="3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91"/>
              </w:rPr>
              <w:t>Commercial Note: Demand Line of Credit dated December 10, 2006 in the principal amount of</w:t>
            </w:r>
          </w:p>
        </w:tc>
      </w:tr>
      <w:tr>
        <w:trPr>
          <w:trHeight w:val="222"/>
        </w:trPr>
        <w:tc>
          <w:tcPr>
            <w:tcW w:w="1300" w:type="dxa"/>
            <w:vAlign w:val="bottom"/>
          </w:tcPr>
          <w:p>
            <w:pPr>
              <w:spacing w:after="0"/>
              <w:rPr>
                <w:sz w:val="19"/>
                <w:szCs w:val="19"/>
                <w:color w:val="auto"/>
              </w:rPr>
            </w:pP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95"/>
              </w:rPr>
              <w:t>$600,000 issued by Northern Technologies International Corporation to National City Bank</w:t>
            </w:r>
          </w:p>
        </w:tc>
      </w:tr>
      <w:tr>
        <w:trPr>
          <w:trHeight w:val="35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93"/>
              </w:rPr>
              <w:t>Certification of Chief Executive Officer Pursuant to Section 302 of the Sarbanes-Oxley Act of</w:t>
            </w:r>
          </w:p>
        </w:tc>
      </w:tr>
      <w:tr>
        <w:trPr>
          <w:trHeight w:val="222"/>
        </w:trPr>
        <w:tc>
          <w:tcPr>
            <w:tcW w:w="130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r>
      <w:tr>
        <w:trPr>
          <w:trHeight w:val="35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94"/>
              </w:rPr>
              <w:t>Certification of Chief Financial Officer Pursuant to Section 302 of the Sarbanes-Oxley Act of</w:t>
            </w:r>
          </w:p>
        </w:tc>
      </w:tr>
      <w:tr>
        <w:trPr>
          <w:trHeight w:val="222"/>
        </w:trPr>
        <w:tc>
          <w:tcPr>
            <w:tcW w:w="130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r>
      <w:tr>
        <w:trPr>
          <w:trHeight w:val="35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99"/>
              </w:rPr>
              <w:t>Certification of Chief Executive Officer Pursuant to 18 U.S.C. Section 1350, as Adopted</w:t>
            </w:r>
          </w:p>
        </w:tc>
      </w:tr>
      <w:tr>
        <w:trPr>
          <w:trHeight w:val="222"/>
        </w:trPr>
        <w:tc>
          <w:tcPr>
            <w:tcW w:w="1300" w:type="dxa"/>
            <w:vAlign w:val="bottom"/>
          </w:tcPr>
          <w:p>
            <w:pPr>
              <w:spacing w:after="0"/>
              <w:rPr>
                <w:sz w:val="19"/>
                <w:szCs w:val="19"/>
                <w:color w:val="auto"/>
              </w:rPr>
            </w:pP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58"/>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w:t>
            </w:r>
          </w:p>
        </w:tc>
      </w:tr>
      <w:tr>
        <w:trPr>
          <w:trHeight w:val="222"/>
        </w:trPr>
        <w:tc>
          <w:tcPr>
            <w:tcW w:w="1300" w:type="dxa"/>
            <w:vAlign w:val="bottom"/>
          </w:tcPr>
          <w:p>
            <w:pPr>
              <w:spacing w:after="0"/>
              <w:rPr>
                <w:sz w:val="19"/>
                <w:szCs w:val="19"/>
                <w:color w:val="auto"/>
              </w:rPr>
            </w:pPr>
          </w:p>
        </w:tc>
        <w:tc>
          <w:tcPr>
            <w:tcW w:w="7100" w:type="dxa"/>
            <w:vAlign w:val="bottom"/>
            <w:gridSpan w:val="3"/>
          </w:tcPr>
          <w:p>
            <w:pPr>
              <w:ind w:left="200"/>
              <w:spacing w:after="0"/>
              <w:rPr>
                <w:sz w:val="20"/>
                <w:szCs w:val="20"/>
                <w:color w:val="auto"/>
              </w:rPr>
            </w:pPr>
            <w:r>
              <w:rPr>
                <w:rFonts w:ascii="Arial" w:cs="Arial" w:eastAsia="Arial" w:hAnsi="Arial"/>
                <w:sz w:val="18"/>
                <w:szCs w:val="18"/>
                <w:color w:val="auto"/>
              </w:rPr>
              <w:t>to Section 906 of the Sarbanes-Oxley Act of 2002</w:t>
            </w:r>
          </w:p>
        </w:tc>
      </w:tr>
      <w:tr>
        <w:trPr>
          <w:trHeight w:val="432"/>
        </w:trPr>
        <w:tc>
          <w:tcPr>
            <w:tcW w:w="1300" w:type="dxa"/>
            <w:vAlign w:val="bottom"/>
          </w:tcPr>
          <w:p>
            <w:pPr>
              <w:spacing w:after="0"/>
              <w:rPr>
                <w:sz w:val="24"/>
                <w:szCs w:val="24"/>
                <w:color w:val="auto"/>
              </w:rPr>
            </w:pPr>
          </w:p>
        </w:tc>
        <w:tc>
          <w:tcPr>
            <w:tcW w:w="7080" w:type="dxa"/>
            <w:vAlign w:val="bottom"/>
            <w:gridSpan w:val="2"/>
          </w:tcPr>
          <w:p>
            <w:pPr>
              <w:jc w:val="center"/>
              <w:ind w:left="1652"/>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68580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Furnished herewith</w:t>
      </w:r>
    </w:p>
    <w:p>
      <w:pPr>
        <w:sectPr>
          <w:pgSz w:w="11900" w:h="16838" w:orient="portrait"/>
          <w:cols w:equalWidth="0" w:num="2">
            <w:col w:w="8600" w:space="720"/>
            <w:col w:w="1360"/>
          </w:cols>
          <w:pgMar w:left="240" w:top="584" w:right="9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NOTE: DEMAND LINE OF CREDIT</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DEMAND, FOR VALUE RECEIVED, Northern Technologies International Corporation, a Delaware corporation (“Borrower”), whose mailing address is 4201 Woodland Road, Circle Pines, MN 55014, hereby promises to pay to the order of NATIONAL CITY BANK, a national banking association (“Bank”), having a banking office at 1900 East Ninth Street, Cleveland, Ohio 44114 Attention: Commercial Division, Locator No. 01-8485, at the address specified on the bills received by Borrower from Bank (or at such other place as Bank may from time to time designate by written notice) in lawful money of the United States of America, the principal sum of Six Hundred Thousand and 00/100 Dollars ($600,000.00) or such lesser amount as may appear on this Note, or as may be entered in a loan account on Bank’s books and records, or both, together with interest, all as provided below. Notwithstanding any provision or inference to the contrary, this Note may be enforced without presentment, protest, or notice of dishonor, all of which are waived by all makers and indorsers of this Note, now or hereafter existing. Any reference to any rate of interest or late charge to be applicable after any notice of demand or the commencement of any Proceeding is made solely for the purpose of determining the rate of interest and late charges applicable under this Note, and shall not diminish or impair Bank’s right to enforce this Note at any time.</w:t>
      </w:r>
    </w:p>
    <w:p>
      <w:pPr>
        <w:spacing w:after="0" w:line="177" w:lineRule="exact"/>
        <w:rPr>
          <w:sz w:val="20"/>
          <w:szCs w:val="20"/>
          <w:color w:val="auto"/>
        </w:rPr>
      </w:pPr>
    </w:p>
    <w:p>
      <w:pPr>
        <w:ind w:right="20" w:firstLine="8"/>
        <w:spacing w:after="0" w:line="290"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Commitment; Loan Processing Fee. This Note evidences an arrangement whereby, for Borrower’s convenience, Borrower may, without having to execute and deliver a separate note each time, obtain such loans (each a “Subject Loan”) as Borrower may from time to time request and as Bank in its sole discretion may from time to time be willing to make, subject in any case to the condition that (a) each Subject Loan shall be in an amount that is an integral multiple of One Thousand and 00/100 Dollars ($1,000.00) and (b) that the aggregate unpaid principal balance of the Subject Loans shall not at any time exceed the face amount of this Note. NOTWITHSTANDING ANY PROVISION OR INFERENCE TO THE CONTRARY, BANK SHALL HAVE NO OBLIGATION TO EXTEND ANY CREDIT TO OR FOR THE ACCOUNT OF BORROWER BY REASON OF THIS NOTE. Borrower shall pay Bank, on the date of this Note, a non-refundable loan processing fee in an amount equal to One Thousand Five Hundred and 00/100 Dollars ($1,500.00).</w:t>
      </w:r>
    </w:p>
    <w:p>
      <w:pPr>
        <w:spacing w:after="0" w:line="172" w:lineRule="exact"/>
        <w:rPr>
          <w:rFonts w:ascii="Arial" w:cs="Arial" w:eastAsia="Arial" w:hAnsi="Arial"/>
          <w:sz w:val="16"/>
          <w:szCs w:val="16"/>
          <w:color w:val="auto"/>
        </w:rPr>
      </w:pPr>
    </w:p>
    <w:p>
      <w:pPr>
        <w:ind w:right="80" w:firstLine="8"/>
        <w:spacing w:after="0" w:line="290"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Loan Requests; Disbursement. A Subject Loan is properly requested if requested orally or in writing not later than 2:00 p. m., Banking-Office Time, of the Banking Day upon which that Subject Loan is to be made. Each request for a Subject Loan shall of itself constitute, both when made and when honored, a representation and warranty by Borrower to Bank that Borrower is entitled to obtain the requested Subject Loan. Bank is hereby irrevocably authorized to make an appropriate entry on this Note, in a loan account on Bank’s books and records, or both, whenever Borrower obtains a Subject Loan. Each such entry shall be prima facie evidence of the data entered, but the making of such an entry shall not be a condition to Borrower’s obligation to pay. Bank is hereby directed, absent notice from Borrower to the contrary, to disburse the proceeds of each such Subject Loan to Borrower’s general checking account with Bank. Bank shall have no duty to follow, nor any liability for, the application of any proceeds of any Subject Loan.</w:t>
      </w:r>
    </w:p>
    <w:p>
      <w:pPr>
        <w:spacing w:after="0" w:line="172" w:lineRule="exact"/>
        <w:rPr>
          <w:rFonts w:ascii="Arial" w:cs="Arial" w:eastAsia="Arial" w:hAnsi="Arial"/>
          <w:sz w:val="16"/>
          <w:szCs w:val="16"/>
          <w:color w:val="auto"/>
        </w:rPr>
      </w:pPr>
    </w:p>
    <w:p>
      <w:pPr>
        <w:ind w:firstLine="8"/>
        <w:spacing w:after="0" w:line="287"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The unpaid principal balance of each Subject Loan shall at all times bear interest at the Contract Rate, provided, that so long as (a) any principal of any Subject Loan remains unpaid after Bank shall have given Borrower notice of demand for any such principal or after the commencement of any Proceeding with respect to Borrower, or (b) any accrued interest on any Subject Loan remains unpaid after the due date of that interest, then, and in each such case, all unpaid principal of this Note and all overdue interest on that principal shall bear interest at a fluctuating rate equal to two percent (2%) per annum above the rate that would otherwise be applicable, but in no case less than two percent (2%) per annum above the Prime Rate; provided further, that in no event shall any principal of or interest on any Subject Loan bear interest at any time after the giving of any such notice or the commencement of any such Proceeding, whichever shall first occur, at a lesser rate than the rate applicable thereto immediately after the giving of that notice or the commencement of that Proceeding, as the case may be. The “Contract Rate” shall at all times be a fluctuating rate equal to 2.25% per annum plus One Month LIBOR (the “One Month LIBOR Rate”), provided, that in the event One Month LIBOR is unavailable as a result of Bank’s good faith determination of the occurrence of one of the events specified in section 4, the “Contract Rate” shall be a fluctuating rate equal to the Prime Rate.</w:t>
      </w:r>
    </w:p>
    <w:p>
      <w:pPr>
        <w:sectPr>
          <w:pgSz w:w="11900" w:h="16838" w:orient="portrait"/>
          <w:cols w:equalWidth="0" w:num="1">
            <w:col w:w="11420"/>
          </w:cols>
          <w:pgMar w:left="240" w:top="125" w:right="239" w:bottom="1440" w:gutter="0" w:footer="0" w:header="0"/>
        </w:sectPr>
      </w:pPr>
    </w:p>
    <w:bookmarkStart w:id="34" w:name="page35"/>
    <w:bookmarkEnd w:id="34"/>
    <w:p>
      <w:pPr>
        <w:spacing w:after="0" w:line="306" w:lineRule="auto"/>
        <w:rPr>
          <w:sz w:val="20"/>
          <w:szCs w:val="20"/>
          <w:color w:val="auto"/>
        </w:rPr>
      </w:pPr>
      <w:r>
        <w:rPr>
          <w:rFonts w:ascii="Arial" w:cs="Arial" w:eastAsia="Arial" w:hAnsi="Arial"/>
          <w:sz w:val="16"/>
          <w:szCs w:val="16"/>
          <w:color w:val="auto"/>
        </w:rPr>
        <w:t>Interest on each Subject Loan shall be payable in arrears on January 15, 2007, and on the 15th day of each month thereafter and on demand. The One Month LIBOR Rate shall be adjusted by Bank, as necessary, at the end of each Banking Day during the term hereof. Bank shall not be required to notify Borrower of any adjustment in the One Month LIBOR Rate; however, Borrower may request a quote of the prevailing Contract Rate on any Banking Day.</w:t>
      </w:r>
    </w:p>
    <w:p>
      <w:pPr>
        <w:spacing w:after="0" w:line="161" w:lineRule="exact"/>
        <w:rPr>
          <w:sz w:val="20"/>
          <w:szCs w:val="20"/>
          <w:color w:val="auto"/>
        </w:rPr>
      </w:pPr>
    </w:p>
    <w:p>
      <w:pPr>
        <w:ind w:right="100" w:firstLine="8"/>
        <w:spacing w:after="0" w:line="289"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LIBOR Unavailable. Notwithstanding any provision or inference to the contrary, the Contract Rate shall not be based on One Month LIBOR if Bank shall determine in good faith that (a) any governmental authority has asserted that it is unlawful for Bank to fund, make, or maintain loans bearing interest based on One Month LIBOR, or (b) circumstances affecting the market selected by Bank for the purpose of funding the Subject Loans make it impracticable for Bank to determine One Month LIBOR. Bank’s books and records shall be conclusive (absent manifest error) as to whether Bank shall have determined that the Contract Rate is prohibited from being based on One Month LIBOR. If the Contract Rate is prohibited from being based on One Month LIBOR as a result of the occurrence of one of the events referenced in this section 4, then, and in each such case, notwithstanding any provision or inference to the contrary, the then outstanding principal balance of this Note shall, upon Bank giving Borrower notice of Bank’s determination of the occurrence of such an event, bear interest at a Contract Rate based on the Prime Rate as contemplated in section 3.</w:t>
      </w:r>
    </w:p>
    <w:p>
      <w:pPr>
        <w:spacing w:after="0" w:line="172" w:lineRule="exact"/>
        <w:rPr>
          <w:rFonts w:ascii="Arial" w:cs="Arial" w:eastAsia="Arial" w:hAnsi="Arial"/>
          <w:sz w:val="16"/>
          <w:szCs w:val="16"/>
          <w:color w:val="auto"/>
        </w:rPr>
      </w:pPr>
    </w:p>
    <w:p>
      <w:pPr>
        <w:ind w:right="60" w:firstLine="8"/>
        <w:spacing w:after="0" w:line="303" w:lineRule="auto"/>
        <w:tabs>
          <w:tab w:leader="none" w:pos="176"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Definitions. As used in this Note, except where the context clearly requires otherwise, “Bank Debt” means, collectively, all Debt to Bank, whether incurred directly to Bank or acquired by it by purchase, pledge, or otherwise, and whether participated to or from Bank in whole or in part; “Banking Day” means any day (other than any Saturday, Sunday or legal holiday) on which Bank’s banking office is open to the public for carrying on substantially all of its banking functions; “Banking-Office Time” means, when used with reference to any time, that time determined at the location of Bank’s banking office; “Date of Reference” means, on any Banking Day, a date which is two (2) Eurodollar Banking Days prior to the Banking Day in question; “Debt” means, collectively, all obligations of the Person or Persons in question, including, without limitation, every such obligation whether owing by one such Person alone or with one or more other Persons in a joint, several, or joint and several capacity, whether now owing or hereafter arising, whether owing absolutely or contingently, whether created by lease, loan, overdraft, guaranty of payment, or other contract, or by quasi-contract, tort, statute, other operation of law, or otherwise; “Eurodollar Banking Day” means any Banking Day on which banks in the London Interbank Market deal in United States dollar deposits and on which banking institutions are generally open for domestic and international business at the place where Bank’s banking office is located and in New York City; “Note” means this promissory note (including, without limitation, each addendum, allonge, or amendment, if any, hereto); “Obligor” means any Person who, or any of whose property, shall at the time in question be obligated in respect of all or any part of the Bank Debt of Borrower and (in addition to Borrower) includes, without limitation, co-makers, indorsers, guarantors, pledgors, hypothecators, mortgagors, and any other Person who agrees, conditionally or otherwise, to assure such other Obligor’s creditors or any of them against loss; “One Month LIBOR” means, with respect to a loan, the rate per annum (rounded upwards, if necessary, to the next higher 1/16 of 1%) determined by Bank and equal to the average rate per annum at which deposits (denominated in United States dollars) in an amount similar to the principal amount of that loan and with a maturity of one (1) month are offered to Bank at 11:00 A.M. London time (or as soon thereafter as practicable) on the Date of Reference by banking institutions in the London, United Kingdom market, as such interest rate is referenced and reported by the British Bankers Association in the Bridge Financial Telerate system “Page 3750” report or, if the same is unavailable, any other generally accepted authoritative source of such interest rate as Bank may reference from time to time; “Person” means an individual or entity of any kind, including, without limitation, any association, company, cooperative, corporation, partnership, trust, governmental body, or any other form or kind of entity; “Prime Rate” means the fluctuating rate per annum which is publicly announced from time to time by Bank as being its so-called “prime rate” or “base rate” thereafter in effect, with each change in the Prime Rate automatically, immediately, and without notice changing the Prime Rate thereafter applicable hereunder, it being acknowledged that the Prime Rate is not necessarily the lowest rate of interest then available from Bank on fluctuating-rate loans; “Proceeding” means any assignment for the benefit of creditors, any case in bankruptcy,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0" w:right="259" w:bottom="1440" w:gutter="0" w:footer="0" w:header="0"/>
        </w:sectPr>
      </w:pPr>
    </w:p>
    <w:bookmarkStart w:id="35" w:name="page36"/>
    <w:bookmarkEnd w:id="35"/>
    <w:p>
      <w:pPr>
        <w:ind w:right="20"/>
        <w:spacing w:after="0" w:line="289" w:lineRule="auto"/>
        <w:rPr>
          <w:sz w:val="20"/>
          <w:szCs w:val="20"/>
          <w:color w:val="auto"/>
        </w:rPr>
      </w:pPr>
      <w:r>
        <w:rPr>
          <w:rFonts w:ascii="Arial" w:cs="Arial" w:eastAsia="Arial" w:hAnsi="Arial"/>
          <w:sz w:val="16"/>
          <w:szCs w:val="16"/>
          <w:color w:val="auto"/>
        </w:rPr>
        <w:t>any marshalling of any Obligor’s assets for the benefit of creditors, any moratorium on the payment of debts, or any proceeding under any law relating to conservatorship, insolvency, liquidation, receivership, trusteeship, or any similar event, condition, or other thing; “Related Writing” means this Note and any indenture, note, guaranty, assignment, mortgage, security agreement, subordination agreement, notice, financial statement, legal opinion, certificate, or other writing of any kind pursuant to which all or any part of the Bank Debt of Borrower is issued, which evidences or secures all or any part of the Bank Debt of Borrower, which governs the relative rights and priorities of Bank and one or more other Persons to payments made by, or the property of, any Obligor, which is delivered to Bank pursuant to another such writing, or which is otherwise delivered to Bank by or on behalf of any Person (or any employee, officer, auditor, counsel, or agent of any Person) in respect of or in connection with all or any part of the Bank Debt of Borrower; and the foregoing definitions shall be applicable to the respective plurals of the foregoing defined terms.</w:t>
      </w:r>
    </w:p>
    <w:p>
      <w:pPr>
        <w:spacing w:after="0" w:line="172" w:lineRule="exact"/>
        <w:rPr>
          <w:sz w:val="20"/>
          <w:szCs w:val="20"/>
          <w:color w:val="auto"/>
        </w:rPr>
      </w:pPr>
    </w:p>
    <w:p>
      <w:pPr>
        <w:ind w:right="20" w:firstLine="8"/>
        <w:spacing w:after="0" w:line="298" w:lineRule="auto"/>
        <w:tabs>
          <w:tab w:leader="none" w:pos="1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Late Charges. If any principal of any Subject Loan is not paid within ten (10) days after Bank shall have given Borrower notice of demand therefor or within ten (10) days after the commencement of any Proceeding with respect to Borrower, or if any interest on this Note is not paid within (10) days after the due date of that interest, then, and in each such case, Bank shall have the right to assess a late charge, payable by Borrower on demand, in an amount equal to the greater of Twenty and 00/100 Dollars ($20.00) or five percent (5%) of the amount not timely paid.</w:t>
      </w:r>
    </w:p>
    <w:p>
      <w:pPr>
        <w:spacing w:after="0" w:line="166" w:lineRule="exact"/>
        <w:rPr>
          <w:rFonts w:ascii="Arial" w:cs="Arial" w:eastAsia="Arial" w:hAnsi="Arial"/>
          <w:sz w:val="16"/>
          <w:szCs w:val="16"/>
          <w:color w:val="auto"/>
        </w:rPr>
      </w:pPr>
    </w:p>
    <w:p>
      <w:pPr>
        <w:ind w:right="220" w:firstLine="8"/>
        <w:spacing w:after="0" w:line="268"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Setoff. Borrower hereby waives any and all now existing or hereafter arising rights to recoup or offset any obligation of Borrower under or in connection with this Note or any Related Writing against any claim or right of Borrower against Bank.</w:t>
      </w:r>
    </w:p>
    <w:p>
      <w:pPr>
        <w:spacing w:after="0" w:line="185" w:lineRule="exact"/>
        <w:rPr>
          <w:rFonts w:ascii="Arial" w:cs="Arial" w:eastAsia="Arial" w:hAnsi="Arial"/>
          <w:sz w:val="18"/>
          <w:szCs w:val="18"/>
          <w:color w:val="auto"/>
        </w:rPr>
      </w:pPr>
    </w:p>
    <w:p>
      <w:pPr>
        <w:ind w:right="40" w:firstLine="8"/>
        <w:spacing w:after="0" w:line="290" w:lineRule="auto"/>
        <w:tabs>
          <w:tab w:leader="none" w:pos="1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Indemnity: Governmental Costs. If (a) there shall be enacted any law (including, without limitation, any change in any law or in its interpretation or administration and any request by any governmental authority) relating to any interest rate or any assessment, reserve, or special deposit requirement against assets held by, deposits in, or loans by Bank or to any tax (other than any tax on Bank’s overall net income) and (b) in Bank’s sole opinion any such event increases the cost of funding or maintaining any Subject Loan bearing interest based upon One Month LIBOR or reduces the amount of any payment to be made to Bank in respect thereof, then, and in each such case, upon Bank’s demand, Borrower shall pay Bank an amount equal to each such cost increase or reduced payment, as the case may be. In determining any such amount, Bank may use reasonable averaging and attribution methods. Each determination by Bank shall be conclusive absent manifest error.</w:t>
      </w:r>
    </w:p>
    <w:p>
      <w:pPr>
        <w:spacing w:after="0" w:line="172" w:lineRule="exact"/>
        <w:rPr>
          <w:rFonts w:ascii="Arial" w:cs="Arial" w:eastAsia="Arial" w:hAnsi="Arial"/>
          <w:sz w:val="16"/>
          <w:szCs w:val="16"/>
          <w:color w:val="auto"/>
        </w:rPr>
      </w:pPr>
    </w:p>
    <w:p>
      <w:pPr>
        <w:ind w:right="40" w:firstLine="8"/>
        <w:spacing w:after="0" w:line="294" w:lineRule="auto"/>
        <w:tabs>
          <w:tab w:leader="none" w:pos="1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Indemnity: Administration and Enforcement. Borrower will reimburse Bank, on Bank’s demand from time to time, for any and all fees, costs, and expenses (including, without limitation, the fees and disbursements of outside legal counsel and the interdepartmental charges and/or salary of in-house counsel) incurred by Bank in administering this Note or in protecting, enforcing, or attempting to protect or enforce its rights under this Note. If any amount (other than any principal of any Subject Loan and any interest and late charges) owing under this Note is not paid when due, then, and in each such case, Borrower shall pay, on Bank’s demand, interest on that amount from the due date thereof until paid in full at a fluctuating rate equal to four percent (4%) per annum plus the Prime Rate.</w:t>
      </w:r>
    </w:p>
    <w:p>
      <w:pPr>
        <w:spacing w:after="0" w:line="169" w:lineRule="exact"/>
        <w:rPr>
          <w:rFonts w:ascii="Arial" w:cs="Arial" w:eastAsia="Arial" w:hAnsi="Arial"/>
          <w:sz w:val="16"/>
          <w:szCs w:val="16"/>
          <w:color w:val="auto"/>
        </w:rPr>
      </w:pPr>
    </w:p>
    <w:p>
      <w:pPr>
        <w:ind w:firstLine="8"/>
        <w:spacing w:after="0" w:line="287" w:lineRule="auto"/>
        <w:tabs>
          <w:tab w:leader="none" w:pos="2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Waivers; Remedies; Application of Payments. Bank may from time to time in its discretion grant waivers and consents in respect of this Note or any other Related Writing or assent to amendments thereof, but no such waiver, consent, or amendment shall be binding upon Bank unless set forth in a writing (which writing shall be narrowly construed) signed by Bank. No course of dealing in respect of, nor any omission or delay in the exercise of, any right, power, or privilege by Bank shall operate as a waiver thereof, nor shall any single or partial exercise thereof preclude any further or other exercise thereof or of any other, as each such right, power, or privilege may be exercised either independently or concurrently with others and as often and in such order as Bank may deem expedient. Without limiting the generality of the foregoing, neither Bank’s acceptance of one or more late payments or charges nor Bank’s acceptance of interest on overdue amounts at the respective rates applicable thereto shall constitute a waiver of any right of Bank. Each right, power, or privilege specified or referred to in this Note is in addition to and not in limitation of any other rights, powers, and privileges that Bank may otherwise have or acquire by operation of law, by other contract, or otherwise. Bank shall be entitled to equitable remedies with respect to each breach or anticipatory repudiation of any provision of this Note, and Borrower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0" w:right="259" w:bottom="1440" w:gutter="0" w:footer="0" w:header="0"/>
        </w:sectPr>
      </w:pPr>
    </w:p>
    <w:bookmarkStart w:id="36" w:name="page37"/>
    <w:bookmarkEnd w:id="36"/>
    <w:p>
      <w:pPr>
        <w:ind w:right="100"/>
        <w:spacing w:after="0" w:line="259" w:lineRule="auto"/>
        <w:rPr>
          <w:sz w:val="20"/>
          <w:szCs w:val="20"/>
          <w:color w:val="auto"/>
        </w:rPr>
      </w:pPr>
      <w:r>
        <w:rPr>
          <w:rFonts w:ascii="Arial" w:cs="Arial" w:eastAsia="Arial" w:hAnsi="Arial"/>
          <w:sz w:val="18"/>
          <w:szCs w:val="18"/>
          <w:color w:val="auto"/>
        </w:rPr>
        <w:t>hereby waives any defense which might be asserted to bar any such equitable remedy. Bank shall have the right to apply payments in respect of the indebtedness evidenced by this Note with such allocation to the respective parts thereof and the respective due dates thereof as Bank in its sole discretion may from time to time deem advisable.</w:t>
      </w:r>
    </w:p>
    <w:p>
      <w:pPr>
        <w:spacing w:after="0" w:line="194" w:lineRule="exact"/>
        <w:rPr>
          <w:sz w:val="20"/>
          <w:szCs w:val="20"/>
          <w:color w:val="auto"/>
        </w:rPr>
      </w:pPr>
    </w:p>
    <w:p>
      <w:pPr>
        <w:ind w:firstLine="8"/>
        <w:spacing w:after="0" w:line="285" w:lineRule="auto"/>
        <w:tabs>
          <w:tab w:leader="none" w:pos="2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Provisions. The provisions of this Note shall bind Borrower and Borrower’s successors and assigns and benefit Bank and its successors and assigns, including each subsequent holder, if any, of this Note. Except for Borrower and Bank and their respective successors and assigns, there are no intended beneficiaries of this Note, any Subject Loan, or the arrangement evidenced by this Note. The provisions of sections 6 through 16, both inclusive, shall survive the payment in full of the principal of and interest on this Note. The captions to the sections and subsections of this Note are inserted for convenience only and shall be ignored in interpreting the provisions thereof. If any provision in this Note shall be or become illegal or unenforceable in any case, then that provision shall be deemed modified in that case so as to be legal and enforceable to the maximum extent permitted by law while most nearly preserving its original intent, and in any case the illegality or unenforceability of that provision shall affect neither that provision in any other case nor any other provision. All fees, interest, and premiums for any given period shall accrue on the first day thereof but not on the last day thereof (unless the last day is the first day) and in each case shall be computed on the basis of a 360-day year and the actual number of days in the period. In no event shall interest accrue at a higher rate than the maximum rate, if any, permitted by law. Bank shall have the right to furnish to its affiliates, and to such other Persons as Bank shall deem advisable for the conduct of its business, information concerning the business, financial condition, and property of Borrower, the amount of the Bank Debt of Borrower, and the terms, conditions, and other provisions applicable to the respective parts thereof. Borrower hereby grants to Bank a security interest in all deposit accounts (except individual retirement accounts) Borrower has or at any time may have with Bank or Bank’s affiliates to secure the payment of all amounts owed under this Note and all other Debt of Borrower to Bank or Bank’s affiliates. This Note shall be governed by the law (excluding conflict of laws rules) of the jurisdiction in which Bank’s banking office is located.</w:t>
      </w:r>
    </w:p>
    <w:p>
      <w:pPr>
        <w:spacing w:after="0" w:line="180" w:lineRule="exact"/>
        <w:rPr>
          <w:rFonts w:ascii="Arial" w:cs="Arial" w:eastAsia="Arial" w:hAnsi="Arial"/>
          <w:sz w:val="16"/>
          <w:szCs w:val="16"/>
          <w:color w:val="auto"/>
        </w:rPr>
      </w:pPr>
    </w:p>
    <w:p>
      <w:pPr>
        <w:ind w:right="200" w:firstLine="8"/>
        <w:spacing w:after="0" w:line="254"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Integration. This Note and, to the extent consistent with this Note, the other Related Writings, set forth the entire agreement of Borrower and Bank as to the subject matter of this Note, and may not be contradicted by evidence of any agreement or statement unless made in a writing (which writing shall be narrowly construed) signed by Bank contemporaneously with or after the execution and delivery of this Note. Without limiting the generality of the foregoing, Borrower hereby acknowledges that Bank has not based, conditioned, or offered to base or condition the credit hereby evidenced or any charges, fees, interest rates, or premiums applicable thereto upon Borrower’s agreement to obtain any other credit, property, or service other than any loan, discount, deposit, or trust service from Bank.</w:t>
      </w:r>
    </w:p>
    <w:p>
      <w:pPr>
        <w:spacing w:after="0" w:line="198" w:lineRule="exact"/>
        <w:rPr>
          <w:rFonts w:ascii="Arial" w:cs="Arial" w:eastAsia="Arial" w:hAnsi="Arial"/>
          <w:sz w:val="18"/>
          <w:szCs w:val="18"/>
          <w:color w:val="auto"/>
        </w:rPr>
      </w:pPr>
    </w:p>
    <w:p>
      <w:pPr>
        <w:ind w:right="20" w:firstLine="8"/>
        <w:spacing w:after="0" w:line="287" w:lineRule="auto"/>
        <w:tabs>
          <w:tab w:leader="none" w:pos="2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Notices and Other Communications. Each notice, demand, or other communication, whether or not received, shall be deemed to have been given to Borrower whenever Bank shall have mailed a writing to that effect by certified or registered mail to Borrower at Borrower’s mailing address (or any other address of which Borrower shall have given Bank notice after the execution and delivery of this Note); however, no other method of giving actual notice to Borrower is hereby precluded. Borrower hereby irrevocably accepts Borrower’s appointment as each Obligor’s agent for the purpose of receiving any notice, demand, or other communication to be given by Bank to each such Obligor pursuant to any Related Writing. Bank shall be entitled to assume that any knowledge possessed by any Obligor other than Borrower is possessed by Borrower. Each communication to be given to Bank shall be in writing unless this Note expressly permits that communication to be made orally, and in any case shall be given to Bank at Bank’s banking office (or any other address of which Bank shall have given notice to Borrower after the execution and delivery this Note). Borrower hereby assumes all risk arising out of or in connection with each oral communication given by Borrower and each communication given or attempted by Borrower in contravention of this section. Bank shall be entitled to rely on each communication believed in good faith by Bank to be genuine.</w:t>
      </w:r>
    </w:p>
    <w:p>
      <w:pPr>
        <w:spacing w:after="0" w:line="176" w:lineRule="exact"/>
        <w:rPr>
          <w:rFonts w:ascii="Arial" w:cs="Arial" w:eastAsia="Arial" w:hAnsi="Arial"/>
          <w:sz w:val="16"/>
          <w:szCs w:val="16"/>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DEBIT: Payments shall be paid by Borrower by debiting Borrower’s checking account on the due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0" w:right="259" w:bottom="1440" w:gutter="0" w:footer="0" w:header="0"/>
        </w:sectPr>
      </w:pPr>
    </w:p>
    <w:bookmarkStart w:id="37" w:name="page38"/>
    <w:bookmarkEnd w:id="37"/>
    <w:p>
      <w:pPr>
        <w:ind w:firstLine="8"/>
        <w:spacing w:after="0" w:line="290" w:lineRule="auto"/>
        <w:tabs>
          <w:tab w:leader="none" w:pos="2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Warrant of Attorney. Borrower hereby authorizes any attorney at law at any time or times to appear in any state or federal court of record in the United States of America after all or any part of the obligations evidenced by this Note shall have become due, whether by lapse of time or otherwise, and in each case to waive the issuance and service of process, to present to the court this Note and any other writing (if any) evidencing the obligation or obligations in question, to admit the due date thereof and the nonpayment thereof when due, to confess judgment against Borrower in favor of Bank for the full amount then appearing due, together with interest and costs of suit, and thereupon to release all errors and waive all rights of appeal and any stay of execution. The foregoing warrant of attorney shall survive any judgment, it being understood that should any judgment against Borrower be vacated for any reason, Bank may nevertheless utilize the foregoing warrant of attorney in thereafter obtaining one or more additional judgments against Borrower.</w:t>
      </w:r>
    </w:p>
    <w:p>
      <w:pPr>
        <w:spacing w:after="0" w:line="172" w:lineRule="exact"/>
        <w:rPr>
          <w:rFonts w:ascii="Arial" w:cs="Arial" w:eastAsia="Arial" w:hAnsi="Arial"/>
          <w:sz w:val="16"/>
          <w:szCs w:val="16"/>
          <w:color w:val="auto"/>
        </w:rPr>
      </w:pPr>
    </w:p>
    <w:p>
      <w:pPr>
        <w:ind w:right="40" w:firstLine="8"/>
        <w:spacing w:after="0" w:line="290" w:lineRule="auto"/>
        <w:tabs>
          <w:tab w:leader="none" w:pos="2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Jurisdiction and Venue; Waiver of Jury Trial. Any action, claim, counterclaim, crossclaim, proceeding, or suit, whether at law or in equity, whether sounding in tort, contract, or otherwise at any time arising under or in connection with this Note or any other Related Writing, the administration, enforcement, or negotiation of this Note or any other Related Writing, or the performance of any obligation in respect of this Note or any other Related Writing (each such action, claim, counterclaim, crossclaim, proceeding, or suit, an “Action”) may be brought in any federal or state court located in the city in which Bank’s banking office is located. Borrower hereby unconditionally submits to the jurisdiction of any such court with respect to each such Action and hereby waives any objection Borrower may now or hereafter have to the venue of any such Action brought in any such court. BORROWER HEREBY, AND EACH HOLDER OF THIS NOTE, BY TAKING POSSESSION THEREOF, KNOWINGLY AND VOLUNTARILY WAIVES JURY TRIAL IN RESPECT OF ANY ACTION.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Matthew Wolsfeld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MINNESOTA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ANOKA )</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BEFORE ME, a Notary Public in and for said County and State, personally appeared Matthew C. Wolsfeld Chief Financial Officer of the above-named corporation, Northern Technologies International Corporation who acknowledged that he/she/they signed the foregoing instrument for and on behalf of the Corporation, and by authority of its Board of Directors, and that the same is the free act and deed of the Corporation and the free act and deed of each of them personally and as such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TESTIMONY, I set my hand and official seal, this 10th day of December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90" w:right="2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158"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140335</wp:posOffset>
            </wp:positionV>
            <wp:extent cx="1732280"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80010</wp:posOffset>
            </wp:positionV>
            <wp:extent cx="2838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1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158"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140335</wp:posOffset>
            </wp:positionV>
            <wp:extent cx="2838450" cy="780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38450" cy="7804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Date: January 11,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ectPr>
          <w:pgSz w:w="11900" w:h="16838" w:orient="portrait"/>
          <w:cols w:equalWidth="0" w:num="2">
            <w:col w:w="6260" w:space="720"/>
            <w:col w:w="4440"/>
          </w:cols>
          <w:pgMar w:left="240" w:top="125"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November 30, 2006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2487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32280"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2007</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November 30, 2006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2487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200785" cy="5918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7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2"/>
    </w:lvl>
  </w:abstractNum>
  <w:abstractNum w:abstractNumId="12">
    <w:nsid w:val="333AB105"/>
    <w:multiLevelType w:val="hybridMultilevel"/>
    <w:lvl w:ilvl="0">
      <w:lvlJc w:val="left"/>
      <w:lvlText w:val="%1."/>
      <w:numFmt w:val="decimal"/>
      <w:start w:val="14"/>
    </w:lvl>
  </w:abstractNum>
  <w:abstractNum w:abstractNumId="13">
    <w:nsid w:val="721DA317"/>
    <w:multiLevelType w:val="hybridMultilevel"/>
    <w:lvl w:ilvl="0">
      <w:lvlJc w:val="left"/>
      <w:lvlText w:val="%1."/>
      <w:numFmt w:val="decimal"/>
      <w:start w:val="15"/>
    </w:lvl>
  </w:abstractNum>
  <w:abstractNum w:abstractNumId="14">
    <w:nsid w:val="2443A858"/>
    <w:multiLevelType w:val="hybridMultilevel"/>
    <w:lvl w:ilvl="0">
      <w:lvlJc w:val="left"/>
      <w:lvlText w:val="%1."/>
      <w:numFmt w:val="decimal"/>
      <w:start w:val="17"/>
    </w:lvl>
  </w:abstractNum>
  <w:abstractNum w:abstractNumId="15">
    <w:nsid w:val="2D1D5AE9"/>
    <w:multiLevelType w:val="hybridMultilevel"/>
    <w:lvl w:ilvl="0">
      <w:lvlJc w:val="left"/>
      <w:lvlText w:val="%1."/>
      <w:numFmt w:val="decimal"/>
      <w:start w:val="18"/>
    </w:lvl>
  </w:abstractNum>
  <w:abstractNum w:abstractNumId="16">
    <w:nsid w:val="6763845E"/>
    <w:multiLevelType w:val="hybridMultilevel"/>
    <w:lvl w:ilvl="0">
      <w:lvlJc w:val="left"/>
      <w:lvlText w:val="%1."/>
      <w:numFmt w:val="decimal"/>
      <w:start w:val="19"/>
    </w:lvl>
  </w:abstractNum>
  <w:abstractNum w:abstractNumId="17">
    <w:nsid w:val="75A2A8D4"/>
    <w:multiLevelType w:val="hybridMultilevel"/>
    <w:lvl w:ilvl="0">
      <w:lvlJc w:val="left"/>
      <w:lvlText w:val="%1."/>
      <w:numFmt w:val="decimal"/>
      <w:start w:val="20"/>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6"/>
    </w:lvl>
  </w:abstractNum>
  <w:abstractNum w:abstractNumId="26">
    <w:nsid w:val="836C40E"/>
    <w:multiLevelType w:val="hybridMultilevel"/>
    <w:lvl w:ilvl="0">
      <w:lvlJc w:val="left"/>
      <w:lvlText w:val="%1."/>
      <w:numFmt w:val="decimal"/>
      <w:start w:val="11"/>
    </w:lvl>
  </w:abstractNum>
  <w:abstractNum w:abstractNumId="27">
    <w:nsid w:val="2901D82"/>
    <w:multiLevelType w:val="hybridMultilevel"/>
    <w:lvl w:ilvl="0">
      <w:lvlJc w:val="left"/>
      <w:lvlText w:val="%1."/>
      <w:numFmt w:val="decimal"/>
      <w:start w:val="15"/>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2019-12-13T20:15:11Z</dcterms:created>
  <dcterms:modified xsi:type="dcterms:W3CDTF">2019-12-13T20:15:11Z</dcterms:modified>
</cp:coreProperties>
</file>