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3"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10-KSB</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UNDER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UNDER SECTION 13 OR 15(d) OF THE SECURITIES EXCHANGE ACT OF 1934</w:t>
      </w:r>
    </w:p>
    <w:p>
      <w:pPr>
        <w:spacing w:after="0" w:line="231"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1-11038</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small business issuer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1112"/>
              <w:spacing w:after="0"/>
              <w:rPr>
                <w:sz w:val="20"/>
                <w:szCs w:val="20"/>
                <w:color w:val="auto"/>
              </w:rPr>
            </w:pPr>
            <w:r>
              <w:rPr>
                <w:rFonts w:ascii="Arial" w:cs="Arial" w:eastAsia="Arial" w:hAnsi="Arial"/>
                <w:sz w:val="18"/>
                <w:szCs w:val="18"/>
                <w:b w:val="1"/>
                <w:bCs w:val="1"/>
                <w:color w:val="auto"/>
              </w:rPr>
              <w:t>41-0857886</w:t>
            </w:r>
          </w:p>
        </w:tc>
      </w:tr>
      <w:tr>
        <w:trPr>
          <w:trHeight w:val="222"/>
        </w:trPr>
        <w:tc>
          <w:tcPr>
            <w:tcW w:w="4300" w:type="dxa"/>
            <w:vAlign w:val="bottom"/>
          </w:tcPr>
          <w:p>
            <w:pPr>
              <w:jc w:val="center"/>
              <w:ind w:right="1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5140" w:type="dxa"/>
            <w:vAlign w:val="bottom"/>
          </w:tcPr>
          <w:p>
            <w:pPr>
              <w:jc w:val="center"/>
              <w:ind w:left="1792"/>
              <w:spacing w:after="0"/>
              <w:rPr>
                <w:sz w:val="20"/>
                <w:szCs w:val="20"/>
                <w:color w:val="auto"/>
              </w:rPr>
            </w:pPr>
            <w:r>
              <w:rPr>
                <w:rFonts w:ascii="Arial" w:cs="Arial" w:eastAsia="Arial" w:hAnsi="Arial"/>
                <w:sz w:val="18"/>
                <w:szCs w:val="18"/>
                <w:color w:val="auto"/>
                <w:w w:val="91"/>
              </w:rPr>
              <w:t>(I.R.S. Employer Identification No.)</w:t>
            </w:r>
          </w:p>
        </w:tc>
      </w:tr>
      <w:tr>
        <w:trPr>
          <w:trHeight w:val="447"/>
        </w:trPr>
        <w:tc>
          <w:tcPr>
            <w:tcW w:w="43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4201 Woodland Road</w:t>
            </w:r>
          </w:p>
        </w:tc>
        <w:tc>
          <w:tcPr>
            <w:tcW w:w="5140" w:type="dxa"/>
            <w:vAlign w:val="bottom"/>
          </w:tcPr>
          <w:p>
            <w:pPr>
              <w:spacing w:after="0"/>
              <w:rPr>
                <w:sz w:val="24"/>
                <w:szCs w:val="24"/>
                <w:color w:val="auto"/>
              </w:rPr>
            </w:pPr>
          </w:p>
        </w:tc>
      </w:tr>
      <w:tr>
        <w:trPr>
          <w:trHeight w:val="216"/>
        </w:trPr>
        <w:tc>
          <w:tcPr>
            <w:tcW w:w="43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P.O. Box 69</w:t>
            </w:r>
          </w:p>
        </w:tc>
        <w:tc>
          <w:tcPr>
            <w:tcW w:w="5140" w:type="dxa"/>
            <w:vAlign w:val="bottom"/>
          </w:tcPr>
          <w:p>
            <w:pPr>
              <w:spacing w:after="0"/>
              <w:rPr>
                <w:sz w:val="18"/>
                <w:szCs w:val="18"/>
                <w:color w:val="auto"/>
              </w:rPr>
            </w:pPr>
          </w:p>
        </w:tc>
      </w:tr>
      <w:tr>
        <w:trPr>
          <w:trHeight w:val="222"/>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Circle Pines, Minnesota</w:t>
            </w:r>
          </w:p>
        </w:tc>
        <w:tc>
          <w:tcPr>
            <w:tcW w:w="5140" w:type="dxa"/>
            <w:vAlign w:val="bottom"/>
          </w:tcPr>
          <w:p>
            <w:pPr>
              <w:jc w:val="right"/>
              <w:ind w:right="1312"/>
              <w:spacing w:after="0"/>
              <w:rPr>
                <w:sz w:val="20"/>
                <w:szCs w:val="20"/>
                <w:color w:val="auto"/>
              </w:rPr>
            </w:pPr>
            <w:r>
              <w:rPr>
                <w:rFonts w:ascii="Arial" w:cs="Arial" w:eastAsia="Arial" w:hAnsi="Arial"/>
                <w:sz w:val="18"/>
                <w:szCs w:val="18"/>
                <w:b w:val="1"/>
                <w:bCs w:val="1"/>
                <w:color w:val="auto"/>
              </w:rPr>
              <w:t>55014</w:t>
            </w:r>
          </w:p>
        </w:tc>
      </w:tr>
      <w:tr>
        <w:trPr>
          <w:trHeight w:val="222"/>
        </w:trPr>
        <w:tc>
          <w:tcPr>
            <w:tcW w:w="430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5140" w:type="dxa"/>
            <w:vAlign w:val="bottom"/>
          </w:tcPr>
          <w:p>
            <w:pPr>
              <w:jc w:val="center"/>
              <w:ind w:left="1792"/>
              <w:spacing w:after="0"/>
              <w:rPr>
                <w:sz w:val="20"/>
                <w:szCs w:val="20"/>
                <w:color w:val="auto"/>
              </w:rPr>
            </w:pPr>
            <w:r>
              <w:rPr>
                <w:rFonts w:ascii="Arial" w:cs="Arial" w:eastAsia="Arial" w:hAnsi="Arial"/>
                <w:sz w:val="18"/>
                <w:szCs w:val="18"/>
                <w:color w:val="auto"/>
                <w:w w:val="91"/>
              </w:rPr>
              <w:t>(Zip Code)</w:t>
            </w:r>
          </w:p>
        </w:tc>
      </w:tr>
      <w:tr>
        <w:trPr>
          <w:trHeight w:val="453"/>
        </w:trPr>
        <w:tc>
          <w:tcPr>
            <w:tcW w:w="4300" w:type="dxa"/>
            <w:vAlign w:val="bottom"/>
          </w:tcPr>
          <w:p>
            <w:pPr>
              <w:spacing w:after="0"/>
              <w:rPr>
                <w:sz w:val="24"/>
                <w:szCs w:val="24"/>
                <w:color w:val="auto"/>
              </w:rPr>
            </w:pPr>
          </w:p>
        </w:tc>
        <w:tc>
          <w:tcPr>
            <w:tcW w:w="5140" w:type="dxa"/>
            <w:vAlign w:val="bottom"/>
          </w:tcPr>
          <w:p>
            <w:pPr>
              <w:jc w:val="center"/>
              <w:ind w:right="3792"/>
              <w:spacing w:after="0"/>
              <w:rPr>
                <w:sz w:val="20"/>
                <w:szCs w:val="20"/>
                <w:color w:val="auto"/>
              </w:rPr>
            </w:pPr>
            <w:r>
              <w:rPr>
                <w:rFonts w:ascii="Arial" w:cs="Arial" w:eastAsia="Arial" w:hAnsi="Arial"/>
                <w:sz w:val="18"/>
                <w:szCs w:val="18"/>
                <w:b w:val="1"/>
                <w:bCs w:val="1"/>
                <w:color w:val="auto"/>
                <w:w w:val="89"/>
              </w:rPr>
              <w:t>(763) 225-6600</w:t>
            </w:r>
          </w:p>
        </w:tc>
      </w:tr>
      <w:tr>
        <w:trPr>
          <w:trHeight w:val="222"/>
        </w:trPr>
        <w:tc>
          <w:tcPr>
            <w:tcW w:w="944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(Issuer’s telephone number, including area code)</w:t>
            </w:r>
          </w:p>
        </w:tc>
      </w:tr>
      <w:tr>
        <w:trPr>
          <w:trHeight w:val="432"/>
        </w:trPr>
        <w:tc>
          <w:tcPr>
            <w:tcW w:w="94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Securities registered under Section 12(b) of the Exchange Act:</w:t>
            </w:r>
          </w:p>
        </w:tc>
      </w:tr>
      <w:tr>
        <w:trPr>
          <w:trHeight w:val="447"/>
        </w:trPr>
        <w:tc>
          <w:tcPr>
            <w:tcW w:w="4300" w:type="dxa"/>
            <w:vAlign w:val="bottom"/>
          </w:tcPr>
          <w:p>
            <w:pPr>
              <w:jc w:val="center"/>
              <w:spacing w:after="0"/>
              <w:rPr>
                <w:sz w:val="20"/>
                <w:szCs w:val="20"/>
                <w:color w:val="auto"/>
              </w:rPr>
            </w:pPr>
            <w:r>
              <w:rPr>
                <w:rFonts w:ascii="Arial" w:cs="Arial" w:eastAsia="Arial" w:hAnsi="Arial"/>
                <w:sz w:val="18"/>
                <w:szCs w:val="18"/>
                <w:color w:val="auto"/>
                <w:w w:val="89"/>
              </w:rPr>
              <w:t>Title of Each Class</w:t>
            </w:r>
          </w:p>
        </w:tc>
        <w:tc>
          <w:tcPr>
            <w:tcW w:w="5140" w:type="dxa"/>
            <w:vAlign w:val="bottom"/>
          </w:tcPr>
          <w:p>
            <w:pPr>
              <w:jc w:val="center"/>
              <w:ind w:left="1792"/>
              <w:spacing w:after="0"/>
              <w:rPr>
                <w:sz w:val="20"/>
                <w:szCs w:val="20"/>
                <w:color w:val="auto"/>
              </w:rPr>
            </w:pPr>
            <w:r>
              <w:rPr>
                <w:rFonts w:ascii="Arial" w:cs="Arial" w:eastAsia="Arial" w:hAnsi="Arial"/>
                <w:sz w:val="18"/>
                <w:szCs w:val="18"/>
                <w:color w:val="auto"/>
                <w:w w:val="87"/>
              </w:rPr>
              <w:t>Name of Each Exchange on Which Registered</w:t>
            </w:r>
          </w:p>
        </w:tc>
      </w:tr>
      <w:tr>
        <w:trPr>
          <w:trHeight w:val="228"/>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par value $0.02 per share</w:t>
            </w:r>
          </w:p>
        </w:tc>
        <w:tc>
          <w:tcPr>
            <w:tcW w:w="514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The American Stock Exchange</w:t>
            </w:r>
          </w:p>
        </w:tc>
      </w:tr>
    </w:tbl>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jc w:val="both"/>
        <w:spacing w:after="0" w:line="332" w:lineRule="auto"/>
        <w:rPr>
          <w:sz w:val="20"/>
          <w:szCs w:val="20"/>
          <w:color w:val="auto"/>
        </w:rPr>
      </w:pPr>
      <w:r>
        <w:rPr>
          <w:rFonts w:ascii="Arial" w:cs="Arial" w:eastAsia="Arial" w:hAnsi="Arial"/>
          <w:sz w:val="16"/>
          <w:szCs w:val="16"/>
          <w:color w:val="auto"/>
        </w:rPr>
        <w:t>Check if there is no disclosure of delinquent filers in response to Item 405 of Regulation S-B contained herein, and no disclosure will be contained, to the best of Registrant’s knowledge, in definitive proxy or information statements incorporated by reference in Part III of this report or any amendment to this report. x</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revenues for the fiscal year ended August 31, 2007 were $16,829,030.</w:t>
      </w:r>
    </w:p>
    <w:p>
      <w:pPr>
        <w:spacing w:after="0" w:line="225"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As of November 16, 2007, 3,716,611 shares of common stock of the Registrant were outstanding, and the aggregate market value of the common stock of the Registrant as of that date (based upon the $9.95 per share closing sale price of the Common Stock on that date as reported on The American Stock Exchange), excluding 1,095,560 outstanding shares beneficially owned by directors and executive officers, was $26,079,457.</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Part III of this Annual Report on Form 10-KSB incorporates by reference information (to the extent specific sections are referred to herein) from the registrant’s Proxy Statement for its 2008 Annual Meeting of Stockholders to be held January 24, 2008.</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Transitional Small Business Disclosure Format (check one):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412115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420"/>
          </w:cols>
          <w:pgMar w:left="240" w:top="719" w:right="239" w:bottom="86" w:gutter="0" w:footer="0" w:header="0"/>
        </w:sectPr>
      </w:pPr>
    </w:p>
    <w:bookmarkStart w:id="1" w:name="page2"/>
    <w:bookmarkEnd w:id="1"/>
    <w:p>
      <w:pPr>
        <w:jc w:val="both"/>
        <w:spacing w:after="0" w:line="259" w:lineRule="auto"/>
        <w:rPr>
          <w:sz w:val="20"/>
          <w:szCs w:val="20"/>
          <w:color w:val="auto"/>
        </w:rPr>
      </w:pPr>
      <w:r>
        <w:rPr>
          <w:rFonts w:ascii="Arial" w:cs="Arial" w:eastAsia="Arial" w:hAnsi="Arial"/>
          <w:sz w:val="18"/>
          <w:szCs w:val="18"/>
          <w:i w:val="1"/>
          <w:iCs w:val="1"/>
          <w:color w:val="auto"/>
        </w:rPr>
        <w:t>This Annual Report on Form 10-KSB contains certain forward-looking statements within the meaning of Section 27A of the Securities Act of 1933, as amended, and Section 21E of the Securities Exchange Act of 1934, as amended, and are subject to the safe harbor created by those sections. For more information, see “Item 1. Description of Business – Forward-Looking Statements.”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Northern Technologies International Corporation focuses on developing, marketing and selling proprietary environmentally responsible materials science based products and technical services directly and via a network of independent distributors, manufacturers’ representatives and joint ventures in over 50 countries. In</w:t>
      </w:r>
    </w:p>
    <w:p>
      <w:pPr>
        <w:jc w:val="both"/>
        <w:spacing w:after="0" w:line="227" w:lineRule="auto"/>
        <w:rPr>
          <w:sz w:val="20"/>
          <w:szCs w:val="20"/>
          <w:color w:val="auto"/>
        </w:rPr>
      </w:pPr>
      <w:r>
        <w:rPr>
          <w:rFonts w:ascii="Arial" w:cs="Arial" w:eastAsia="Arial" w:hAnsi="Arial"/>
          <w:sz w:val="18"/>
          <w:szCs w:val="18"/>
          <w:color w:val="auto"/>
        </w:rPr>
        <w:t>fiscal 2007, over 70% of NTIC’s consolidated net sales were derived from the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packaging products and services to the automotive, electronics, electrical, mechanical, military and retail consumer markets. During this same period, NTIC also received revenues from sales of proprietary new technologies, including anti-abrasion ink additives, as well as bio-based sintered metal mold release agents, bio-solvents, bio-emollients, bio-cleaners, bio-lubricants and bio-based and biodegradable plastic packaging.</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 is engaged in extensive scientific research and development programs in the areas of material science and corrosion protection. NTIC spent $2,575,325 in fiscal 2007 and $2,043,611 in fiscal 2006 in connection with its research and development activities. These research and development investments are expected to build on NTIC’s current environmentally responsible corrosion technologies and provide for a portfolio of new environmental technology offerings. Specifically, the portfolio includes the application of new and existing corrosion inhibiting technology to the oil and gas industry, bioplastic resins and products including biodegradable and compostable plastics to reduce our carbon footprint and provide environmentally sound disposal options, and process technology and equipment to convert plastic waste into energy – diesel, gasoline and mid-distillates. During fiscal 2008, NTIC expects to invest between $2,800,000 and $3,200,000 in additional research and development and marketing efforts and resources into these new emerging businesses, product lines and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Joint Ventures and Holding Companies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 participates, either directly or indirectly through holding companies, in 29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or intend to manufacture, market or sell bio-based additives with both industrial and personal care applications, machinery that converts waste plastics back into diesel, gasoline and mid-distillates and electronic sensing instruments. The Company categorizes its joint ventures into two principal areas: industrial chemical and non-industrial chemical.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NTIC’s industrial chemical corporate joint ventures currently primarily focus on the manufacturing, marketing and distribution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corrosion inhibiting packaging products. Both NTIC and NTIC’s corporate joint venture in Germany, Excor Korrosionsschutz – Technologien und Produkte GmbH (“Excor”), through Excor’s wholly owned subsidiary Excor Korrosionsforschung GmbH, manufacture and supply the industrial chemical corporate joint ventures with the essential additives (“Masterbatch”) required to make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industrial corrosion inhibiting packaging products functional.</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manufacturing and marketing of proprietary lines of bio-based additives with both industrial and personal care applications. Based on cotton, soy, corn and other renewable resources, React-NTI products outperform many synthetically derived competing alternatives. React-NTI’s target markets currently include sintered metal and sintered metal parts manufactures, ink manufacturers, and personal care and cosmetics manufacturers.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 has a 50% ownership interest in NTI ASEAN, LLC for its corporate joint venture investments in the ASEAN region. Taiyo Petroleum Gas Co. Ltd., NTIC’s existing joint venture partner in Japan, owns the remaining 50% ownership interest in NTI ASEAN, LLC.</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NTIC has a 50% ownership interest in Northern Instruments Corporation LLC for its corporate joint venture investments in Mütec GmbH in Germany. Taiyo Petroleum Gas Co. Ltd., NTIC’s existing joint venture partner in Japan, owns the remaining 50% ownership interest in Northern Instruments Corporation LLC. Northern Instruments Corporation LLC then owns 80% of Mütec GmbH. Mütec GmbH manufactures proprietary electronic sensing instruments, which it sells through distribution as well as certain corporate joint ventures. Mütec GmbH is NTIC’s only non-industrial chemical joint venture.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 list of NTIC’s corporate joint ventures as of November 16, 2007, indicating which joint ventures are industrial chemical or non-industrial chemical, the country in which the joint venture is organized, NTIC’s ownership percentage in each joint venture and the date of NTIC’s original investment in each joint venture: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Calendar</w:t>
            </w:r>
          </w:p>
        </w:tc>
      </w:t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Year of</w:t>
            </w:r>
          </w:p>
        </w:tc>
      </w:tr>
      <w:tr>
        <w:trPr>
          <w:trHeight w:val="228"/>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r>
      <w:tr>
        <w:trPr>
          <w:trHeight w:val="231"/>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Joint Venture Name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Investment</w:t>
            </w:r>
          </w:p>
        </w:tc>
      </w:tr>
      <w:tr>
        <w:trPr>
          <w:trHeight w:val="211"/>
        </w:trPr>
        <w:tc>
          <w:tcPr>
            <w:tcW w:w="79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INDUSTRIAL CHEMICAL CORPORATE JOINT VENTURES</w:t>
            </w:r>
          </w:p>
        </w:tc>
        <w:tc>
          <w:tcPr>
            <w:tcW w:w="22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TAIYONIC LTD.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1987</w:t>
            </w:r>
          </w:p>
        </w:tc>
      </w:tr>
      <w:tr>
        <w:trPr>
          <w:trHeight w:val="216"/>
        </w:trPr>
        <w:tc>
          <w:tcPr>
            <w:tcW w:w="790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ACOBAL SAS</w:t>
            </w:r>
          </w:p>
        </w:tc>
        <w:tc>
          <w:tcPr>
            <w:tcW w:w="220" w:type="dxa"/>
            <w:vAlign w:val="bottom"/>
            <w:shd w:val="clear" w:color="auto" w:fill="C0C0C0"/>
          </w:tcPr>
          <w:p>
            <w:pPr>
              <w:spacing w:after="0"/>
              <w:rPr>
                <w:sz w:val="18"/>
                <w:szCs w:val="18"/>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France</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1990</w:t>
            </w:r>
          </w:p>
        </w:tc>
      </w:tr>
      <w:tr>
        <w:trPr>
          <w:trHeight w:val="242"/>
        </w:trPr>
        <w:tc>
          <w:tcPr>
            <w:tcW w:w="7900" w:type="dxa"/>
            <w:vAlign w:val="bottom"/>
          </w:tcPr>
          <w:p>
            <w:pPr>
              <w:ind w:left="220"/>
              <w:spacing w:after="0"/>
              <w:rPr>
                <w:sz w:val="20"/>
                <w:szCs w:val="20"/>
                <w:color w:val="auto"/>
              </w:rPr>
            </w:pPr>
            <w:r>
              <w:rPr>
                <w:rFonts w:ascii="Arial" w:cs="Arial" w:eastAsia="Arial" w:hAnsi="Arial"/>
                <w:sz w:val="18"/>
                <w:szCs w:val="18"/>
                <w:color w:val="auto"/>
              </w:rPr>
              <w:t>ZERUST-NIC (TAIWAN) CORP.</w:t>
            </w:r>
          </w:p>
        </w:tc>
        <w:tc>
          <w:tcPr>
            <w:tcW w:w="2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Taiwan*</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25%</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1990</w:t>
            </w:r>
          </w:p>
        </w:tc>
      </w:tr>
      <w:tr>
        <w:trPr>
          <w:trHeight w:val="217"/>
        </w:trPr>
        <w:tc>
          <w:tcPr>
            <w:tcW w:w="7900" w:type="dxa"/>
            <w:vAlign w:val="bottom"/>
            <w:shd w:val="clear" w:color="auto" w:fill="C0C0C0"/>
          </w:tcPr>
          <w:p>
            <w:pPr>
              <w:ind w:left="220"/>
              <w:spacing w:after="0"/>
              <w:rPr>
                <w:sz w:val="20"/>
                <w:szCs w:val="20"/>
                <w:color w:val="auto"/>
              </w:rPr>
            </w:pPr>
            <w:r>
              <w:rPr>
                <w:rFonts w:ascii="Arial" w:cs="Arial" w:eastAsia="Arial" w:hAnsi="Arial"/>
                <w:sz w:val="18"/>
                <w:szCs w:val="18"/>
                <w:color w:val="auto"/>
              </w:rPr>
              <w:t>EXCOR GmbH</w:t>
            </w:r>
          </w:p>
        </w:tc>
        <w:tc>
          <w:tcPr>
            <w:tcW w:w="220" w:type="dxa"/>
            <w:vAlign w:val="bottom"/>
            <w:shd w:val="clear" w:color="auto" w:fill="C0C0C0"/>
          </w:tcPr>
          <w:p>
            <w:pPr>
              <w:spacing w:after="0"/>
              <w:rPr>
                <w:sz w:val="18"/>
                <w:szCs w:val="18"/>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Germany</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1991</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ZERUST SINGAPORE PTE. LTD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Singapore*</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1991</w:t>
            </w:r>
          </w:p>
        </w:tc>
      </w:tr>
      <w:tr>
        <w:trPr>
          <w:trHeight w:val="243"/>
        </w:trPr>
        <w:tc>
          <w:tcPr>
            <w:tcW w:w="7900" w:type="dxa"/>
            <w:vAlign w:val="bottom"/>
            <w:shd w:val="clear" w:color="auto" w:fill="C0C0C0"/>
          </w:tcPr>
          <w:p>
            <w:pPr>
              <w:ind w:left="220"/>
              <w:spacing w:after="0"/>
              <w:rPr>
                <w:sz w:val="20"/>
                <w:szCs w:val="20"/>
                <w:color w:val="auto"/>
              </w:rPr>
            </w:pPr>
            <w:r>
              <w:rPr>
                <w:rFonts w:ascii="Arial" w:cs="Arial" w:eastAsia="Arial" w:hAnsi="Arial"/>
                <w:sz w:val="18"/>
                <w:szCs w:val="18"/>
                <w:color w:val="auto"/>
              </w:rPr>
              <w:t>ZERUST AB</w:t>
            </w:r>
          </w:p>
        </w:tc>
        <w:tc>
          <w:tcPr>
            <w:tcW w:w="220" w:type="dxa"/>
            <w:vAlign w:val="bottom"/>
            <w:shd w:val="clear" w:color="auto" w:fill="C0C0C0"/>
          </w:tcPr>
          <w:p>
            <w:pPr>
              <w:spacing w:after="0"/>
              <w:rPr>
                <w:sz w:val="21"/>
                <w:szCs w:val="21"/>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Sweden</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1991</w:t>
            </w:r>
          </w:p>
        </w:tc>
      </w:tr>
    </w:tbl>
    <w:p>
      <w:pPr>
        <w:sectPr>
          <w:pgSz w:w="11900" w:h="16838" w:orient="portrait"/>
          <w:cols w:equalWidth="0" w:num="1">
            <w:col w:w="11420"/>
          </w:cols>
          <w:pgMar w:left="240" w:top="13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ZERUST PREVENÇÃO DE CORROSÃO LTDA.</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color w:val="auto"/>
                <w:w w:val="93"/>
              </w:rPr>
              <w:t>Brazil</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EUROMASCH</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ind w:right="172"/>
              <w:spacing w:after="0"/>
              <w:rPr>
                <w:sz w:val="20"/>
                <w:szCs w:val="20"/>
                <w:color w:val="auto"/>
              </w:rPr>
            </w:pPr>
            <w:r>
              <w:rPr>
                <w:rFonts w:ascii="Arial" w:cs="Arial" w:eastAsia="Arial" w:hAnsi="Arial"/>
                <w:sz w:val="18"/>
                <w:szCs w:val="18"/>
                <w:color w:val="auto"/>
                <w:w w:val="92"/>
              </w:rPr>
              <w:t>Austria</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MOSTNIC</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color w:val="auto"/>
                <w:w w:val="83"/>
              </w:rPr>
              <w:t>Russia</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KOREA ZERUST CO., LTD.</w:t>
            </w:r>
          </w:p>
        </w:tc>
        <w:tc>
          <w:tcPr>
            <w:tcW w:w="264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center"/>
              <w:spacing w:after="0"/>
              <w:rPr>
                <w:sz w:val="20"/>
                <w:szCs w:val="20"/>
                <w:color w:val="auto"/>
              </w:rPr>
            </w:pPr>
            <w:r>
              <w:rPr>
                <w:rFonts w:ascii="Arial" w:cs="Arial" w:eastAsia="Arial" w:hAnsi="Arial"/>
                <w:sz w:val="18"/>
                <w:szCs w:val="18"/>
                <w:color w:val="auto"/>
                <w:w w:val="87"/>
              </w:rPr>
              <w:t>South Korea</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25%</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ZERUST OY</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color w:val="auto"/>
                <w:w w:val="91"/>
              </w:rPr>
              <w:t>Finland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ZERUST (U.K.) LTD.</w:t>
            </w:r>
          </w:p>
        </w:tc>
        <w:tc>
          <w:tcPr>
            <w:tcW w:w="3800" w:type="dxa"/>
            <w:vAlign w:val="bottom"/>
            <w:gridSpan w:val="3"/>
            <w:shd w:val="clear" w:color="auto" w:fill="C0C0C0"/>
          </w:tcPr>
          <w:p>
            <w:pPr>
              <w:jc w:val="center"/>
              <w:ind w:left="2532"/>
              <w:spacing w:after="0"/>
              <w:rPr>
                <w:sz w:val="20"/>
                <w:szCs w:val="20"/>
                <w:color w:val="auto"/>
              </w:rPr>
            </w:pPr>
            <w:r>
              <w:rPr>
                <w:rFonts w:ascii="Arial" w:cs="Arial" w:eastAsia="Arial" w:hAnsi="Arial"/>
                <w:sz w:val="18"/>
                <w:szCs w:val="18"/>
                <w:color w:val="auto"/>
                <w:w w:val="92"/>
              </w:rPr>
              <w:t>United Kingdom</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EXCOR-ZERUST S.R.O.</w:t>
            </w:r>
          </w:p>
        </w:tc>
        <w:tc>
          <w:tcPr>
            <w:tcW w:w="26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Czech Republic</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1997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EXCOR SP. Z.O.O.</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ind w:right="172"/>
              <w:spacing w:after="0"/>
              <w:rPr>
                <w:sz w:val="20"/>
                <w:szCs w:val="20"/>
                <w:color w:val="auto"/>
              </w:rPr>
            </w:pPr>
            <w:r>
              <w:rPr>
                <w:rFonts w:ascii="Arial" w:cs="Arial" w:eastAsia="Arial" w:hAnsi="Arial"/>
                <w:sz w:val="18"/>
                <w:szCs w:val="18"/>
                <w:color w:val="auto"/>
                <w:w w:val="85"/>
              </w:rPr>
              <w:t>Poland</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40" w:type="dxa"/>
            <w:vAlign w:val="bottom"/>
          </w:tcPr>
          <w:p>
            <w:pPr>
              <w:jc w:val="right"/>
              <w:ind w:right="229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0"/>
              </w:rPr>
              <w:t>Calendar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Year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Joint Venture Name</w:t>
            </w: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Country</w:t>
            </w:r>
          </w:p>
        </w:tc>
        <w:tc>
          <w:tcPr>
            <w:tcW w:w="2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Investment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0C0C0"/>
          </w:tcPr>
          <w:p>
            <w:pPr>
              <w:ind w:left="200"/>
              <w:spacing w:after="0"/>
              <w:rPr>
                <w:sz w:val="20"/>
                <w:szCs w:val="20"/>
                <w:color w:val="auto"/>
              </w:rPr>
            </w:pPr>
            <w:r>
              <w:rPr>
                <w:rFonts w:ascii="Arial" w:cs="Arial" w:eastAsia="Arial" w:hAnsi="Arial"/>
                <w:sz w:val="18"/>
                <w:szCs w:val="18"/>
                <w:color w:val="auto"/>
              </w:rPr>
              <w:t>SPECIALTY - NTIA CO. LTD.</w:t>
            </w:r>
          </w:p>
        </w:tc>
        <w:tc>
          <w:tcPr>
            <w:tcW w:w="2640" w:type="dxa"/>
            <w:vAlign w:val="bottom"/>
            <w:tcBorders>
              <w:top w:val="single" w:sz="8" w:color="auto"/>
            </w:tcBorders>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2"/>
              </w:rPr>
              <w:t>Thailand*</w:t>
            </w:r>
          </w:p>
        </w:tc>
        <w:tc>
          <w:tcPr>
            <w:tcW w:w="220" w:type="dxa"/>
            <w:vAlign w:val="bottom"/>
            <w:shd w:val="clear" w:color="auto" w:fill="C0C0C0"/>
          </w:tcPr>
          <w:p>
            <w:pPr>
              <w:spacing w:after="0"/>
              <w:rPr>
                <w:sz w:val="18"/>
                <w:szCs w:val="18"/>
                <w:color w:val="auto"/>
              </w:rPr>
            </w:pPr>
          </w:p>
        </w:tc>
        <w:tc>
          <w:tcPr>
            <w:tcW w:w="84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25%</w:t>
            </w:r>
          </w:p>
        </w:tc>
        <w:tc>
          <w:tcPr>
            <w:tcW w:w="200" w:type="dxa"/>
            <w:vAlign w:val="bottom"/>
            <w:shd w:val="clear" w:color="auto" w:fill="C0C0C0"/>
          </w:tcPr>
          <w:p>
            <w:pPr>
              <w:spacing w:after="0"/>
              <w:rPr>
                <w:sz w:val="18"/>
                <w:szCs w:val="18"/>
                <w:color w:val="auto"/>
              </w:rPr>
            </w:pPr>
          </w:p>
        </w:tc>
        <w:tc>
          <w:tcPr>
            <w:tcW w:w="8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TIANJIN ZERUST CO.</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China*</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25%</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HARITA-NTI</w:t>
            </w:r>
          </w:p>
        </w:tc>
        <w:tc>
          <w:tcPr>
            <w:tcW w:w="26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2"/>
              </w:rPr>
              <w:t>India</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CHONG WAH-NTIA SDN. BHD.</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Malaysia*</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25%</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NTIA ZERUST PHILIPPINES, INC.</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3"/>
              </w:rPr>
              <w:t>Philippines*</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FIBRO NTI JOINT STOCK CO.</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Turkey</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ZERUST CONSUMER PRODUCTS, LLC</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United States</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REACT-NTI, LLC***</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75%</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POLYMER ENERGY LLC</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United States</w:t>
            </w:r>
          </w:p>
        </w:tc>
        <w:tc>
          <w:tcPr>
            <w:tcW w:w="1060" w:type="dxa"/>
            <w:vAlign w:val="bottom"/>
            <w:gridSpan w:val="2"/>
            <w:shd w:val="clear" w:color="auto" w:fill="C0C0C0"/>
          </w:tcPr>
          <w:p>
            <w:pPr>
              <w:jc w:val="center"/>
              <w:ind w:left="112"/>
              <w:spacing w:after="0"/>
              <w:rPr>
                <w:sz w:val="20"/>
                <w:szCs w:val="20"/>
                <w:color w:val="auto"/>
              </w:rPr>
            </w:pPr>
            <w:r>
              <w:rPr>
                <w:rFonts w:ascii="Arial" w:cs="Arial" w:eastAsia="Arial" w:hAnsi="Arial"/>
                <w:sz w:val="18"/>
                <w:szCs w:val="18"/>
                <w:color w:val="auto"/>
                <w:w w:val="90"/>
              </w:rPr>
              <w:t>62.5%</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ZERUST EXCOR PTY LTD</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Australia</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ZERUST - DNEPR</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Ukraine</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SINGLE POINT ENERGY &amp; ENVIRONMENT CO. LTD.</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Thailand</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0C0C0"/>
          </w:tcPr>
          <w:p>
            <w:pPr>
              <w:ind w:left="200"/>
              <w:spacing w:after="0"/>
              <w:rPr>
                <w:sz w:val="20"/>
                <w:szCs w:val="20"/>
                <w:color w:val="auto"/>
              </w:rPr>
            </w:pPr>
            <w:r>
              <w:rPr>
                <w:rFonts w:ascii="Arial" w:cs="Arial" w:eastAsia="Arial" w:hAnsi="Arial"/>
                <w:sz w:val="18"/>
                <w:szCs w:val="18"/>
                <w:color w:val="auto"/>
              </w:rPr>
              <w:t>NTI-DILMUN MIDDLE EAST FZCO.</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UAE</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8"/>
              </w:rPr>
              <w:t>50%</w:t>
            </w:r>
          </w:p>
        </w:tc>
        <w:tc>
          <w:tcPr>
            <w:tcW w:w="106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PT. CHEMINDO – NTIA</w:t>
            </w: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Indonesia*</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25%</w:t>
            </w:r>
          </w:p>
        </w:tc>
        <w:tc>
          <w:tcPr>
            <w:tcW w:w="10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NON-INDUSTRIAL CHEMICAL CORPORATE JOINT VENTURES</w:t>
            </w:r>
          </w:p>
        </w:tc>
        <w:tc>
          <w:tcPr>
            <w:tcW w:w="26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80" w:type="dxa"/>
            <w:vAlign w:val="bottom"/>
          </w:tcPr>
          <w:p>
            <w:pPr>
              <w:ind w:left="200"/>
              <w:spacing w:after="0" w:line="195" w:lineRule="exact"/>
              <w:rPr>
                <w:sz w:val="20"/>
                <w:szCs w:val="20"/>
                <w:color w:val="auto"/>
              </w:rPr>
            </w:pPr>
            <w:r>
              <w:rPr>
                <w:rFonts w:ascii="Arial" w:cs="Arial" w:eastAsia="Arial" w:hAnsi="Arial"/>
                <w:sz w:val="18"/>
                <w:szCs w:val="18"/>
                <w:color w:val="auto"/>
              </w:rPr>
              <w:t>MUTEC GMBH</w:t>
            </w: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93"/>
              </w:rPr>
              <w:t>Germany**</w:t>
            </w:r>
          </w:p>
        </w:tc>
        <w:tc>
          <w:tcPr>
            <w:tcW w:w="1060" w:type="dxa"/>
            <w:vAlign w:val="bottom"/>
            <w:gridSpan w:val="2"/>
          </w:tcPr>
          <w:p>
            <w:pPr>
              <w:jc w:val="center"/>
              <w:ind w:left="132"/>
              <w:spacing w:after="0" w:line="195" w:lineRule="exact"/>
              <w:rPr>
                <w:sz w:val="20"/>
                <w:szCs w:val="20"/>
                <w:color w:val="auto"/>
              </w:rPr>
            </w:pPr>
            <w:r>
              <w:rPr>
                <w:rFonts w:ascii="Arial" w:cs="Arial" w:eastAsia="Arial" w:hAnsi="Arial"/>
                <w:sz w:val="18"/>
                <w:szCs w:val="18"/>
                <w:color w:val="auto"/>
                <w:w w:val="88"/>
              </w:rPr>
              <w:t>40%</w:t>
            </w:r>
          </w:p>
        </w:tc>
        <w:tc>
          <w:tcPr>
            <w:tcW w:w="1060" w:type="dxa"/>
            <w:vAlign w:val="bottom"/>
            <w:gridSpan w:val="2"/>
          </w:tcPr>
          <w:p>
            <w:pPr>
              <w:jc w:val="center"/>
              <w:ind w:left="132"/>
              <w:spacing w:after="0" w:line="195" w:lineRule="exact"/>
              <w:rPr>
                <w:sz w:val="20"/>
                <w:szCs w:val="20"/>
                <w:color w:val="auto"/>
              </w:rPr>
            </w:pPr>
            <w:r>
              <w:rPr>
                <w:rFonts w:ascii="Arial" w:cs="Arial" w:eastAsia="Arial" w:hAnsi="Arial"/>
                <w:sz w:val="18"/>
                <w:szCs w:val="18"/>
                <w:color w:val="auto"/>
                <w:w w:val="89"/>
              </w:rPr>
              <w:t>2002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500" w:type="dxa"/>
            <w:vAlign w:val="bottom"/>
            <w:gridSpan w:val="2"/>
          </w:tcPr>
          <w:p>
            <w:pPr>
              <w:spacing w:after="0"/>
              <w:rPr>
                <w:sz w:val="20"/>
                <w:szCs w:val="20"/>
                <w:color w:val="auto"/>
              </w:rPr>
            </w:pPr>
            <w:r>
              <w:rPr>
                <w:rFonts w:ascii="Arial" w:cs="Arial" w:eastAsia="Arial" w:hAnsi="Arial"/>
                <w:sz w:val="22"/>
                <w:szCs w:val="22"/>
                <w:color w:val="auto"/>
              </w:rPr>
              <w:t>____________________</w:t>
            </w:r>
          </w:p>
        </w:tc>
        <w:tc>
          <w:tcPr>
            <w:tcW w:w="2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-3345815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-3345815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Indirect ownership interest through NTI ASEAN, LLC</w:t>
      </w:r>
    </w:p>
    <w:p>
      <w:pPr>
        <w:spacing w:after="0" w:line="25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Indirect ownership through Northern Instruments Corporation LLC</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React-NTI LLC is fully consolidated on NTIC’s consolidated financial statements (See note 2 to NTIC’s consolidated financial statements).</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5"/>
          <w:szCs w:val="15"/>
          <w:color w:val="auto"/>
        </w:rPr>
        <w:t>NTIC’s international rust and corrosion inhibiting product business has expanded significantly during the past several fiscal years. NTIC has entered into five new corporate joint venture arrangements during the past two fiscal years. Total net sales of all of NTIC’s joint ventures increased 26.0% to $80,551,700 during fiscal 2007 as compared to $63,959,090 during fiscal 2006 and increased 11.9% during fiscal 2006 compared to fiscal 2005. The profits of NTIC’s corporate joint ventures are shared, however, by the respective corporate joint venture owners in accordance with their respective ownership percentages. In addition, NTIC’s receipt of funds as a result of sales by its joint ventures are dependent upon NTIC’s receipt of dividend distributions from the joint ventures and NTIC’s receipt of fees for technical and other support services that NTIC provides to its joint ventures based on the revenues of the joint ventures. NTIC typically owns only 50% or less of its joint venture entities and thus does not control the decisions of these entities regarding whether to pay dividends and how much in dividends in any given year. NTIC had equity in income of corporate joint ventures and holding companies of $3,201,621 in fiscal 2007 compared to $2,713,096 in fiscal 2006. NTIC recognized fee income for such technical and support services of $4,976,194 in fiscal 2007 compared to $4,695,124 in fiscal 2006.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$4,876,928 in direct joint venture expenses in fiscal 2007 as compared to $5,481,757 in fiscal 2006. NTIC’s income from its corporate joint ventures and holding companies was $3,300,887 in fiscal 2007 as compared to $1,973,065 in fiscal 2006.</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the corporate joint ventures listed above, there can be no assurance that NTIC will not be subject to lawsuits based on product liability claims or other claims arising out of the activities of each joint venture. To mitigate the ramifications of such an occurrence, NTIC maintains liability insurance specifically applicable to its ownership positions in the joint venture arrangements in excess of any insurance the joint ventures may maintain.</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currently derives revenues from the following product lines:</w:t>
      </w:r>
    </w:p>
    <w:p>
      <w:pPr>
        <w:spacing w:after="0" w:line="226" w:lineRule="exact"/>
        <w:rPr>
          <w:sz w:val="20"/>
          <w:szCs w:val="20"/>
          <w:color w:val="auto"/>
        </w:rPr>
      </w:pPr>
    </w:p>
    <w:p>
      <w:pPr>
        <w:jc w:val="both"/>
        <w:ind w:right="20"/>
        <w:spacing w:after="0" w:line="228" w:lineRule="auto"/>
        <w:rPr>
          <w:sz w:val="20"/>
          <w:szCs w:val="20"/>
          <w:color w:val="auto"/>
        </w:rPr>
      </w:pPr>
      <w:r>
        <w:rPr>
          <w:rFonts w:ascii="Arial" w:cs="Arial" w:eastAsia="Arial" w:hAnsi="Arial"/>
          <w:sz w:val="18"/>
          <w:szCs w:val="18"/>
          <w:b w:val="1"/>
          <w:bCs w:val="1"/>
          <w:i w:val="1"/>
          <w:iCs w:val="1"/>
          <w:color w:val="auto"/>
        </w:rPr>
        <w:t>Corrosion Prevention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70% of NTIC’s consolidated net sales for fiscal 2007 were derived from developing, manufacturing, marketing and selling Zerust</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 and corrosion inhibiting packaging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w:t>
      </w:r>
    </w:p>
    <w:p>
      <w:pPr>
        <w:sectPr>
          <w:pgSz w:w="11900" w:h="16838" w:orient="portrait"/>
          <w:cols w:equalWidth="0" w:num="1">
            <w:col w:w="11440"/>
          </w:cols>
          <w:pgMar w:left="240" w:top="131" w:right="219" w:bottom="109" w:gutter="0" w:footer="0" w:header="0"/>
        </w:sectPr>
      </w:pPr>
    </w:p>
    <w:bookmarkStart w:id="3" w:name="page4"/>
    <w:bookmarkEnd w:id="3"/>
    <w:p>
      <w:pPr>
        <w:spacing w:after="0" w:line="96" w:lineRule="exact"/>
        <w:rPr>
          <w:sz w:val="20"/>
          <w:szCs w:val="20"/>
          <w:color w:val="auto"/>
        </w:rPr>
      </w:pPr>
    </w:p>
    <w:p>
      <w:pPr>
        <w:jc w:val="both"/>
        <w:spacing w:after="0" w:line="210"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products contain proprietary nontoxic chemical systems (primarily using food additives) that passivate metal surfaces and thereby inhibit rust and corrosion. The corrosion-inhibiting protection is maintained as long as the metal products to be protected remain enclosed within the Zerust</w:t>
      </w:r>
      <w:r>
        <w:rPr>
          <w:rFonts w:ascii="Arial" w:cs="Arial" w:eastAsia="Arial" w:hAnsi="Arial"/>
          <w:sz w:val="26"/>
          <w:szCs w:val="26"/>
          <w:color w:val="auto"/>
          <w:vertAlign w:val="superscript"/>
        </w:rPr>
        <w: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packaging. Electron scanning further shows that once the contents are removed from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reducing the use of oils to inhibit corrosion, NTIC’s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provides its customers significant savings in labor, material and capital expenditures for equipment to apply, remove and dispose of oil and grease, as well as the attendant environmental problems, as compared to traditional methods of corrosion prevention.</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NTIC developed the first means of combining corrosion inhibiting chemical systems with polyethylene and polypropylene resins. Combining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chemical systems with polyethylene and polypropylene resins permitted NTIC to introduce to industry a line of packaging products in the form of low and high density polyethylene bags and shroud film, stretch, shrink, skin and bubble cushioning film, woven scrim, foam sheeting, profile and corrugated board, thermoformed dunnage trays and bins, injection and blow molded products and flat netting, thereby giving packaging engineers an opportunity to ship and store ferrous, nonferrous and mixed multi-metal products in a clean, dry and corrosion-free condition, with an attendant overall savings in total packaging cost. Products also include a line of several diffusers, such as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Vapor Capsules, Zerust ICT™ Plastabs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Cor-Tabs</w:t>
      </w:r>
      <w:r>
        <w:rPr>
          <w:rFonts w:ascii="Arial" w:cs="Arial" w:eastAsia="Arial" w:hAnsi="Arial"/>
          <w:sz w:val="24"/>
          <w:szCs w:val="24"/>
          <w:color w:val="auto"/>
          <w:vertAlign w:val="superscript"/>
        </w:rPr>
        <w:t>®</w:t>
      </w:r>
      <w:r>
        <w:rPr>
          <w:rFonts w:ascii="Arial" w:cs="Arial" w:eastAsia="Arial" w:hAnsi="Arial"/>
          <w:sz w:val="15"/>
          <w:szCs w:val="15"/>
          <w:color w:val="auto"/>
        </w:rPr>
        <w:t>, which protect metal surfaces within the distance of a</w:t>
      </w:r>
    </w:p>
    <w:p>
      <w:pPr>
        <w:spacing w:after="0" w:line="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certain specified “radius of protection.” This industrial product line has since been expanded to also include items such as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gun cases and car covers targeted at retail consumers. NTIC has also developed proprietary corrosion inhibitors for use in the mitigation of corrosion in capital assets used in the petrochemical and related industries.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 has also developed additives in liquid form to imbue corrugated cardboard, solid fiber and chipboard packaging materials with corrosion protection properties. Additionally, NTIC provides a line of metal surface treatment liquids, which are oil, water and bio-solvent based, marketed under the AXXA™ brand name.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Bio-Based Chemical Additives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NTIC’s React-NTI, LLC joint venture revenues for fiscal 2007 were primarily derived from the sales of MR-101 and MR-102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anti-abrasion ink additives to one customer. The ink industry uses these additives to ensure ink does not “rub off” the pages of magazines and books. As described in more detail under the heading “Part II. Item 6. Management’s Discussion and Analysis or Plan of Operation—Recent Development,” during fourth quarter of fiscal 2007, this customer notified React that it would place future orders for React’s remaining inventory of ink additives, but that after such inventory was purchased, the customer would not place any future orders. NTIC anticipates that the loss of this customer will have a material adverse impact on NTIC’s consolidated net sales beginning in first quarter of fiscal 2008. However, since the margins on React’s sales of the ink additives to this customer were extremely small, NTIC does not expect that the anticipated decrease in net sales by React will have a material adverse effect on NTIC’s consolidated net income.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React-NTI’s renewable resource-based industrial chemical additive sales in fiscal 2007 also came from a patented sintered metal mold release agent sold under the brand name SERAVAT™. SERAVAT™ significantly increases the “green strength” of powder metal parts as they are ejected from their molds. The increase in green strength leads to much higher process yields for the user, especially in stainless steel applications, thereby significantly lowering their production costs.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React-NTI’s renewable resource-based personal care chemical additive sales in fiscal 2007 included Farona™ line of patented micronized cotton and corn powders. End user applications for these additives included deodorants, pressed powder products and loose powder products. Sales also were derived from patented EnviroPure™ emollient gels that consist of a soy and canola base petrolatum replacement, as well as EnviroSolve™ soy and canola base solvents that were used, among other applications, as a successful acetone replacement.</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Electronic Measuring Instruments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NTIC’s Mütec GmbH joint venture develops, manufactures and sells proprietary electronics components including signal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converters, Input-Output interfaces, bulk goods property measurement instruments, and process sensor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Businesses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 is also in the process of expanding its technologies into other applications and businesses. NTIC is undertaking these new businesses either directly or through joint ventures.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Bio-Plastics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NTIC is beginning to manufacture and sell a broad range of bio-based and biodegradable (compostable) polymer resin compounds and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Natur-Tec™ brand. In recent years, a combination of market drivers such as higher petroleum prices, a desire to reduce dependence on foreign oil, increased environmental awareness at the consumer level, and favorable regulations banning the use of regular plastics, have led to widespread interest in sustainable, renewable resource based and compostable alternatives to traditional plastics. The term “bio-plastics” encompasses a broad category of plastics that are either bio-based (i.e. derived from renewable resources such as corn or cellulosic/plant material or blends thereof) or are plastics that are engineered to be fully biodegradable/compostable.</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Natur-Tec™ polymer resins are produced using NTIC’s proprietary and patent pending ReX Process. In this process, biodegradable polymers, natural polymers made from renewable resources, and organic and inorganic materials are reactively blended in the presence of proprietary compatibilizers and polymer modifiers to produce bio-based/biodegradable polymer resin formulations that exhibit unique and stable morphology. Natur-Tec™ polymer resins are engineered for high performance, ease of processing and reduced cost, and can be easily processed by converters using conventional manufacturing processes and equipment. Natur-Tec™ resins are available in several grades tailored for a variety of applications such as blown-film extrusion, extrusion coating, injection molding and more. Natur-Tec™ biodegradable and compostable polymer resins and all products made thereof meet all requirements of international standards for compostable plastics such as ASTM D6400 (U.S.) and EN 13432 (Europe), and are certified as 100% compostable by the Biodegradable Products Institute in the U.S. The finished products include totally biodegradable compost and trash bags, agricultural film and other single-use disposable products such as compostable cutlery, food and consumer goods packaging. In addition, NTIC is developing a line of renewable resource based resin compounds for durable engineering plastics applications such as automotive and industrial plastics.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Plastics to Fuel Oil Conversion Technology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NTIC, through Polymer Energy LLC, a joint venture in which NTIC has a 62.5% interest has a license to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 a patented system to convert waste plastic material into fuel oil. The increasing use of disposable plastic packaging has led to ever increasing generation of waste plastic. Traditional methods of waste plastic disposal such as landfill disposal or incineration have limitations due to environmental and</w:t>
      </w:r>
    </w:p>
    <w:p>
      <w:pPr>
        <w:sectPr>
          <w:pgSz w:w="11900" w:h="16934" w:orient="portrait"/>
          <w:cols w:equalWidth="0" w:num="1">
            <w:col w:w="11420"/>
          </w:cols>
          <w:pgMar w:left="240" w:top="132" w:right="239" w:bottom="0" w:gutter="0" w:footer="0" w:header="0"/>
        </w:sectPr>
      </w:pPr>
    </w:p>
    <w:bookmarkStart w:id="4" w:name="page5"/>
    <w:bookmarkEnd w:id="4"/>
    <w:p>
      <w:pPr>
        <w:spacing w:after="0" w:line="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regulatory concerns. The Polymer Energy™ system offers a viable, economical and environmentally responsible alternative to traditional methods of disposal of plastic waste. The Polymer Energy™ system uses catalytic pyrolysis to efficiently convert waste plastics (primarily polyolefins) into fuel oil. The system, developed in Europe, has won several industry awards, including the 2006 European Environmental Press Award for innovative waste management solutions. Polymer Energy LLC plans to sell its first unit in fiscal 2008 and intends to ramp up its manufacturing and service infrastructure to capitalize on global market opportunities it believes exists for the Polymer Energy™ solution. Polymer Energy LLC does not currently intend to market and sell its Polymer Energy™ solution in the United States due to extensive U.S. governmental regulation.</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Oil and Gas Technology. </w:t>
      </w:r>
      <w:r>
        <w:rPr>
          <w:rFonts w:ascii="Arial" w:cs="Arial" w:eastAsia="Arial" w:hAnsi="Arial"/>
          <w:sz w:val="16"/>
          <w:szCs w:val="16"/>
          <w:color w:val="auto"/>
        </w:rPr>
        <w:t>NTIC has also developed proprietary corrosion inhibiting technologies for use in the mitigation of corrosion in capital assets used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chemical industry and is initially targeting the sale of these new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to the oil and gas industry sector. NTIC has concluded successful trials of its solutions with a large oil company and is pursuing opportunities to market its technology to other potential customers in the oil and gas industry across</w:t>
      </w:r>
    </w:p>
    <w:p>
      <w:pPr>
        <w:jc w:val="both"/>
        <w:spacing w:after="0" w:line="264" w:lineRule="auto"/>
        <w:rPr>
          <w:sz w:val="20"/>
          <w:szCs w:val="20"/>
          <w:color w:val="auto"/>
        </w:rPr>
      </w:pPr>
      <w:r>
        <w:rPr>
          <w:rFonts w:ascii="Arial" w:cs="Arial" w:eastAsia="Arial" w:hAnsi="Arial"/>
          <w:sz w:val="16"/>
          <w:szCs w:val="16"/>
          <w:color w:val="auto"/>
        </w:rPr>
        <w:t>several countries through its joint venture partners and other strategic partners. NTIC believes the sale of its new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to customers in the oil and gas industry will involve a long sales cycle, likely including a one- to two-year trial period with each customer and a slow integration process thereafter. NTIC has been granted several patents in this area and has several other patents pending covering these new technologies. NTIC has also expanded the core research and development team responsible for the development and testing of solutions for this market segment. In furtherance of NTIC’s efforts to expand in the oil and gas industry, during fiscal 2007, NTIC invested in a joint venture to develop operations in the United Arab Emirates in the oil and gas industry.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NTIC produces its proprietary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additives and products at its facility in Circle Pines, Minnesota. NTIC’s other products are produced according to NTIC’s specifications by selected contractors and Company joint ventures under a trade secrecy agreement and/or a license agreement.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NTIC is ISO 9001 certified with respect to the manufacturing of its products and ISO 14000 certified with respect to environmental management standards. NTIC believes that the process of ISO 9001 certification serves as an excellent total quality management tool, enabling NTIC to ensure consistency in the performance of its products. NTIC believes that the process of ISO 14000 certification serves as an excellent tool for NTIC to continuously improve its environmental performance. In addition, because potential customers may prefer or require manufacturers to have achieved ISO certification, such ISO certifications may provide NTIC with certain competitive advantages.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NTIC markets its products principally to industrial users by a direct sales force and through a network of independent distributors and manufacturer’s sales representatives. NTIC’s technical service representatives work directly with the end users of NTIC’s products to analyze their specific needs and develop systems to meet their technical requirements.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Internationally, NTIC has entered into several joint venture and similar arrangements with foreign partners (either directly or through a holding company). Pursuant to these arrangements, NTIC and/or Excor, NTIC’s corporate joint venture in Germany, supply certain proprietary additives to NTIC’s foreign joint</w:t>
      </w:r>
    </w:p>
    <w:p>
      <w:pPr>
        <w:jc w:val="both"/>
        <w:spacing w:after="0" w:line="219" w:lineRule="auto"/>
        <w:rPr>
          <w:sz w:val="20"/>
          <w:szCs w:val="20"/>
          <w:color w:val="auto"/>
        </w:rPr>
      </w:pPr>
      <w:r>
        <w:rPr>
          <w:rFonts w:ascii="Arial" w:cs="Arial" w:eastAsia="Arial" w:hAnsi="Arial"/>
          <w:sz w:val="17"/>
          <w:szCs w:val="17"/>
          <w:color w:val="auto"/>
        </w:rPr>
        <w:t>venture entities, which, in turn, provide for the international manufacture and marketing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other finished products. NTIC receives fees for providing technical support and marketing assistance to its joint ventures in accordance with the terms of the joint venture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NTIC is unaware of any third parties in which NTIC competes on a worldwide basis with respect to its corrosion prevention products, NTIC does compete with several third parties on a regional basis. NTIC evaluates competing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to devote greater resources to the promotion and sale of their products than NTIC can. NTIC believes its principal competitive factors with respect to its corrosion prevention products are pricing, product innovation, quality and reliability, product support and customer service and reputation. Most of NTIC’s competitors have attempted to commoditize NTIC’s corrosion prevention packaging products thereby pressuring NTIC to compete at least in part on the basis of price. Some of these companies may have achieved significant market acceptance of their competing products and brand recognition. NTIC, however, believes it has a competitive advantage over most of its competitors as a result of NTIC’s technical innovation and its value added service. NTIC attempts to provide its customers with the highest level of technical service and applications engineering in addition to the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packaging.</w:t>
      </w:r>
    </w:p>
    <w:p>
      <w:pPr>
        <w:spacing w:after="0" w:line="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With respect to NTIC’s anti-abrasion ink additive products, NTIC’s primary competitor has become its former manufacturer, Shamrock Technologies, Inc. As described in more detail under the heading “Item 3. Legal Proceedings,” NTIC is currently involved in litigation with Shamrock.</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With respect to NTIC’s bio-plastics products, NTIC competes with several established companies that have been producing and selling such products for a significantly longer time period, have significant sales and much more substantial financial and other resources than NTIC. In addition to performance, NTIC</w:t>
      </w:r>
    </w:p>
    <w:p>
      <w:pPr>
        <w:jc w:val="both"/>
        <w:spacing w:after="0" w:line="221" w:lineRule="auto"/>
        <w:rPr>
          <w:sz w:val="20"/>
          <w:szCs w:val="20"/>
          <w:color w:val="auto"/>
        </w:rPr>
      </w:pPr>
      <w:r>
        <w:rPr>
          <w:rFonts w:ascii="Arial" w:cs="Arial" w:eastAsia="Arial" w:hAnsi="Arial"/>
          <w:sz w:val="18"/>
          <w:szCs w:val="18"/>
          <w:color w:val="auto"/>
        </w:rPr>
        <w:t>competes on the basis of price and therefore NTIC’s margins on its bio-plastics products are much smaller than its margins on its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NTIC also competes on the basis of supply for the resins used to manufacture NTIC’s bio-plastics products since there are a limited number of suppliers of such resins and limited capacity of production.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NTIC’s plastics to fuel oil conversion technology, although NTIC is not currently aware of a large number of competitors, such competitors could quickly develop and a few have recently emerged from Asia.</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With respect to NTIC’s corrosion prevention technology for use in the oil and gas industry, NTIC is not currently aware of competitors with the same or similar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 customer of NTIC’s React-NTI, LLC joint venture accounted for, in the aggregate, approximately 28.0% and 26.6% of NTIC’s consolidated net sales for the fiscal years ended August 31, 2007 and 2006 respectively, and $132,999 and $207,630 of NTIC’s receivables at August 31, 2007 and 2006, respectively. As described in more detail under the heading “Part II. Item 6. Management’s Discussion and Analysis or Plan of Operation—Recent Development,” during the fourth quarter of fiscal 2007, this customer notified React that it would place future orders for React’s remaining inventory of ink additives, but that after such</w:t>
      </w:r>
    </w:p>
    <w:p>
      <w:pPr>
        <w:sectPr>
          <w:pgSz w:w="11900" w:h="16857" w:orient="portrait"/>
          <w:cols w:equalWidth="0" w:num="1">
            <w:col w:w="11420"/>
          </w:cols>
          <w:pgMar w:left="240" w:top="131" w:right="239" w:bottom="0" w:gutter="0" w:footer="0" w:header="0"/>
        </w:sectPr>
      </w:pPr>
    </w:p>
    <w:bookmarkStart w:id="5" w:name="page6"/>
    <w:bookmarkEnd w:id="5"/>
    <w:p>
      <w:pPr>
        <w:jc w:val="both"/>
        <w:spacing w:after="0" w:line="306" w:lineRule="auto"/>
        <w:rPr>
          <w:sz w:val="20"/>
          <w:szCs w:val="20"/>
          <w:color w:val="auto"/>
        </w:rPr>
      </w:pPr>
      <w:r>
        <w:rPr>
          <w:rFonts w:ascii="Arial" w:cs="Arial" w:eastAsia="Arial" w:hAnsi="Arial"/>
          <w:sz w:val="16"/>
          <w:szCs w:val="16"/>
          <w:color w:val="auto"/>
        </w:rPr>
        <w:t>inventory was purchased, the customer would not place any future orders. NTIC anticipates that the loss of this customer will have a material adverse impact on NTIC’s consolidated net sales beginning in first quarter of fiscal 2008. However, since the margins on React’s sales of the ink additives to this customer were extremely small, NTIC does not expect that the anticipated decrease in net sales by React will have a material adverse effect on NTIC’s consolidated net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NTIC’s research and development activities are directed at improving existing products, developing new products and improving quality assurance through improved testing of NTIC’s products. NTIC’s joint venture in Germany, Excor, has established a wholly owned subsidiary, Excor Korrosionsforschung GmbH, to conduct research into new fields of corrosion inhibiting packaging and the applications engineering of such products in conjunction with NTIC’s domestic research and development operation. NTIC’s internal research and development activities are conducted at its facilities located in Circle Pines, Minnesota; Beachwood, Ohio; Dresden, Germany; Chennai, India and various international locations under the direction of internationally known scientists and research institutes under exclusive contract to NTIC with respect to the subject of their respective research efforts. NTIC’s research and development activities in Minnesota, Ohio, Germany and India, along with NTIC’s research and development efforts conducted with the expert consulting support of Dr. Ramani Narayan and former support of Dr. Sunggyu Lee, frequently result in the development of intellectual property rights for NTIC. NTIC spent $2,575,325 in fiscal 2007 and $2,043,611 in fiscal 2006 in connection with its research and development activities. NTIC anticipates that it will spend between $2,800,000 and $3,200,000 in fiscal 2008 on research and development activities. These fees are accounted for in the “Expenses incurred in support of corporate joint ventures” section of NTIC’s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twelve letters patents in the U.S. covering various corrosion inhibiting technologies, systems and applications since the expiration of the initial patent. NTIC owns several patents in these areas. These patents as well as patent applications have been extended to the countries of strategic relevance to NTIC including, but not limited to, the Patent Cooperation Treaty. In addition, NTIC’s joint venture in Germany, EXCOR GmbH, owns several patents in the area covering various corrosion inhibiting technologies and also applied for new patent applications for proprietary new corrosion inhibiting technologies, to which NTIC and its other joint ventures worldwide have rights.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seeking patent protection, NTIC maintains an extensive portfolio of trademarks in all countries where NTIC has joint venture presence. NTIC continuously pursues new trademark applications of strategic interest worldwide. NTIC owns the following U.S. registered trademarks: NTI®, NTI &amp; Globe Design, ZERUST®, EXCOR®, COR TAB®, PLASTABS®, MATCH-TECH®, COR/SCI®, NIC®. NTIC also has a registered trademark on the use of the Color Yellow with respect to corrosion inhibiting packaging. In addition, NTIC has applied for the following new trademarks in the U.S.: NATUR-TEC™, NATUR-TEC &amp; Design™, Polymer Energy™, Polymer Energy Logo™, ICT™, Z-CIS™. Furthermore, NTI®, ZERUST®, The ZERUST People®, EXCOR®, the Color Yellow®, NTI ASEAN®, MATCH-TECH®, COR/SCI®, Polymer Energy® and Polymer Energy Logo® as well as other marks have been registered in the European Union with several new applications pending.</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 had order backlog of $445,000 as of August 31, 2007 compared to $321,000 as of August 31, 2006. These are orders that are held by NTIC pending release instructions from the customers to be used in just-in-time production. Customers generally place orders on an “as needed” basis and expect delivery within a relatively short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NTIC does not carry excess quantities of raw materials or purchased parts because of widespread availability for such materials and parts from various suppliers.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31, 2007, NTIC had 48 full-time employees located in the United States, consisting of 14 in administration, 13 in sales and marketing, 14 in research and development and lab, six in production and one responsible for international coordination. There are no unions representing NTIC’s employees and NTIC believes that its relations with employees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1420"/>
          </w:cols>
          <w:pgMar w:left="240" w:top="131" w:right="239" w:bottom="113"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6"/>
          <w:szCs w:val="16"/>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heading “Part II. Item 6. Management’s Discussion and Analysis or Plan of Operation.”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“Risk Factors.” The risks and uncertainties described under the heading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Annual Reports on Form 10-KSB, Quarterly Reports on Form 10-QSB and Current Reports on Form 8-K that NTIC files with or furnishes to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NTIC that could materially adversely affect its business, financial condition or operating results.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Approximately 28.0% of NTIC’s consolidated net sales for the fiscal year ended August 31, 2007 were dependent upon a single customer, which has indicated a desire not to purchase any future products from NTIC or its subsidiaries. As a result, NTIC’s consolidated net sales for the fiscal year ending August 31, 2008 and thereafter will be materially harmed.</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customer of NTIC’s React-NTI, LLC joint venture accounted for, in the aggregate, approximately 28.0% and 26.6% of NTIC’s consolidated net sales for the fiscal year ended August 31, 2007. As described in more detail under the heading “Part II. Item 6. Management’s Discussion and Analysis or Plan of Operation— Recent Development,” during fourth quarter of fiscal 2007, this customer notified React that it would place future orders for React’s remaining inventory of ink additives, but that after such inventory was purchased, the customer would not place any future orders. NTIC anticipates that the loss of this customer will have a material adverse impact on NTIC’s consolidated net sales beginning in first quarter of fiscal 2008 and thereafter. However, since the margins on React’s sales of the ink additives to this customer were extremely small, NTIC does not expect that the anticipated decrease in net sales by React will have a material adverse effect on NTIC’s consolidated net income. No assurance can be provided, however, that the loss of this customer will not have a material adverse effect on NTIC’s consolidated net income.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spacing w:after="0" w:line="221" w:lineRule="auto"/>
        <w:rPr>
          <w:sz w:val="20"/>
          <w:szCs w:val="20"/>
          <w:color w:val="auto"/>
        </w:rPr>
      </w:pPr>
      <w:r>
        <w:rPr>
          <w:rFonts w:ascii="Arial" w:cs="Arial" w:eastAsia="Arial" w:hAnsi="Arial"/>
          <w:sz w:val="17"/>
          <w:szCs w:val="17"/>
          <w:b w:val="1"/>
          <w:bCs w:val="1"/>
          <w:i w:val="1"/>
          <w:iCs w:val="1"/>
          <w:color w:val="auto"/>
        </w:rPr>
        <w:t>The automotive industry in the United States has experienced contraction in recent years thus resulting in decreased demand for NTIC’s Zerust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products in the United States, which has adversely affected and may continue to adversely affect NTIC’s results of operations.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fiscal 2007, over 70% of NTIC’s consolidated net sales were derived from the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packaging products and services. Most of these products and services were sold to customers in the automotive industry and to a lesser extent to customers in the electronics, electrical,</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mechanical, military and retail consumer markets. Net sales of NTIC’s Zerust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products decreased 0.5% to $12,044,241 during fiscal 2007 compared to fiscal 2006 primarily as a result of decreased demand for such products from customers in the automotive industry in the United States. The automotive industry in the United States has experienced contraction in recent years and is not expected to improve in the foreseeable future, which may result in a continued adverse effect</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on NTIC’s results of operations. While NTIC intends to increase marketing efforts of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to customers in other target industries, no assurance can be provided that NTIC will be successful in doing so or will recognize increased sales from such new target markets.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NTIC intends to invest additional research and development and marketing efforts and resources to expand its existing product lines and the distribution of its products into new target markets, such as the oil and gas industry. No assurance can be provided, however, that NTIC’s investments in such new products and markets will be successful and result in additional revenue.</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an effort to increase net sales, NTIC is expanding its corrosion solution products into new markets, such as the oil and gas industry, and expanding its product lines to include other products, such as biodegradable and compostable plastics, plastic recycling technology and corrosion solutions in the oil and gas industry. During fiscal 2008, NTIC expects to invest additional research and development and marketing efforts and resources into these new product lines and markets. NTIC anticipates additional revenue from these new technologies beginning in fiscal year ending August 31, 2008; however, no assurance can be provided that such new businesses will be successful or that NTIC will be successful in obtaining such additional 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NTIC’s emerging new businesses are risky and may not prove to be successful, which could harm NTIC’s operating results and financial condition.</w:t>
      </w: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NTIC is in the process of expanding its technologies into other applications and businesses. NTIC is undertaking these new businesses either directly or through joint ventures. Such new businesses are risky and subject to all of the risks inherent in the establishment of a new business enterprise, including: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absence of an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lack of commercialized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p>
      <w:pPr>
        <w:ind w:left="540"/>
        <w:spacing w:after="0"/>
        <w:rPr>
          <w:sz w:val="20"/>
          <w:szCs w:val="20"/>
          <w:color w:val="auto"/>
        </w:rPr>
      </w:pPr>
      <w:r>
        <w:rPr>
          <w:rFonts w:ascii="Arial" w:cs="Arial" w:eastAsia="Arial" w:hAnsi="Arial"/>
          <w:sz w:val="18"/>
          <w:szCs w:val="18"/>
          <w:color w:val="auto"/>
        </w:rPr>
        <w:t>insufficient capital and other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right="4740"/>
        <w:spacing w:after="0" w:line="598" w:lineRule="auto"/>
        <w:rPr>
          <w:sz w:val="20"/>
          <w:szCs w:val="20"/>
          <w:color w:val="auto"/>
        </w:rPr>
      </w:pPr>
      <w:r>
        <w:rPr>
          <w:rFonts w:ascii="Arial" w:cs="Arial" w:eastAsia="Arial" w:hAnsi="Arial"/>
          <w:sz w:val="16"/>
          <w:szCs w:val="16"/>
          <w:color w:val="auto"/>
        </w:rPr>
        <w:t>expected substantial and continual losses for such businesses for the foreseeable future; the lack of manufacturing experience and limited marketing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-546100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-254635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 expected reliance on third parties for the commercialization of some of the proposed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right="3140"/>
        <w:spacing w:after="0" w:line="516" w:lineRule="auto"/>
        <w:rPr>
          <w:sz w:val="20"/>
          <w:szCs w:val="20"/>
          <w:color w:val="auto"/>
        </w:rPr>
      </w:pPr>
      <w:r>
        <w:rPr>
          <w:rFonts w:ascii="Arial" w:cs="Arial" w:eastAsia="Arial" w:hAnsi="Arial"/>
          <w:sz w:val="18"/>
          <w:szCs w:val="18"/>
          <w:color w:val="auto"/>
        </w:rPr>
        <w:t>a competitive environment characterized by numerous, well-established and well-capitalized competitors; and reliance on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-528955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-237490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Over 20% of NTIC’s consolidated net sales, including corporate joint venture sales, are generated outside of the U.S. and NTIC intends to continue to expand its international operations. NTIC’s international operations require management attention and financial resources and expose NTIC to difficulties and risks presented by international economic, political, legal, accounting and business factors.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including the corporate joint venture sales, outside the United States were 20.8% and 20.3% of its total consolidated net sales for fiscal 2007 and 2006, respectively. One of NTIC’s strategic objectives is to expand its international operations. NTIC has recently entered into joint ventures in Indonesia, the Ukraine, Thailand and the United Arab Emirates. The expansion of NTIC’s existing international operations and entry into 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difficulties in managing and staffing international operations and the required infrastructure costs including legal, tax, accounting,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pricing pressure that NTIC or its corporate joint ventures may experience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laws and business practices favoring local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currency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difficulties in enforcing or defending intellectual property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multiple, changing and often inconsistent enforcement of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affect NTIC’s operating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NTIC’s liquidity and financial position rely on dividend distributions from its corporate joint ventures. During fiscal 2007, NTIC received approximately $1,643,000 in dividends received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reported consolidated net sales and net income.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ectPr>
          <w:pgSz w:w="11900" w:h="16838" w:orient="portrait"/>
          <w:cols w:equalWidth="0" w:num="1">
            <w:col w:w="11420"/>
          </w:cols>
          <w:pgMar w:left="240" w:top="158" w:right="239" w:bottom="0" w:gutter="0" w:footer="0" w:header="0"/>
        </w:sectPr>
      </w:pPr>
    </w:p>
    <w:bookmarkStart w:id="8" w:name="page9"/>
    <w:bookmarkEnd w:id="8"/>
    <w:p>
      <w:pPr>
        <w:jc w:val="both"/>
        <w:spacing w:after="0" w:line="306" w:lineRule="auto"/>
        <w:rPr>
          <w:sz w:val="20"/>
          <w:szCs w:val="20"/>
          <w:color w:val="auto"/>
        </w:rPr>
      </w:pPr>
      <w:r>
        <w:rPr>
          <w:rFonts w:ascii="Arial" w:cs="Arial" w:eastAsia="Arial" w:hAnsi="Arial"/>
          <w:sz w:val="16"/>
          <w:szCs w:val="16"/>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the internal control provisions of the Sarbanes-Oxley Act of 2002 could adversely affect NTIC’s operating results and financial condition.</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 adopted accounting policy FASB Interpretation No. 46R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a revision of FIN 46”</w:t>
      </w:r>
      <w:r>
        <w:rPr>
          <w:rFonts w:ascii="Arial" w:cs="Arial" w:eastAsia="Arial" w:hAnsi="Arial"/>
          <w:sz w:val="16"/>
          <w:szCs w:val="16"/>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the remaining 28 of its corporate joint ventures or if NTIC’s corporate joint ventures otherwise would be required to be in compliance with the internal control provisions of the Sarbanes-Oxley Act of 2002,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One of NTIC’s principal stockholders beneficially owns 24.9 % of NTIC’s outstanding common stock and is affiliated with NTIC’s President and Chief Executive Officer and thus may be able influence matters requiring stockholder approval, including the election of directors, and could discourage or otherwise impede a transaction in which a third party wishes to purchase NTIC’s outstanding shares at a premium.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November 16, 2007, Inter Alia Holding Company beneficially owned approximately 24.9%of NTIC’s outstanding common stock. Inter Alia is an entity owned by, among others, G. Patrick Lynch, NTIC’s President and Chief Executive Officer and a director, and Philip M. Lynch, NTIC’s former Chairman of the Board and Chief Executive Officer and current Chairman Emeritus</w:t>
      </w:r>
      <w:r>
        <w:rPr>
          <w:rFonts w:ascii="Arial" w:cs="Arial" w:eastAsia="Arial" w:hAnsi="Arial"/>
          <w:sz w:val="12"/>
          <w:szCs w:val="12"/>
          <w:color w:val="auto"/>
        </w:rPr>
        <w:t>.</w:t>
      </w:r>
      <w:r>
        <w:rPr>
          <w:rFonts w:ascii="Arial" w:cs="Arial" w:eastAsia="Arial" w:hAnsi="Arial"/>
          <w:sz w:val="16"/>
          <w:szCs w:val="16"/>
          <w:color w:val="auto"/>
        </w:rPr>
        <w:t xml:space="preserve"> G. Patrick Lynch is the son of Philip M. Lynch.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Messrs. G.P.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this current or any future litigation over its trademark for the color Yellow, NTIC could be in a more difficult position to enforce its rights to this trademark in other countries and against other third parties. NTIC believes that the loss of its trademark for the color Yellow could have an adverse effect on NTIC’s business.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with which compliance may require NTIC to incur expenses or modify its products or operations and may expose NTIC to penalties for non-compliance. Governmental regulation may also adversely affect the demand for some of NTIC’s products and NTIC’s operating results.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intends to grow its business through additional joint ventures, alliances and acquisitions, which could be risky and harm its business.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diversion of management’s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difficulties in assimilating the operations and products of an acquired business or in realizing projected efficiencies, cost savings and revenue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potential loss of key employees or customers of the acquired businesses or adverse effects on existing business relationships with suppliers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adverse impact on overall profitability if acquired businesses do not achieve the financial results projected in NTIC’s valuation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31" w:right="239" w:bottom="134" w:gutter="0" w:footer="0" w:header="0"/>
        </w:sectPr>
      </w:pPr>
    </w:p>
    <w:bookmarkStart w:id="9" w:name="page10"/>
    <w:bookmarkEnd w:id="9"/>
    <w:p>
      <w:pPr>
        <w:jc w:val="both"/>
        <w:ind w:left="540"/>
        <w:spacing w:after="0" w:line="290" w:lineRule="auto"/>
        <w:rPr>
          <w:sz w:val="20"/>
          <w:szCs w:val="20"/>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NTIC’s ability to access additional capital when needed or to pursue other important elements of NTIC’s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jc w:val="both"/>
        <w:ind w:left="540"/>
        <w:spacing w:after="0" w:line="299" w:lineRule="auto"/>
        <w:rPr>
          <w:sz w:val="20"/>
          <w:szCs w:val="20"/>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retain these individuals and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their employment with us.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Products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w:t>
      </w:r>
    </w:p>
    <w:p>
      <w:pPr>
        <w:sectPr>
          <w:pgSz w:w="11900" w:h="16838" w:orient="portrait"/>
          <w:cols w:equalWidth="0" w:num="1">
            <w:col w:w="11420"/>
          </w:cols>
          <w:pgMar w:left="240" w:top="158" w:right="239" w:bottom="0" w:gutter="0" w:footer="0" w:header="0"/>
        </w:sectPr>
      </w:pPr>
    </w:p>
    <w:bookmarkStart w:id="10" w:name="page11"/>
    <w:bookmarkEnd w:id="10"/>
    <w:p>
      <w:pPr>
        <w:spacing w:after="0" w:line="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NTIC faces intense competition in almost all of its product lines, including from competitors that have substantially greater resources than NTIC does. NTIC cannot assure you it will be able to compete effectively, which would harm its business and operating results.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NTIC is currently involved in several litigation matters and an audit matter with the U.S. Internal Revenue Service, which are costly to defend and the resolution of which could have a material adverse effect on NTIC’s operating results and financial position.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is party to several litigation matters and an audit matter with the U.S. Internal Revenue Service as described in more detail under the heading “—Item 3. Legal Proceedings.” Such litigation and audit matter are costly and may adversely affect NTIC’s operating results and financial condition. In addition, the resolution of such matters may also have a material adverse effect on NTIC’s operating results and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and related and other recent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 In addition,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DESCRIPTION OF PROPERTY.</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NTIC’s principal executive offices, production facilities and domestic research and development operations are currently located at 4201 Woodland Road, Circle Pines, Minnesota 55014.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3, 2011, bears interest at a fixed rate of 8.01% and is payable in 59 monthly installments equal to approximately $10,776 (inclusive of principal and interest) commencing June 1, 2006. All of the remaining unpaid principal and accrued interest is due and payable on the maturity date. The loan is secured by a first lien on the real estate and building.</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Prior to September 6, 2006, NTIC’s principal executive offices, production facilities and domestic research and development operations were located at 6680 North Highway 49, Lino Lakes, Minnesota 55014. NTIC sold the real property and building in which NTIC’s former Lino Lakes corporate headquarters was located for a purchase price of $870,000 on September 8, 2006. The net book value of the building held for sale was $95,334 and the closing costs and fees associated with the sale of the property was $48,371. The gain on sale of the property was $726,295 and is reflected in NTIC’s fiscal 2007 financial results.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fiscal 1999, a subsidiary of NTIC,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The property has an approximate value of $2,205,000, based upon the cash-to-mortgage acquisition price of the property paid in fiscal 2000. NTIC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In April 2007, REACT-NTI, LLC (“React LLC”), a company that is 75% owned by NTIC, was served with a summons and complaint that was filed by Shamrock Technologies, Inc.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React LLC acknowledges that React has not made payment for product in the approximate amount of $300,000 to Shamrock as the invoice for this was only received after</w:t>
      </w:r>
    </w:p>
    <w:p>
      <w:pPr>
        <w:sectPr>
          <w:pgSz w:w="11900" w:h="16866" w:orient="portrait"/>
          <w:cols w:equalWidth="0" w:num="1">
            <w:col w:w="11420"/>
          </w:cols>
          <w:pgMar w:left="240" w:top="131" w:right="239" w:bottom="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is presently stayed, and the parties will attempt mediation. If the mediation is unsuccessful, React LLC will both defend against Shamrock's allegations and pursue counterclaims against Shamrock for breach of the license agreement and for tortious interference. Because this matter is in the early stage, NTIC cannot estimate the possible loss or range of loss, if any, associated with its resolution. However, there can be no assurance that the ultimate resolution of the matter will not result in a material adverse effect on NTIC’s business, financial condition or results of operations.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2007, NTIC was named as a defendant in a lawsuit brought by Evelyna Cantwell and Jack Cantwell, individually, and also doing business as the principals of Byrd-Walsh International, LLC, in United States Federal District Court for the Southern District of Florida against NTIC and its former Chairman of the Board and Chief Executive Officer and current Chairman Emeritus, Philip M. Lynch. The lawsuit alleges causes of action for breach of contract, breach of implied contract, quasi contract, promissory estoppel, equitable estoppel, negligence, wrongful conversion, fraud, constructive fraud, misappropriation and violation of the Uniform Trade Secrets Act. The suit seeks unspecified injunctive relief as well as compensatory and punitive damages in an unspecified amount which, based on the allegations of the complaint, may be claimed by plaintiffs to be in an amount in excess of $45 million. Based on the allegations in the complaint and NTIC’s understanding of relevant facts and circumstances, NTIC believes that the claims made by the Cantwells and Byrd-Walsh in this lawsuit are without merit and NTIC intends to vigorously defend against them. Because this matter is in the early stage, NTIC cannot estimate the possible loss or range of loss, if any, associated with its resolution. The amounts claimed in this lawsuit are substantial, however, and, there can be no assurance that the ultimate resolution of the matter will not result in a material adverse effect on NTIC’s business, financial condition or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NTIC is involved in a legal action in Finland whereby NTIC sued a Finnish company for trademark infringement. NTIC won the initial case, but has subsequently lost on appeal. NTIC is currently appealing the latest court decision. The outcome of the appeal is unknown and any potential loss cannot be estimated at this time; however, the potential judgment or settlement resulting from the case could have a material impact on the financial position or results of operations of NTIC. NTIC has obtained a $600,000 stand-by letter of credit to potentially fund NTIC’s obligations related to the courts in Finland against the defendant’s products that were seized as contraband pending the outcome of the lawsuit.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 Because NTIC believes that it has valid legal grounds for appeal, it has determined that a loss is not probable at this time as defined by SFAS 5, “Accounting for Contingencies.” However, there can be no assurance that the ultimate resolution of the matter will not result in a material adverse effect on NTIC’s business, financial condition or results of operations.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2007, the U.S. Internal Revenue Service concluded its audit of NTIC’s U.S. federal income tax returns for fiscal 2004 and 2005. As a result of such audit, NTIC paid the IRS approximately $25,000 in additional payroll taxes. NTIC also agreed in principle with the IRS to adjustments that will result in the additional payment of approximately $60,000 in income tax and interest. As a result of the audit, the IRS has also taken the position that NTIC failed to withhold approximately $505,000 of payroll taxes and individual income taxes on travel and other expense reimbursements made to Philip M. Lynch, NTIC’s former Chairman of the Board and Chief Executive Officer and current Chairman Emeritus, and commissions payments made to Inter Alia Holding Co. under that certain former Manufacturer’s Representative Agreement dated as of October 1, 1976 and as subsequently amended thereafter between NTIC and Inter Alia, which agreement has since been terminated. Inter Alia beneficially owns approximately 24.9% of NTIC’s outstanding common stock, and Philip M. Lynch, NTIC’s former Chairman of the Board and Chief Executive Officer and current Chairman Emeritus, and G. Patrick Lynch, NTIC’s current President and Chief Executive Officer, are shareholders of Inter Alia. NTIC disagrees with the IRS’ position on withholding and is in the process of appealing the matter. Because NTIC believes that it has valid legal grounds for appeal, it has determined that a loss is not probable at this time as defined by SFAS 5, “Accounting for Contingencies.” However, there can be no assurance that the ultimate resolution of the matter will not result in a material adverse effect on NTIC’s business, financial condition or results of operations.</w:t>
      </w:r>
    </w:p>
    <w:p>
      <w:pPr>
        <w:spacing w:after="0" w:line="17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NTIC is involved in various other legal actions arising in the normal course of business. Management is of the opinion that any judgment or settlement resulting from these pending or threatened actions would not have a material adverse effect on NTIC’s financial position or consolidated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matter was submitted to a vote of NTIC’s security holders during the fourth quarter of the fiscal year covered by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 OF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NTIC, their ages and the offices held, as of November 16, 2007, are as follows:</w:t>
      </w: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30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Age</w:t>
            </w:r>
          </w:p>
        </w:tc>
        <w:tc>
          <w:tcPr>
            <w:tcW w:w="260" w:type="dxa"/>
            <w:vAlign w:val="bottom"/>
          </w:tcPr>
          <w:p>
            <w:pPr>
              <w:spacing w:after="0"/>
              <w:rPr>
                <w:sz w:val="19"/>
                <w:szCs w:val="19"/>
                <w:color w:val="auto"/>
              </w:rPr>
            </w:pPr>
          </w:p>
        </w:tc>
        <w:tc>
          <w:tcPr>
            <w:tcW w:w="642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Position with NTIC</w:t>
            </w:r>
          </w:p>
        </w:tc>
      </w:tr>
      <w:tr>
        <w:trPr>
          <w:trHeight w:val="238"/>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G. Patrick Lynch</w:t>
            </w:r>
          </w:p>
        </w:tc>
        <w:tc>
          <w:tcPr>
            <w:tcW w:w="260" w:type="dxa"/>
            <w:vAlign w:val="bottom"/>
            <w:shd w:val="clear" w:color="auto" w:fill="C0C0C0"/>
          </w:tcPr>
          <w:p>
            <w:pPr>
              <w:spacing w:after="0"/>
              <w:rPr>
                <w:sz w:val="20"/>
                <w:szCs w:val="20"/>
                <w:color w:val="auto"/>
              </w:rPr>
            </w:pPr>
          </w:p>
        </w:tc>
        <w:tc>
          <w:tcPr>
            <w:tcW w:w="112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0C0C0"/>
          </w:tcPr>
          <w:p>
            <w:pPr>
              <w:spacing w:after="0"/>
              <w:rPr>
                <w:sz w:val="20"/>
                <w:szCs w:val="20"/>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20" w:type="dxa"/>
            <w:vAlign w:val="bottom"/>
          </w:tcPr>
          <w:p>
            <w:pPr>
              <w:spacing w:after="0"/>
              <w:rPr>
                <w:sz w:val="21"/>
                <w:szCs w:val="21"/>
                <w:color w:val="auto"/>
              </w:rPr>
            </w:pPr>
          </w:p>
        </w:tc>
      </w:tr>
      <w:tr>
        <w:trPr>
          <w:trHeight w:val="243"/>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Dr. Donald A. Kubik</w:t>
            </w:r>
          </w:p>
        </w:tc>
        <w:tc>
          <w:tcPr>
            <w:tcW w:w="26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0C0C0"/>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Vice Chairman of the Board and Chief Technology Officer</w:t>
            </w:r>
          </w:p>
        </w:tc>
      </w:tr>
      <w:tr>
        <w:trPr>
          <w:trHeight w:val="243"/>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20" w:type="dxa"/>
            <w:vAlign w:val="bottom"/>
          </w:tcPr>
          <w:p>
            <w:pPr>
              <w:spacing w:after="0"/>
              <w:rPr>
                <w:sz w:val="21"/>
                <w:szCs w:val="21"/>
                <w:color w:val="auto"/>
              </w:rPr>
            </w:pPr>
          </w:p>
        </w:tc>
      </w:tr>
      <w:tr>
        <w:trPr>
          <w:trHeight w:val="243"/>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Matthew C. Wolsfeld</w:t>
            </w:r>
          </w:p>
        </w:tc>
        <w:tc>
          <w:tcPr>
            <w:tcW w:w="26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0C0C0"/>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430"/>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80" w:type="dxa"/>
            <w:vAlign w:val="bottom"/>
            <w:gridSpan w:val="2"/>
          </w:tcPr>
          <w:p>
            <w:pPr>
              <w:jc w:val="right"/>
              <w:ind w:right="5532"/>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financial and management consulting firm that is a significant stockholder of NTIC. Prior to joining NTIC, Mr. Lynch held positions in sales management for Fuji Electric Co., Ltd. in Tokyo, Japan and programming project management for BMW AG in Munich, Germany. Mr. Lynch received an M.B.A. degree from the University of Michigan Business School in Ann Arbor, Michigan. Mr. Lynch is the son of Philip M. Lynch, a former Chairman of the Board and current Chairman Emeritus.</w:t>
      </w:r>
    </w:p>
    <w:p>
      <w:pPr>
        <w:sectPr>
          <w:pgSz w:w="11900" w:h="16838" w:orient="portrait"/>
          <w:cols w:equalWidth="0" w:num="1">
            <w:col w:w="11420"/>
          </w:cols>
          <w:pgMar w:left="240" w:top="131" w:right="239" w:bottom="0" w:gutter="0" w:footer="0" w:header="0"/>
        </w:sectPr>
      </w:pPr>
    </w:p>
    <w:bookmarkStart w:id="12" w:name="page13"/>
    <w:bookmarkEnd w:id="12"/>
    <w:p>
      <w:pPr>
        <w:jc w:val="both"/>
        <w:spacing w:after="0" w:line="298" w:lineRule="auto"/>
        <w:rPr>
          <w:sz w:val="20"/>
          <w:szCs w:val="20"/>
          <w:color w:val="auto"/>
        </w:rPr>
      </w:pPr>
      <w:r>
        <w:rPr>
          <w:rFonts w:ascii="Arial" w:cs="Arial" w:eastAsia="Arial" w:hAnsi="Arial"/>
          <w:sz w:val="16"/>
          <w:szCs w:val="16"/>
          <w:color w:val="auto"/>
        </w:rPr>
        <w:t>Dr. Donald A. Kubik has been employed by NTIC since 1978, was appointed Vice Chairman of the Board in September 1999 and Chief Technology Officer in May 2000. Dr. Kubik served as Vice President of NTIC from 1979 to September 1999 and as Co-Chief Executive Officer of NTIC from September 1999 to May 2000. Dr. Kubik is responsible for developing the patent that led to NTIC’s introduction of protective plastic film and paper products incorporating volatile corrosion inhibitors. Prior to joining NTIC, Dr. Kubik held a research and development position with Minnesota Mining &amp; Manufacturing Company (3M).</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Officers of NTIC, their ages and the offices held, as of November 16, 2007, are as follows:</w:t>
      </w: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30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Age</w:t>
            </w:r>
          </w:p>
        </w:tc>
        <w:tc>
          <w:tcPr>
            <w:tcW w:w="260" w:type="dxa"/>
            <w:vAlign w:val="bottom"/>
          </w:tcPr>
          <w:p>
            <w:pPr>
              <w:spacing w:after="0"/>
              <w:rPr>
                <w:sz w:val="19"/>
                <w:szCs w:val="19"/>
                <w:color w:val="auto"/>
              </w:rPr>
            </w:pPr>
          </w:p>
        </w:tc>
        <w:tc>
          <w:tcPr>
            <w:tcW w:w="642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Position with NTIC</w:t>
            </w:r>
          </w:p>
        </w:tc>
      </w:tr>
      <w:tr>
        <w:trPr>
          <w:trHeight w:val="238"/>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Prof. Efim Ya. Lyublinski</w:t>
            </w:r>
          </w:p>
        </w:tc>
        <w:tc>
          <w:tcPr>
            <w:tcW w:w="260" w:type="dxa"/>
            <w:vAlign w:val="bottom"/>
            <w:shd w:val="clear" w:color="auto" w:fill="C0C0C0"/>
          </w:tcPr>
          <w:p>
            <w:pPr>
              <w:spacing w:after="0"/>
              <w:rPr>
                <w:sz w:val="20"/>
                <w:szCs w:val="20"/>
                <w:color w:val="auto"/>
              </w:rPr>
            </w:pPr>
          </w:p>
        </w:tc>
        <w:tc>
          <w:tcPr>
            <w:tcW w:w="112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0C0C0"/>
          </w:tcPr>
          <w:p>
            <w:pPr>
              <w:spacing w:after="0"/>
              <w:rPr>
                <w:sz w:val="20"/>
                <w:szCs w:val="20"/>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Vice President and Director of New Technologies and Applications Engineering</w:t>
            </w:r>
          </w:p>
        </w:tc>
      </w:tr>
      <w:tr>
        <w:trPr>
          <w:trHeight w:val="243"/>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20" w:type="dxa"/>
            <w:vAlign w:val="bottom"/>
          </w:tcPr>
          <w:p>
            <w:pPr>
              <w:spacing w:after="0"/>
              <w:rPr>
                <w:sz w:val="21"/>
                <w:szCs w:val="21"/>
                <w:color w:val="auto"/>
              </w:rPr>
            </w:pPr>
          </w:p>
        </w:tc>
      </w:tr>
      <w:tr>
        <w:trPr>
          <w:trHeight w:val="243"/>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Vineet R. Dalal</w:t>
            </w:r>
          </w:p>
        </w:tc>
        <w:tc>
          <w:tcPr>
            <w:tcW w:w="26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0C0C0"/>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Vice President and Director Global Market Development</w:t>
            </w:r>
          </w:p>
        </w:tc>
      </w:tr>
      <w:tr>
        <w:trPr>
          <w:trHeight w:val="243"/>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20" w:type="dxa"/>
            <w:vAlign w:val="bottom"/>
          </w:tcPr>
          <w:p>
            <w:pPr>
              <w:spacing w:after="0"/>
              <w:rPr>
                <w:sz w:val="21"/>
                <w:szCs w:val="21"/>
                <w:color w:val="auto"/>
              </w:rPr>
            </w:pPr>
          </w:p>
        </w:tc>
      </w:tr>
      <w:tr>
        <w:trPr>
          <w:trHeight w:val="243"/>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Gautam Ramdas</w:t>
            </w:r>
          </w:p>
        </w:tc>
        <w:tc>
          <w:tcPr>
            <w:tcW w:w="26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392"/>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0C0C0"/>
          </w:tcPr>
          <w:p>
            <w:pPr>
              <w:spacing w:after="0"/>
              <w:rPr>
                <w:sz w:val="21"/>
                <w:szCs w:val="21"/>
                <w:color w:val="auto"/>
              </w:rPr>
            </w:pPr>
          </w:p>
        </w:tc>
        <w:tc>
          <w:tcPr>
            <w:tcW w:w="6420" w:type="dxa"/>
            <w:vAlign w:val="bottom"/>
            <w:shd w:val="clear" w:color="auto" w:fill="C0C0C0"/>
          </w:tcPr>
          <w:p>
            <w:pPr>
              <w:spacing w:after="0"/>
              <w:rPr>
                <w:sz w:val="20"/>
                <w:szCs w:val="20"/>
                <w:color w:val="auto"/>
              </w:rPr>
            </w:pPr>
            <w:r>
              <w:rPr>
                <w:rFonts w:ascii="Arial" w:cs="Arial" w:eastAsia="Arial" w:hAnsi="Arial"/>
                <w:sz w:val="18"/>
                <w:szCs w:val="18"/>
                <w:color w:val="auto"/>
              </w:rPr>
              <w:t>Vice President and Director Global Market Development</w:t>
            </w:r>
          </w:p>
        </w:tc>
      </w:tr>
    </w:tbl>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(“Prometey”), St. Petersburg, Russia. Prof. Lyublinski also held a Senior Consulting Position with Osmos Technology, Boston, Massachusetts from 1995 to 1999. Prof. Lyublinski holds 18 patents, is responsible for 64 inventions and has authored 14 books, 148 articles and lectured at more than 100 symposiums, conferences and congresses in the areas of materials science and corrosion. Prof. Lyublinski received the following awards: in 1997, gold medal of the International Exhibition of Patents in Brussels (Belgium). From 1975 to 1986 – three gold, three silver and one bronze medal from the Exhibitions of the Achievements of Russian National Economy.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Vineet R. Dalal, an employee of NTIC since 2004, Vice President and Director – Global Market Development since November 2005. Prior to joining NTIC, Mr. Dalal was a Principal in the Worldwide Product Development Practice of PRTM, a management consultancy to technology based companies.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Business School in Ann Arbor, Michigan. He also holds an M.S. degree in Electrical and Computer Engineering from Oregon State University, and a B.Eng. degree in Electronics Engineering from Karnatak University, India.</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Gautam Ramdas, an employee of NTIC since 2005, is Vice President and Director – Global Market Development.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Business School in Ann Arbor, Michigan. He also holds a bachelor’s degree in Mechanical Engineering from the College of Engineering, Guindy (Chennai), India.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20" w:right="20" w:hanging="620"/>
        <w:spacing w:after="0" w:line="275" w:lineRule="auto"/>
        <w:rPr>
          <w:sz w:val="20"/>
          <w:szCs w:val="20"/>
          <w:color w:val="auto"/>
        </w:rPr>
      </w:pPr>
      <w:r>
        <w:rPr>
          <w:rFonts w:ascii="Arial" w:cs="Arial" w:eastAsia="Arial" w:hAnsi="Arial"/>
          <w:sz w:val="18"/>
          <w:szCs w:val="18"/>
          <w:b w:val="1"/>
          <w:bCs w:val="1"/>
          <w:color w:val="auto"/>
        </w:rPr>
        <w:t>Item 5. MARKET FOR COMMON EQUITY AND RELATED STOCKHOLDER MATTERS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NTIC’s common stock trades on The American Stock Exchange under the symbol NTI. The following table sets forth the high and low sales prices for NTIC’s common stock, as reported by The American Stock Exchange, for the fiscal quarters indicated:</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Low</w:t>
            </w:r>
          </w:p>
        </w:tc>
      </w:tr>
      <w:tr>
        <w:trPr>
          <w:trHeight w:val="238"/>
        </w:trPr>
        <w:tc>
          <w:tcPr>
            <w:tcW w:w="20" w:type="dxa"/>
            <w:vAlign w:val="bottom"/>
          </w:tcPr>
          <w:p>
            <w:pPr>
              <w:spacing w:after="0"/>
              <w:rPr>
                <w:sz w:val="20"/>
                <w:szCs w:val="20"/>
                <w:color w:val="auto"/>
              </w:rPr>
            </w:pPr>
          </w:p>
        </w:tc>
        <w:tc>
          <w:tcPr>
            <w:tcW w:w="69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Fiscal 2007:</w:t>
            </w:r>
          </w:p>
        </w:tc>
        <w:tc>
          <w:tcPr>
            <w:tcW w:w="10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000" w:type="dxa"/>
            <w:vAlign w:val="bottom"/>
          </w:tcPr>
          <w:p>
            <w:pPr>
              <w:jc w:val="right"/>
              <w:spacing w:after="0"/>
              <w:rPr>
                <w:sz w:val="20"/>
                <w:szCs w:val="20"/>
                <w:color w:val="auto"/>
              </w:rPr>
            </w:pPr>
            <w:r>
              <w:rPr>
                <w:rFonts w:ascii="Arial" w:cs="Arial" w:eastAsia="Arial" w:hAnsi="Arial"/>
                <w:sz w:val="18"/>
                <w:szCs w:val="18"/>
                <w:color w:val="auto"/>
              </w:rPr>
              <w:t>$10.15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$8.01</w:t>
            </w:r>
          </w:p>
        </w:tc>
      </w:tr>
      <w:tr>
        <w:trPr>
          <w:trHeight w:val="244"/>
        </w:trPr>
        <w:tc>
          <w:tcPr>
            <w:tcW w:w="20" w:type="dxa"/>
            <w:vAlign w:val="bottom"/>
          </w:tcPr>
          <w:p>
            <w:pPr>
              <w:spacing w:after="0"/>
              <w:rPr>
                <w:sz w:val="21"/>
                <w:szCs w:val="21"/>
                <w:color w:val="auto"/>
              </w:rPr>
            </w:pPr>
          </w:p>
        </w:tc>
        <w:tc>
          <w:tcPr>
            <w:tcW w:w="69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Third quarter</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9.00</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7.30</w:t>
            </w: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7.45</w:t>
            </w:r>
          </w:p>
        </w:tc>
      </w:tr>
      <w:tr>
        <w:trPr>
          <w:trHeight w:val="244"/>
        </w:trPr>
        <w:tc>
          <w:tcPr>
            <w:tcW w:w="20" w:type="dxa"/>
            <w:vAlign w:val="bottom"/>
          </w:tcPr>
          <w:p>
            <w:pPr>
              <w:spacing w:after="0"/>
              <w:rPr>
                <w:sz w:val="21"/>
                <w:szCs w:val="21"/>
                <w:color w:val="auto"/>
              </w:rPr>
            </w:pPr>
          </w:p>
        </w:tc>
        <w:tc>
          <w:tcPr>
            <w:tcW w:w="69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First quarter</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10.49</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7.44</w:t>
            </w:r>
          </w:p>
        </w:tc>
      </w:tr>
      <w:tr>
        <w:trPr>
          <w:trHeight w:val="243"/>
        </w:trPr>
        <w:tc>
          <w:tcPr>
            <w:tcW w:w="698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Fiscal 2006:</w:t>
            </w:r>
          </w:p>
        </w:tc>
        <w:tc>
          <w:tcPr>
            <w:tcW w:w="10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000" w:type="dxa"/>
            <w:vAlign w:val="bottom"/>
          </w:tcPr>
          <w:p>
            <w:pPr>
              <w:jc w:val="right"/>
              <w:spacing w:after="0"/>
              <w:rPr>
                <w:sz w:val="20"/>
                <w:szCs w:val="20"/>
                <w:color w:val="auto"/>
              </w:rPr>
            </w:pPr>
            <w:r>
              <w:rPr>
                <w:rFonts w:ascii="Arial" w:cs="Arial" w:eastAsia="Arial" w:hAnsi="Arial"/>
                <w:sz w:val="18"/>
                <w:szCs w:val="18"/>
                <w:color w:val="auto"/>
              </w:rPr>
              <w:t>$8.70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$6.70</w:t>
            </w:r>
          </w:p>
        </w:tc>
      </w:tr>
      <w:tr>
        <w:trPr>
          <w:trHeight w:val="244"/>
        </w:trPr>
        <w:tc>
          <w:tcPr>
            <w:tcW w:w="20" w:type="dxa"/>
            <w:vAlign w:val="bottom"/>
          </w:tcPr>
          <w:p>
            <w:pPr>
              <w:spacing w:after="0"/>
              <w:rPr>
                <w:sz w:val="21"/>
                <w:szCs w:val="21"/>
                <w:color w:val="auto"/>
              </w:rPr>
            </w:pPr>
          </w:p>
        </w:tc>
        <w:tc>
          <w:tcPr>
            <w:tcW w:w="69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Third quarter</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8.32</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5.98</w:t>
            </w:r>
          </w:p>
        </w:tc>
      </w:tr>
      <w:tr>
        <w:trPr>
          <w:trHeight w:val="242"/>
        </w:trPr>
        <w:tc>
          <w:tcPr>
            <w:tcW w:w="20" w:type="dxa"/>
            <w:vAlign w:val="bottom"/>
          </w:tcPr>
          <w:p>
            <w:pPr>
              <w:spacing w:after="0"/>
              <w:rPr>
                <w:sz w:val="21"/>
                <w:szCs w:val="21"/>
                <w:color w:val="auto"/>
              </w:rPr>
            </w:pPr>
          </w:p>
        </w:tc>
        <w:tc>
          <w:tcPr>
            <w:tcW w:w="69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000" w:type="dxa"/>
            <w:vAlign w:val="bottom"/>
          </w:tcPr>
          <w:p>
            <w:pPr>
              <w:jc w:val="right"/>
              <w:spacing w:after="0"/>
              <w:rPr>
                <w:sz w:val="20"/>
                <w:szCs w:val="20"/>
                <w:color w:val="auto"/>
              </w:rPr>
            </w:pPr>
            <w:r>
              <w:rPr>
                <w:rFonts w:ascii="Arial" w:cs="Arial" w:eastAsia="Arial" w:hAnsi="Arial"/>
                <w:sz w:val="18"/>
                <w:szCs w:val="18"/>
                <w:color w:val="auto"/>
              </w:rPr>
              <w:t>8.41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5.89</w:t>
            </w:r>
          </w:p>
        </w:tc>
      </w:tr>
      <w:tr>
        <w:trPr>
          <w:trHeight w:val="244"/>
        </w:trPr>
        <w:tc>
          <w:tcPr>
            <w:tcW w:w="20" w:type="dxa"/>
            <w:vAlign w:val="bottom"/>
          </w:tcPr>
          <w:p>
            <w:pPr>
              <w:spacing w:after="0"/>
              <w:rPr>
                <w:sz w:val="21"/>
                <w:szCs w:val="21"/>
                <w:color w:val="auto"/>
              </w:rPr>
            </w:pPr>
          </w:p>
        </w:tc>
        <w:tc>
          <w:tcPr>
            <w:tcW w:w="69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First quarter</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6.34</w:t>
            </w:r>
          </w:p>
        </w:tc>
        <w:tc>
          <w:tcPr>
            <w:tcW w:w="11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4.85</w:t>
            </w:r>
          </w:p>
        </w:tc>
      </w:tr>
    </w:tbl>
    <w:p>
      <w:pPr>
        <w:sectPr>
          <w:pgSz w:w="11900" w:h="16838" w:orient="portrait"/>
          <w:cols w:equalWidth="0" w:num="1">
            <w:col w:w="11420"/>
          </w:cols>
          <w:pgMar w:left="240" w:top="131" w:right="239" w:bottom="22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NTIC’s Board of Directors declared a cash dividend to NTIC’s stockholders of record as of December 3, 2004 in the amount of $0.07 per share, NTIC’s Board of Directors has not since declared or paid a cash dividend on NTIC’s common stock. NTIC’s Board of Directors will continue to consider the payment of dividends annually, based on NTIC’s net income and operating cash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August 31, 2007, there were approximately 285 record holders of NTIC’s common stock. This does not include shares held in “street name” or beneficially owned.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the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NTIC did not purchase any shares of its common stock or any other equity securities of NTIC during the fourth quarter of the fiscal year covered by this report.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MANAGEMENT’S DISCUSSION AND ANALYSIS OR PLAN OF OPERATION.</w:t>
      </w:r>
    </w:p>
    <w:p>
      <w:pPr>
        <w:spacing w:after="0" w:line="23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headings “Forward-Looking Statements” and “Risk Factors” of Part I, Item 1 entitled “Business” of this report. The following discussion of the results of the operations and financial condition of NTIC should be read in conjunction with NTIC’s consolidated financial statements and the related notes thereto included under Part II, Item 7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NTIC focuses on developing, marketing and selling proprietary environmentally responsible materials science based products and technical services directly and via a network of independent distributors, manufacturers’ representatives and joint ventures in over 50 countries. NTIC manufactures, markets and sells primarily rust and corrosion inhibiting products and services for automotive, electronics, electrical, mechanical and military applications, sold under the brand names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EXCOR</w:t>
      </w:r>
      <w:r>
        <w:rPr>
          <w:rFonts w:ascii="Arial" w:cs="Arial" w:eastAsia="Arial" w:hAnsi="Arial"/>
          <w:sz w:val="26"/>
          <w:szCs w:val="26"/>
          <w:color w:val="auto"/>
          <w:vertAlign w:val="superscript"/>
        </w:rPr>
        <w:t>®</w:t>
      </w:r>
      <w:r>
        <w:rPr>
          <w:rFonts w:ascii="Arial" w:cs="Arial" w:eastAsia="Arial" w:hAnsi="Arial"/>
          <w:sz w:val="16"/>
          <w:szCs w:val="16"/>
          <w:color w:val="auto"/>
        </w:rPr>
        <w:t>. NTIC also offers direct, worldwide on-site technical support on rust and corrosion issues. In North America, NTIC markets its technical</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services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technical requirements. In fiscal 2007, over 70% of NTIC’s consolidated net sales were derived from the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rust and corrosion inhibiting packaging products and services to the automotive, electronics, electrical, mechanical, military and retail consumer markets.</w:t>
      </w:r>
    </w:p>
    <w:p>
      <w:pPr>
        <w:spacing w:after="0" w:line="21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NTIC participates, either directly or indirectly through holding companies, in 29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NTIC’s international rust and corrosion inhibiting product business has expanded significantly during the past several fiscal years. NTIC has entered into five new corporate joint venture arrangements during the past two fiscal years and total net sales of all of NTIC’s joint ventures increased 26.0% to $80,551,700 during fiscal 2007 as compared to $63,959,090 during fiscal 2006 and increased 11.9% during fiscal 2006 compared to fiscal 2005. The profits of NTIC’s corporate joint ventures are shared, however, by the respective corporate joint venture owners in accordance with their respective ownership percentages. In addition, NTIC’s receipt of funds as a result of sales by its joint ventures are dependent upon NTIC’s receipt of dividend distributions from the joint ventures and NTIC’s receipt of fees for technical and other support services that NTIC provides to its joint ventures based on the revenues of the joint ventures. NTIC typically owns only 50% or less of its joint venture entities and thus does not control the decisions of these entities regarding whether to pay dividends and how much in dividends in any given year. NTIC had equity in income of corporate joint ventures and holding companies of $3,201,621 in fiscal 2007 compared to $2,713,096 in fiscal 2006. NTIC recognized fee income for such technical and support services of $4,976,194 in fiscal 2007 compared to $4,695,124 in fiscal 2006.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$4,876,928 in direct joint venture expenses in fiscal 2007 as compared to $5,481,757 in fiscal 2006. NTIC’s income from its corporate joint ventures and holding companies increased 71.3% to $3,300,887 in fiscal 2007 as compared to fiscal 2006.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While NTIC’s rust and corrosion inhibiting product business has expanded significantly internationally during the past several fiscal years, sales of NTIC’s rust and corrosion inhibiting products in North America have decreased or remained relatively flat during the past several fiscal years. Net sales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decreased 0.5% to $12,044,241 during fiscal 2007 as compared to $12,099,187 during fiscal 2006 and increased 12.5% during fiscal 2006 compared to fiscal 2005. One of the main markets for NTIC’s rust and corrosion inhibiting products has typically been the automotive industry. While the automotive industry has been growing worldwide, it has been stagnant or contracting in the United States and is not expected to improve in the foreseeable future.</w:t>
      </w:r>
    </w:p>
    <w:p>
      <w:pPr>
        <w:spacing w:after="0" w:line="19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an effort to increase net sales, NTIC is in the process of expanding the application of its corrosion inhibiting technology into the oil and gas industry and its product line to include biodegradable and compostable plastics and machinery that converts waste plastics back into diesel, gasoline and mid-distillates. During fiscal 2008, NTIC expects to invest between $2,800,000 and $3,200,000 in additional research and development and marketing efforts and resources into these new emerging businesses, product lines and markets. NTIC anticipates additional revenue from these new technologies beginning in fiscal year ending August 31, 2008; however, no assurance can be provided that such new businesses will be successful or that NTIC will be successful in obtaining such additional revenue.</w:t>
      </w:r>
    </w:p>
    <w:p>
      <w:pPr>
        <w:sectPr>
          <w:pgSz w:w="11900" w:h="16838" w:orient="portrait"/>
          <w:cols w:equalWidth="0" w:num="1">
            <w:col w:w="11420"/>
          </w:cols>
          <w:pgMar w:left="240" w:top="125" w:right="239" w:bottom="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NTIC’s consolidated financial statements include the accounts of Northern Technologies International Corporation, its wholly owned subsidiaries, NTI Facilities, Inc. and Northern Technologies Holding Company, LLC, and its 75% owned subsidiary React-NTI LLC.</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React-NTI LLC is an industrial chemical corporate joint venture of NTIC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NTIC’s existing industrial customer base, as well as the personal care and cosmetics industry. As of February 28, 2005, NTIC began fully consolidating this 75% owned subsidiary, which was previously accounted for using the equity method. React-NTI had consolidated sales of $4,784,789 and $4,505,777 in fiscal 2007 and fiscal 2006, respectively.</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React Inc., a 100% owned subsidiary of React-NTI, had sales of $4,716,620 during fiscal 2007 and $4,454,940 during fiscal 2006 (the vast majority of the sales of React-NTI noted above). React Inc. sold proprietary ink additives to one customer during fiscal 2007 and fiscal 2006. During fourth quarter of fiscal 2007, this customer notified React Inc. that it would place future orders for React’s remaining inventory of ink additives, but that after such inventory was purchased, the customer would not place any future orders with React Inc. Sales by React Inc. to this customer during fiscal 2007 and fiscal 2006 were pursuant to standard purchase orders and not pursuant to any agreement between React Inc. and this customer containing minimum purchase requirements or similar provisions obligating the customer to purchase future products from React Inc. NTIC anticipates that total sales for React Inc. will be approximately $250,000 during fiscal 2008 and that the loss of React’s sole customer will have a material adverse impact on NTIC’s consolidated net sales. However, since the profit on React’s sales of the ink additives to this customer was extremely small, NTIC does not expect that the anticipated decrease in net sales by React will have a material adverse effect on NTIC’s consolidated net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NTIC conducts all foreign transactions based on the U.S. dollar, except for its investments in various foreign corporate joint ventures and holding companies. The exchange rate differential relating to investments in foreign corporate joint ventures and holding companies is accounted for under the requirements of SFAS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NTIC’s consolidated net sales slightly increased 1.3% during fiscal 2007 as compared to fiscal 2006 primarily as a result of an increase in demand of React-NTI products to existing customers partially offset by a decrease in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Net sales of React-NTI products increased $279,012 to $4,784,789</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during fiscal 2007 as compared to fiscal 2006. Net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decreased $54,946 to $12,044,241. As discussed in more detail above under the heading “—Recent Development,” NTIC anticipates that its net sales will significantly decrease in fiscal 2008 compared to fiscal 2007 as a result of the loss of a principal customer of a subsidiary of NTIC’s React-NTI joint venture.</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sales as a percentage of net sales increased to 64.2% in fiscal 2007 as compared to 62.3% for fiscal 2006 primarily as a result of an increase in raw material prices, including in particular plastic resins.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spent $2,575,325 in fiscal 2007 and $2,043,611 in fiscal 2006 in connection with its research and development activities. NTIC anticipates that it will spend between $2,800,000 and $3,200,000 in fiscal 2008 on research and development activities related to its new technologies. These fees are accounted for in the “Expenses incurred in support of corporate joint ventures” section of NTIC’s consolidated statements of income.</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net sales of all of NTIC’s joint ventures increased 26.0% to $80,551,700 during fiscal 2007 as compared to $63,959,090 during fiscal 2006. NTIC’s equity in income of corporate joint ventures and holding companies increased 18.0% to $3,201,621 in fiscal 2007 as compared to $2,713,096 in fiscal 2006. NTIC also recognized increased fee income for such technical and support services in fiscal 2007 as compared to fiscal 2006 as a result of the increase in total net sales of the joint ventures. NTIC incurred decreased direct expenses related to its corporate joint ventures and holding companies in fiscal 2007 as compared to fiscal 2006. NTIC’s income from its corporate joint ventures and holding companies increased 71.3% to $3,300,887 in fiscal 2007 as compared to $1,926,463 in fiscal 2006.</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NTIC’s working capital was $3,788,777 at August 31, 2007, including $244,499 in cash and cash equivalents. Additionally, as of August 31, 2007, NTIC did not have any borrowings under its $1,500,000 revolving credit facility. Subsequent to August 31, 2007, NTIC borrowed funds under the revolving credit facility bringing the outstanding balance as of November 16, 2007 to $484,000. The revolving credit facility expires on January 31, 2008. NTIC intends to renew or replace this facility on or prior to the January 31, 2008 maturity date.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 elected not to pay a cash dividend to its stockholders in fiscal 2007 or thus far in fiscal 2008 in order to preserve cash and make investments in future operations. NTIC expects to meet its future liquidity requirements during at least the next twelve months by using its existing cash and cash equivalents, forecasted cash flows from future operations, distributions of earnings and technical assistance fees to NTIC from its joint venture investments and funds available through existing or anticipated financing arrangements.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2007 Compared to Fiscal Year 2006</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 sets forth NTIC’s consolidated results of operations for fiscal 2007 and fiscal 2006. These results of operations exclude the impact of NTIC’s activities with its joint ventures, other than React-NTIC LLC. As explained in more detail in note 2 to NTIC’s consolidated financial statements, the results of React-NTIC LLC are included in NTIC’s consolidated results of operations and thus included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b w:val="1"/>
                <w:bCs w:val="1"/>
                <w:color w:val="auto"/>
              </w:rPr>
              <w:t>Fiscal</w:t>
            </w:r>
          </w:p>
        </w:tc>
        <w:tc>
          <w:tcPr>
            <w:tcW w:w="280" w:type="dxa"/>
            <w:vAlign w:val="bottom"/>
          </w:tcPr>
          <w:p>
            <w:pPr>
              <w:spacing w:after="0"/>
              <w:rPr>
                <w:sz w:val="19"/>
                <w:szCs w:val="19"/>
                <w:color w:val="auto"/>
              </w:rPr>
            </w:pPr>
          </w:p>
        </w:tc>
        <w:tc>
          <w:tcPr>
            <w:tcW w:w="1140" w:type="dxa"/>
            <w:vAlign w:val="bottom"/>
          </w:tcPr>
          <w:p>
            <w:pPr>
              <w:ind w:left="360"/>
              <w:spacing w:after="0"/>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9"/>
                <w:szCs w:val="19"/>
                <w:color w:val="auto"/>
              </w:rPr>
            </w:pPr>
          </w:p>
        </w:tc>
        <w:tc>
          <w:tcPr>
            <w:tcW w:w="1220" w:type="dxa"/>
            <w:vAlign w:val="bottom"/>
          </w:tcPr>
          <w:p>
            <w:pPr>
              <w:jc w:val="right"/>
              <w:ind w:right="332"/>
              <w:spacing w:after="0"/>
              <w:rPr>
                <w:sz w:val="20"/>
                <w:szCs w:val="20"/>
                <w:color w:val="auto"/>
              </w:rPr>
            </w:pPr>
            <w:r>
              <w:rPr>
                <w:rFonts w:ascii="Arial" w:cs="Arial" w:eastAsia="Arial" w:hAnsi="Arial"/>
                <w:sz w:val="18"/>
                <w:szCs w:val="18"/>
                <w:b w:val="1"/>
                <w:bCs w:val="1"/>
                <w:color w:val="auto"/>
              </w:rPr>
              <w:t>Fiscal</w:t>
            </w:r>
          </w:p>
        </w:tc>
        <w:tc>
          <w:tcPr>
            <w:tcW w:w="2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4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w:t>
            </w:r>
          </w:p>
        </w:tc>
      </w:tr>
      <w:tr>
        <w:trPr>
          <w:trHeight w:val="244"/>
        </w:trPr>
        <w:tc>
          <w:tcPr>
            <w:tcW w:w="3040" w:type="dxa"/>
            <w:vAlign w:val="bottom"/>
          </w:tcPr>
          <w:p>
            <w:pPr>
              <w:spacing w:after="0"/>
              <w:rPr>
                <w:sz w:val="21"/>
                <w:szCs w:val="21"/>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Net Sales</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3"/>
              </w:rPr>
              <w:t>Net Sales</w:t>
            </w:r>
          </w:p>
        </w:tc>
        <w:tc>
          <w:tcPr>
            <w:tcW w:w="280" w:type="dxa"/>
            <w:vAlign w:val="bottom"/>
          </w:tcPr>
          <w:p>
            <w:pPr>
              <w:spacing w:after="0"/>
              <w:rPr>
                <w:sz w:val="21"/>
                <w:szCs w:val="21"/>
                <w:color w:val="auto"/>
              </w:rPr>
            </w:pPr>
          </w:p>
        </w:tc>
        <w:tc>
          <w:tcPr>
            <w:tcW w:w="118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1"/>
                <w:szCs w:val="21"/>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146"/>
        </w:trPr>
        <w:tc>
          <w:tcPr>
            <w:tcW w:w="3040" w:type="dxa"/>
            <w:vAlign w:val="bottom"/>
            <w:shd w:val="clear" w:color="auto" w:fill="C0C0C0"/>
          </w:tcPr>
          <w:p>
            <w:pPr>
              <w:spacing w:after="0"/>
              <w:rPr>
                <w:sz w:val="12"/>
                <w:szCs w:val="12"/>
                <w:color w:val="auto"/>
              </w:rPr>
            </w:pPr>
          </w:p>
        </w:tc>
        <w:tc>
          <w:tcPr>
            <w:tcW w:w="1180" w:type="dxa"/>
            <w:vAlign w:val="bottom"/>
            <w:tcBorders>
              <w:top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1140" w:type="dxa"/>
            <w:vAlign w:val="bottom"/>
            <w:tcBorders>
              <w:top w:val="single" w:sz="8" w:color="auto"/>
            </w:tcBorders>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1220" w:type="dxa"/>
            <w:vAlign w:val="bottom"/>
            <w:tcBorders>
              <w:top w:val="single" w:sz="8" w:color="auto"/>
            </w:tcBorders>
            <w:shd w:val="clear" w:color="auto" w:fill="C0C0C0"/>
          </w:tcPr>
          <w:p>
            <w:pPr>
              <w:spacing w:after="0"/>
              <w:rPr>
                <w:sz w:val="12"/>
                <w:szCs w:val="12"/>
                <w:color w:val="auto"/>
              </w:rPr>
            </w:pPr>
          </w:p>
        </w:tc>
        <w:tc>
          <w:tcPr>
            <w:tcW w:w="260" w:type="dxa"/>
            <w:vAlign w:val="bottom"/>
            <w:shd w:val="clear" w:color="auto" w:fill="C0C0C0"/>
          </w:tcPr>
          <w:p>
            <w:pPr>
              <w:spacing w:after="0"/>
              <w:rPr>
                <w:sz w:val="12"/>
                <w:szCs w:val="12"/>
                <w:color w:val="auto"/>
              </w:rPr>
            </w:pPr>
          </w:p>
        </w:tc>
        <w:tc>
          <w:tcPr>
            <w:tcW w:w="1140" w:type="dxa"/>
            <w:vAlign w:val="bottom"/>
            <w:tcBorders>
              <w:top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1180" w:type="dxa"/>
            <w:vAlign w:val="bottom"/>
            <w:tcBorders>
              <w:top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1160" w:type="dxa"/>
            <w:vAlign w:val="bottom"/>
            <w:tcBorders>
              <w:top w:val="single" w:sz="8" w:color="auto"/>
            </w:tcBorders>
            <w:shd w:val="clear" w:color="auto" w:fill="C0C0C0"/>
          </w:tcPr>
          <w:p>
            <w:pPr>
              <w:spacing w:after="0"/>
              <w:rPr>
                <w:sz w:val="12"/>
                <w:szCs w:val="12"/>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$16,829,030</w:t>
            </w:r>
          </w:p>
        </w:tc>
        <w:tc>
          <w:tcPr>
            <w:tcW w:w="12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100.0%</w:t>
            </w:r>
          </w:p>
        </w:tc>
        <w:tc>
          <w:tcPr>
            <w:tcW w:w="162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$16,604,964</w:t>
            </w:r>
          </w:p>
        </w:tc>
        <w:tc>
          <w:tcPr>
            <w:tcW w:w="13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0C0C0"/>
          </w:tcPr>
          <w:p>
            <w:pPr>
              <w:jc w:val="right"/>
              <w:ind w:right="372"/>
              <w:spacing w:after="0"/>
              <w:rPr>
                <w:sz w:val="20"/>
                <w:szCs w:val="20"/>
                <w:color w:val="auto"/>
              </w:rPr>
            </w:pPr>
            <w:r>
              <w:rPr>
                <w:rFonts w:ascii="Arial" w:cs="Arial" w:eastAsia="Arial" w:hAnsi="Arial"/>
                <w:sz w:val="18"/>
                <w:szCs w:val="18"/>
                <w:color w:val="auto"/>
              </w:rPr>
              <w:t>$224,066</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0C0C0"/>
          </w:tcPr>
          <w:p>
            <w:pPr>
              <w:spacing w:after="0"/>
              <w:rPr>
                <w:sz w:val="18"/>
                <w:szCs w:val="18"/>
                <w:color w:val="auto"/>
              </w:rPr>
            </w:pPr>
          </w:p>
        </w:tc>
      </w:tr>
      <w:tr>
        <w:trPr>
          <w:trHeight w:val="241"/>
        </w:trPr>
        <w:tc>
          <w:tcPr>
            <w:tcW w:w="296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$10,799,180</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64.2%</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$10,346,437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62.3%</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$452,743</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r>
      <w:tr>
        <w:trPr>
          <w:trHeight w:val="218"/>
        </w:trPr>
        <w:tc>
          <w:tcPr>
            <w:tcW w:w="2960" w:type="dxa"/>
            <w:vAlign w:val="bottom"/>
            <w:shd w:val="clear" w:color="auto" w:fill="C0C0C0"/>
          </w:tcPr>
          <w:p>
            <w:pPr>
              <w:spacing w:after="0"/>
              <w:rPr>
                <w:sz w:val="20"/>
                <w:szCs w:val="20"/>
                <w:color w:val="auto"/>
              </w:rPr>
            </w:pPr>
            <w:r>
              <w:rPr>
                <w:rFonts w:ascii="Arial" w:cs="Arial" w:eastAsia="Arial" w:hAnsi="Arial"/>
                <w:sz w:val="18"/>
                <w:szCs w:val="18"/>
                <w:color w:val="auto"/>
              </w:rPr>
              <w:t>Selling expenses</w:t>
            </w:r>
          </w:p>
        </w:tc>
        <w:tc>
          <w:tcPr>
            <w:tcW w:w="17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$3,214,170</w:t>
            </w:r>
          </w:p>
        </w:tc>
        <w:tc>
          <w:tcPr>
            <w:tcW w:w="12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19.1%</w:t>
            </w:r>
          </w:p>
        </w:tc>
        <w:tc>
          <w:tcPr>
            <w:tcW w:w="162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$3,075,072</w:t>
            </w:r>
          </w:p>
        </w:tc>
        <w:tc>
          <w:tcPr>
            <w:tcW w:w="13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18.5%</w:t>
            </w:r>
          </w:p>
        </w:tc>
        <w:tc>
          <w:tcPr>
            <w:tcW w:w="1460" w:type="dxa"/>
            <w:vAlign w:val="bottom"/>
            <w:shd w:val="clear" w:color="auto" w:fill="C0C0C0"/>
          </w:tcPr>
          <w:p>
            <w:pPr>
              <w:jc w:val="right"/>
              <w:ind w:right="372"/>
              <w:spacing w:after="0"/>
              <w:rPr>
                <w:sz w:val="20"/>
                <w:szCs w:val="20"/>
                <w:color w:val="auto"/>
              </w:rPr>
            </w:pPr>
            <w:r>
              <w:rPr>
                <w:rFonts w:ascii="Arial" w:cs="Arial" w:eastAsia="Arial" w:hAnsi="Arial"/>
                <w:sz w:val="18"/>
                <w:szCs w:val="18"/>
                <w:color w:val="auto"/>
              </w:rPr>
              <w:t>$139,098</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0C0C0"/>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8"/>
              </w:rPr>
              <w:t>General and administrative expenses</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$3,083,314</w:t>
            </w:r>
          </w:p>
        </w:tc>
        <w:tc>
          <w:tcPr>
            <w:tcW w:w="1280" w:type="dxa"/>
            <w:vAlign w:val="bottom"/>
          </w:tcPr>
          <w:p>
            <w:pPr>
              <w:jc w:val="right"/>
              <w:ind w:right="212"/>
              <w:spacing w:after="0"/>
              <w:rPr>
                <w:sz w:val="20"/>
                <w:szCs w:val="20"/>
                <w:color w:val="auto"/>
              </w:rPr>
            </w:pPr>
            <w:r>
              <w:rPr>
                <w:rFonts w:ascii="Arial" w:cs="Arial" w:eastAsia="Arial" w:hAnsi="Arial"/>
                <w:sz w:val="18"/>
                <w:szCs w:val="18"/>
                <w:color w:val="auto"/>
              </w:rPr>
              <w:t>18.3%</w:t>
            </w:r>
          </w:p>
        </w:tc>
        <w:tc>
          <w:tcPr>
            <w:tcW w:w="1620" w:type="dxa"/>
            <w:vAlign w:val="bottom"/>
          </w:tcPr>
          <w:p>
            <w:pPr>
              <w:jc w:val="right"/>
              <w:ind w:right="352"/>
              <w:spacing w:after="0"/>
              <w:rPr>
                <w:sz w:val="20"/>
                <w:szCs w:val="20"/>
                <w:color w:val="auto"/>
              </w:rPr>
            </w:pPr>
            <w:r>
              <w:rPr>
                <w:rFonts w:ascii="Arial" w:cs="Arial" w:eastAsia="Arial" w:hAnsi="Arial"/>
                <w:sz w:val="18"/>
                <w:szCs w:val="18"/>
                <w:color w:val="auto"/>
              </w:rPr>
              <w:t>$2,795,194</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16.8%</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$288,120</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r>
      <w:tr>
        <w:trPr>
          <w:trHeight w:val="243"/>
        </w:trPr>
        <w:tc>
          <w:tcPr>
            <w:tcW w:w="2960" w:type="dxa"/>
            <w:vAlign w:val="bottom"/>
            <w:shd w:val="clear" w:color="auto" w:fill="C0C0C0"/>
          </w:tcPr>
          <w:p>
            <w:pPr>
              <w:spacing w:after="0"/>
              <w:rPr>
                <w:sz w:val="20"/>
                <w:szCs w:val="20"/>
                <w:color w:val="auto"/>
              </w:rPr>
            </w:pPr>
            <w:r>
              <w:rPr>
                <w:rFonts w:ascii="Arial" w:cs="Arial" w:eastAsia="Arial" w:hAnsi="Arial"/>
                <w:sz w:val="18"/>
                <w:szCs w:val="18"/>
                <w:color w:val="auto"/>
              </w:rPr>
              <w:t>Lab and technical support expenses</w:t>
            </w:r>
          </w:p>
        </w:tc>
        <w:tc>
          <w:tcPr>
            <w:tcW w:w="170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$229,988</w:t>
            </w:r>
          </w:p>
        </w:tc>
        <w:tc>
          <w:tcPr>
            <w:tcW w:w="12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1.4%</w:t>
            </w:r>
          </w:p>
        </w:tc>
        <w:tc>
          <w:tcPr>
            <w:tcW w:w="162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$296,676</w:t>
            </w:r>
          </w:p>
        </w:tc>
        <w:tc>
          <w:tcPr>
            <w:tcW w:w="1300" w:type="dxa"/>
            <w:vAlign w:val="bottom"/>
            <w:shd w:val="clear" w:color="auto" w:fill="C0C0C0"/>
          </w:tcPr>
          <w:p>
            <w:pPr>
              <w:jc w:val="right"/>
              <w:ind w:right="252"/>
              <w:spacing w:after="0"/>
              <w:rPr>
                <w:sz w:val="20"/>
                <w:szCs w:val="20"/>
                <w:color w:val="auto"/>
              </w:rPr>
            </w:pPr>
            <w:r>
              <w:rPr>
                <w:rFonts w:ascii="Arial" w:cs="Arial" w:eastAsia="Arial" w:hAnsi="Arial"/>
                <w:sz w:val="18"/>
                <w:szCs w:val="18"/>
                <w:color w:val="auto"/>
              </w:rPr>
              <w:t>1.8%</w:t>
            </w:r>
          </w:p>
        </w:tc>
        <w:tc>
          <w:tcPr>
            <w:tcW w:w="14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($66,688)</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slightly increased 1.3% during fiscal 2007 as compared to fiscal 2006 primarily as a result of an increase in demand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React-NTI products to existing customers partially offset by a decrease in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Net sales of React-NTI products increased $279,012, or</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6.2%, to $4,784,789 during fiscal 2007 as compared to fiscal 2006. Net sales of 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decreased $54,946 to $12,044,241. As discussed in more detail above under the heading “—Recent Development,” NTIC anticipates that its net sales will significantly decrease in fiscal 2008 compared to fiscal 2007 as a result of the loss of a principal customer of a subsidiary of NTIC’s React-NTI joint venture.</w:t>
      </w:r>
    </w:p>
    <w:p>
      <w:pPr>
        <w:spacing w:after="0" w:line="2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slightly increased 4.4% in fiscal 2007 compared to fiscal 2006 and cost of sales as a percentage of net sales also increased slightly to</w:t>
      </w:r>
      <w:r>
        <w:rPr>
          <w:rFonts w:ascii="Arial" w:cs="Arial" w:eastAsia="Arial" w:hAnsi="Arial"/>
          <w:sz w:val="16"/>
          <w:szCs w:val="16"/>
          <w:i w:val="1"/>
          <w:iCs w:val="1"/>
          <w:color w:val="auto"/>
        </w:rPr>
        <w:t xml:space="preserve"> </w:t>
      </w:r>
      <w:r>
        <w:rPr>
          <w:rFonts w:ascii="Arial" w:cs="Arial" w:eastAsia="Arial" w:hAnsi="Arial"/>
          <w:sz w:val="16"/>
          <w:szCs w:val="16"/>
          <w:color w:val="auto"/>
        </w:rPr>
        <w:t>64.2% in fiscal 2007 compared to 62.3% in fiscal 2006 primarily as a result of an increase in raw material prices, primarily plastic resins.</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4.5% in fiscal 2007 compared in fiscal 2006 primarily as a result of increases in (i) promotional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$40,000, (ii) lab supplies and testing of $55,000, and (iii) selling expense related to the sale of React products of $70,000. These increases were partially offset by a decrease in commissions to salespeople and manufacturer’s representatives totaling $76,000. As a percentage of net sales, selling expenses increased slightly to 19.1% in fiscal 2007 compared to 18.5% in fiscal 2006, primarily as a result of the increased spending as described above and NTIC’s increased efforts to diversify its product lines and expand the distribution of its new product lines into new industry markets.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10.3% in fiscal 2007 compared to fiscal 2006 primarily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increases in (i) information technology expenses of $30,000, (ii) insurance expense of $23,000, (iii) legal expenses of $75,000, (iv) audit and tax expense of $51,000, and (v) depreciation expense of $88,000. These increases were partially offset by a decrease in travel of $29,000. As a percentage of net sales, general and administrative expenses increased slightly to 18.3% in fiscal 2007 compared to 16.8% in fiscal 2006, primarily as a result of the increased spending as described above and NTIC’s increased efforts to support the diversification of its product lines and the expansion of the distribution of its new product lines into new industry markets.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decreased 22.5% in fiscal 2007 compared to fiscal 2006 primarily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in (i) salary and wages of $31,000 and (ii) lab supplies and testing of $39,000. As a percentage of net sales, lab and technical support expenses decreased to 1.4% in fiscal 2007 compared to 1.8% in fiscal 2006 primarily as a result of the decreased expenses described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in fiscal 2007 and fiscal 2006, excluding React-NTI</w:t>
      </w:r>
      <w:r>
        <w:rPr>
          <w:rFonts w:ascii="Arial" w:cs="Arial" w:eastAsia="Arial" w:hAnsi="Arial"/>
          <w:sz w:val="18"/>
          <w:szCs w:val="18"/>
          <w:i w:val="1"/>
          <w:iCs w:val="1"/>
          <w:color w:val="auto"/>
        </w:rPr>
        <w:t xml:space="preserve"> </w:t>
      </w:r>
      <w:r>
        <w:rPr>
          <w:rFonts w:ascii="Arial" w:cs="Arial" w:eastAsia="Arial" w:hAnsi="Arial"/>
          <w:sz w:val="18"/>
          <w:szCs w:val="18"/>
          <w:color w:val="auto"/>
        </w:rPr>
        <w:t>LLC, were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51"/>
        </w:trPr>
        <w:tc>
          <w:tcPr>
            <w:tcW w:w="6920" w:type="dxa"/>
            <w:vAlign w:val="bottom"/>
          </w:tcPr>
          <w:p>
            <w:pPr>
              <w:spacing w:after="0"/>
              <w:rPr>
                <w:sz w:val="21"/>
                <w:szCs w:val="21"/>
                <w:color w:val="auto"/>
              </w:rPr>
            </w:pPr>
          </w:p>
        </w:tc>
        <w:tc>
          <w:tcPr>
            <w:tcW w:w="15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Fiscal 2007</w:t>
            </w:r>
          </w:p>
        </w:tc>
        <w:tc>
          <w:tcPr>
            <w:tcW w:w="280" w:type="dxa"/>
            <w:vAlign w:val="bottom"/>
          </w:tcPr>
          <w:p>
            <w:pPr>
              <w:spacing w:after="0"/>
              <w:rPr>
                <w:sz w:val="21"/>
                <w:szCs w:val="21"/>
                <w:color w:val="auto"/>
              </w:rPr>
            </w:pPr>
          </w:p>
        </w:tc>
        <w:tc>
          <w:tcPr>
            <w:tcW w:w="15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Fiscal 2006</w:t>
            </w:r>
          </w:p>
        </w:tc>
      </w:tr>
      <w:tr>
        <w:trPr>
          <w:trHeight w:val="243"/>
        </w:trPr>
        <w:tc>
          <w:tcPr>
            <w:tcW w:w="6920" w:type="dxa"/>
            <w:vAlign w:val="bottom"/>
            <w:shd w:val="clear" w:color="auto" w:fill="C0C0C0"/>
          </w:tcPr>
          <w:p>
            <w:pPr>
              <w:spacing w:after="0"/>
              <w:rPr>
                <w:sz w:val="20"/>
                <w:szCs w:val="20"/>
                <w:color w:val="auto"/>
              </w:rPr>
            </w:pPr>
            <w:r>
              <w:rPr>
                <w:rFonts w:ascii="Arial" w:cs="Arial" w:eastAsia="Arial" w:hAnsi="Arial"/>
                <w:sz w:val="18"/>
                <w:szCs w:val="18"/>
                <w:color w:val="auto"/>
              </w:rPr>
              <w:t>Industrial chemical</w:t>
            </w:r>
          </w:p>
        </w:tc>
        <w:tc>
          <w:tcPr>
            <w:tcW w:w="1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$78,601,707</w:t>
            </w:r>
          </w:p>
        </w:tc>
        <w:tc>
          <w:tcPr>
            <w:tcW w:w="1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$62,266,618</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Non-industrial chemical</w:t>
            </w:r>
          </w:p>
        </w:tc>
        <w:tc>
          <w:tcPr>
            <w:tcW w:w="1540" w:type="dxa"/>
            <w:vAlign w:val="bottom"/>
          </w:tcPr>
          <w:p>
            <w:pPr>
              <w:jc w:val="right"/>
              <w:spacing w:after="0"/>
              <w:rPr>
                <w:sz w:val="20"/>
                <w:szCs w:val="20"/>
                <w:color w:val="auto"/>
              </w:rPr>
            </w:pPr>
            <w:r>
              <w:rPr>
                <w:rFonts w:ascii="Arial" w:cs="Arial" w:eastAsia="Arial" w:hAnsi="Arial"/>
                <w:sz w:val="18"/>
                <w:szCs w:val="18"/>
                <w:color w:val="auto"/>
              </w:rPr>
              <w:t>1,949,993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1,692,472</w:t>
            </w:r>
          </w:p>
        </w:tc>
      </w:tr>
      <w:tr>
        <w:trPr>
          <w:trHeight w:val="230"/>
        </w:trPr>
        <w:tc>
          <w:tcPr>
            <w:tcW w:w="6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$80,551,700</w:t>
            </w:r>
          </w:p>
        </w:tc>
        <w:tc>
          <w:tcPr>
            <w:tcW w:w="280" w:type="dxa"/>
            <w:vAlign w:val="bottom"/>
            <w:tcBorders>
              <w:bottom w:val="single" w:sz="8" w:color="C0C0C0"/>
            </w:tcBorders>
            <w:shd w:val="clear" w:color="auto" w:fill="C0C0C0"/>
          </w:tcPr>
          <w:p>
            <w:pPr>
              <w:spacing w:after="0"/>
              <w:rPr>
                <w:sz w:val="20"/>
                <w:szCs w:val="20"/>
                <w:color w:val="auto"/>
              </w:rPr>
            </w:pPr>
          </w:p>
        </w:tc>
        <w:tc>
          <w:tcPr>
            <w:tcW w:w="1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$63,959,090</w:t>
            </w:r>
          </w:p>
        </w:tc>
      </w:tr>
    </w:tbl>
    <w:p>
      <w:pPr>
        <w:spacing w:after="0" w:line="200" w:lineRule="exact"/>
        <w:rPr>
          <w:sz w:val="20"/>
          <w:szCs w:val="20"/>
          <w:color w:val="auto"/>
        </w:rPr>
      </w:pPr>
    </w:p>
    <w:p>
      <w:pPr>
        <w:spacing w:after="0" w:line="25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NTIC had equity in income of corporate joint ventures and holding companies of $3,201,621 in fiscal 2007 compared to $2,713,096 in fiscal 2006. The increase in equity in income was due to the significant increase in sales and profitability from the corporate joint ventures as a whole due to global product demand.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 receives fees for technical and other support services it provides to its corporate joint ventures based on the revenues of the individual corporate joint ventures. NTIC recognized fee income for such support of $4,976,194 in fiscal 2007 compared to $4,695,124 in fiscal 2006. The increase in fees for technical and other support to its corporate joint ventures was due to the significant increase in total net sales of the corporate joint ventures and the weakening of the United States dollar.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Fiscal</w:t>
            </w:r>
          </w:p>
        </w:tc>
        <w:tc>
          <w:tcPr>
            <w:tcW w:w="1480" w:type="dxa"/>
            <w:vAlign w:val="bottom"/>
            <w:gridSpan w:val="2"/>
          </w:tcPr>
          <w:p>
            <w:pPr>
              <w:ind w:left="360"/>
              <w:spacing w:after="0"/>
              <w:rPr>
                <w:sz w:val="20"/>
                <w:szCs w:val="20"/>
                <w:color w:val="auto"/>
              </w:rPr>
            </w:pPr>
            <w:r>
              <w:rPr>
                <w:rFonts w:ascii="Arial" w:cs="Arial" w:eastAsia="Arial" w:hAnsi="Arial"/>
                <w:sz w:val="18"/>
                <w:szCs w:val="18"/>
                <w:b w:val="1"/>
                <w:bCs w:val="1"/>
                <w:color w:val="auto"/>
              </w:rPr>
              <w:t>Fiscal</w:t>
            </w:r>
          </w:p>
        </w:tc>
        <w:tc>
          <w:tcPr>
            <w:tcW w:w="1440" w:type="dxa"/>
            <w:vAlign w:val="bottom"/>
          </w:tcPr>
          <w:p>
            <w:pPr>
              <w:jc w:val="right"/>
              <w:ind w:right="612"/>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w:t>
            </w:r>
          </w:p>
        </w:tc>
      </w:tr>
      <w:tr>
        <w:trPr>
          <w:trHeight w:val="244"/>
        </w:trPr>
        <w:tc>
          <w:tcPr>
            <w:tcW w:w="5320" w:type="dxa"/>
            <w:vAlign w:val="bottom"/>
          </w:tcPr>
          <w:p>
            <w:pPr>
              <w:spacing w:after="0"/>
              <w:rPr>
                <w:sz w:val="21"/>
                <w:szCs w:val="21"/>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1"/>
                <w:szCs w:val="21"/>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Change</w:t>
            </w:r>
          </w:p>
        </w:tc>
      </w:tr>
      <w:tr>
        <w:trPr>
          <w:trHeight w:val="236"/>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 of corporate joint ventures,</w:t>
            </w:r>
          </w:p>
        </w:tc>
        <w:tc>
          <w:tcPr>
            <w:tcW w:w="12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2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4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420" w:type="dxa"/>
            <w:vAlign w:val="bottom"/>
            <w:shd w:val="clear" w:color="auto" w:fill="C0C0C0"/>
          </w:tcPr>
          <w:p>
            <w:pPr>
              <w:spacing w:after="0"/>
              <w:rPr>
                <w:sz w:val="20"/>
                <w:szCs w:val="20"/>
                <w:color w:val="auto"/>
              </w:rPr>
            </w:pPr>
          </w:p>
        </w:tc>
      </w:tr>
      <w:tr>
        <w:trPr>
          <w:trHeight w:val="245"/>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excluding React-NTI LLC</w:t>
            </w:r>
          </w:p>
        </w:tc>
        <w:tc>
          <w:tcPr>
            <w:tcW w:w="15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$80,551,700</w:t>
            </w:r>
          </w:p>
        </w:tc>
        <w:tc>
          <w:tcPr>
            <w:tcW w:w="14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$63,959,090</w:t>
            </w:r>
          </w:p>
        </w:tc>
        <w:tc>
          <w:tcPr>
            <w:tcW w:w="14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$16,592,610</w:t>
            </w:r>
          </w:p>
        </w:tc>
        <w:tc>
          <w:tcPr>
            <w:tcW w:w="1680" w:type="dxa"/>
            <w:vAlign w:val="bottom"/>
            <w:gridSpan w:val="2"/>
            <w:shd w:val="clear" w:color="auto" w:fill="C0C0C0"/>
          </w:tcPr>
          <w:p>
            <w:pPr>
              <w:jc w:val="center"/>
              <w:ind w:left="172"/>
              <w:spacing w:after="0"/>
              <w:rPr>
                <w:sz w:val="20"/>
                <w:szCs w:val="20"/>
                <w:color w:val="auto"/>
              </w:rPr>
            </w:pPr>
            <w:r>
              <w:rPr>
                <w:rFonts w:ascii="Arial" w:cs="Arial" w:eastAsia="Arial" w:hAnsi="Arial"/>
                <w:sz w:val="18"/>
                <w:szCs w:val="18"/>
                <w:color w:val="auto"/>
                <w:w w:val="90"/>
              </w:rPr>
              <w:t>26.0%</w:t>
            </w:r>
          </w:p>
        </w:tc>
      </w:tr>
      <w:tr>
        <w:trPr>
          <w:trHeight w:val="241"/>
        </w:trPr>
        <w:tc>
          <w:tcPr>
            <w:tcW w:w="5320" w:type="dxa"/>
            <w:vAlign w:val="bottom"/>
          </w:tcPr>
          <w:p>
            <w:pPr>
              <w:spacing w:after="0"/>
              <w:rPr>
                <w:sz w:val="20"/>
                <w:szCs w:val="20"/>
                <w:color w:val="auto"/>
              </w:rPr>
            </w:pPr>
            <w:r>
              <w:rPr>
                <w:rFonts w:ascii="Arial" w:cs="Arial" w:eastAsia="Arial" w:hAnsi="Arial"/>
                <w:sz w:val="18"/>
                <w:szCs w:val="18"/>
                <w:color w:val="auto"/>
              </w:rPr>
              <w:t>NTIC’s fee income for technical and other</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4"/>
        </w:trPr>
        <w:tc>
          <w:tcPr>
            <w:tcW w:w="5320" w:type="dxa"/>
            <w:vAlign w:val="bottom"/>
          </w:tcPr>
          <w:p>
            <w:pPr>
              <w:spacing w:after="0"/>
              <w:rPr>
                <w:sz w:val="20"/>
                <w:szCs w:val="20"/>
                <w:color w:val="auto"/>
              </w:rPr>
            </w:pPr>
            <w:r>
              <w:rPr>
                <w:rFonts w:ascii="Arial" w:cs="Arial" w:eastAsia="Arial" w:hAnsi="Arial"/>
                <w:sz w:val="18"/>
                <w:szCs w:val="18"/>
                <w:color w:val="auto"/>
              </w:rPr>
              <w:t>support services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$4,976,194</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$4,695,124</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$281,070</w:t>
            </w:r>
          </w:p>
        </w:tc>
        <w:tc>
          <w:tcPr>
            <w:tcW w:w="1680" w:type="dxa"/>
            <w:vAlign w:val="bottom"/>
            <w:gridSpan w:val="2"/>
          </w:tcPr>
          <w:p>
            <w:pPr>
              <w:jc w:val="center"/>
              <w:ind w:left="172"/>
              <w:spacing w:after="0"/>
              <w:rPr>
                <w:sz w:val="20"/>
                <w:szCs w:val="20"/>
                <w:color w:val="auto"/>
              </w:rPr>
            </w:pPr>
            <w:r>
              <w:rPr>
                <w:rFonts w:ascii="Arial" w:cs="Arial" w:eastAsia="Arial" w:hAnsi="Arial"/>
                <w:sz w:val="18"/>
                <w:szCs w:val="18"/>
                <w:color w:val="auto"/>
                <w:w w:val="92"/>
              </w:rPr>
              <w:t>6.0%</w:t>
            </w:r>
          </w:p>
        </w:tc>
      </w:tr>
      <w:tr>
        <w:trPr>
          <w:trHeight w:val="242"/>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NTIC’s direct expenses incurred related to</w:t>
            </w:r>
          </w:p>
        </w:tc>
        <w:tc>
          <w:tcPr>
            <w:tcW w:w="12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20" w:type="dxa"/>
            <w:vAlign w:val="bottom"/>
            <w:shd w:val="clear" w:color="auto" w:fill="C0C0C0"/>
          </w:tcPr>
          <w:p>
            <w:pPr>
              <w:spacing w:after="0"/>
              <w:rPr>
                <w:sz w:val="21"/>
                <w:szCs w:val="21"/>
                <w:color w:val="auto"/>
              </w:rPr>
            </w:pPr>
          </w:p>
        </w:tc>
      </w:tr>
      <w:tr>
        <w:trPr>
          <w:trHeight w:val="245"/>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corporate joint ventures and holding companies</w:t>
            </w:r>
          </w:p>
        </w:tc>
        <w:tc>
          <w:tcPr>
            <w:tcW w:w="15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$4,876,928</w:t>
            </w:r>
          </w:p>
        </w:tc>
        <w:tc>
          <w:tcPr>
            <w:tcW w:w="14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$5,481,757</w:t>
            </w:r>
          </w:p>
        </w:tc>
        <w:tc>
          <w:tcPr>
            <w:tcW w:w="1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$(604,829)</w:t>
            </w:r>
          </w:p>
        </w:tc>
        <w:tc>
          <w:tcPr>
            <w:tcW w:w="1680" w:type="dxa"/>
            <w:vAlign w:val="bottom"/>
            <w:gridSpan w:val="2"/>
            <w:shd w:val="clear" w:color="auto" w:fill="C0C0C0"/>
          </w:tcPr>
          <w:p>
            <w:pPr>
              <w:jc w:val="center"/>
              <w:ind w:left="172"/>
              <w:spacing w:after="0"/>
              <w:rPr>
                <w:sz w:val="20"/>
                <w:szCs w:val="20"/>
                <w:color w:val="auto"/>
              </w:rPr>
            </w:pPr>
            <w:r>
              <w:rPr>
                <w:rFonts w:ascii="Arial" w:cs="Arial" w:eastAsia="Arial" w:hAnsi="Arial"/>
                <w:sz w:val="18"/>
                <w:szCs w:val="18"/>
                <w:color w:val="auto"/>
                <w:w w:val="91"/>
              </w:rPr>
              <w:t>(11.0)%</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 sponsors a worldwide corporate joint venture conference approximately every two to four years in which all of its corporate joint ventures are invited to participate. The most recent conference was in August 2005 and the next corporate joint venture conference is scheduled to be held in 2008. NTIC defers a portion of its technical and other support fees received from its corporate joint ventures in each accounting period leading up to the conference, reflecting that NTIC has not fully earned the payments received during that period. There was $96,000 of deferred income recorded in fiscal 2007 bringing the total deferred accrual for the conference to $192,000 at August 31, 2007. The costs associated with these joint venture conferences are offset against the deferral as incurred, generally in the period in which the conference is held and immediately before.</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$4,876,928 in fiscal 2007 compared to $5,481,757 in fiscal 2006. These expenses include: product and business development, consulting, travel, establishment of a reserve on a note receivable, technical and marketing services to existing joint ventures, legal fees regarding the establishment of new joint ventures, registration and promotion and legal defense of worldwide</w:t>
      </w:r>
    </w:p>
    <w:p>
      <w:pPr>
        <w:sectPr>
          <w:pgSz w:w="11900" w:h="16838" w:orient="portrait"/>
          <w:cols w:equalWidth="0" w:num="1">
            <w:col w:w="11420"/>
          </w:cols>
          <w:pgMar w:left="240" w:top="140" w:right="239" w:bottom="0" w:gutter="0" w:footer="0" w:header="0"/>
        </w:sectPr>
      </w:pPr>
    </w:p>
    <w:bookmarkStart w:id="16" w:name="page17"/>
    <w:bookmarkEnd w:id="16"/>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trademarks and legal fees incurred in the filing of patent applications for new technologies to which NTIC acquired certain rights. The decrease in direct expenses incurred relating to NTIC’s corporate joint ventures and holding companies in fiscal 2007 compared to in fiscal 2006 was attributable to decreases of (i) loan forgiveness of $571,000, (ii) consulting expense of $43,000, (iii) legal expense of $64,000, partially offset by increases in (i) expenses related to employee relocation of $32,000, (ii) travel and related expenses of $83,000, (iii) lab supplies and testing of $30,000, and (iv) insurance and group health benefits of $39,000.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$4,165 in fiscal 2007 compared to $34,251 for fiscal 2006 primarily as a result of lower average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balances and fewer notes receivable in fiscal 2007.</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$164,372 in fiscal 2007 compared to $94,751 for fiscal 2006 as a result of higher average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NTIC’s revolving line of credit in fiscal 2007 compared to fiscal 2006 and the entering into of the term note in May 2006 in connection with NTIC’s purchase of the real estate and building for its new corporate headquarters.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Gain on Sale of Assets</w:t>
      </w:r>
      <w:r>
        <w:rPr>
          <w:rFonts w:ascii="Arial" w:cs="Arial" w:eastAsia="Arial" w:hAnsi="Arial"/>
          <w:sz w:val="18"/>
          <w:szCs w:val="18"/>
          <w:color w:val="auto"/>
        </w:rPr>
        <w:t>. NTIC recognized a gain on the sale of land, building and equipment that previously served as NTIC’s corporate headquarters of $726,295</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2007. This was a one-time sale and no additional gain is anticipated to be recognized relating to the building in the future. NTIC did not recognize any gain on sale of assets during fiscal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to $3,409,408 in fiscal 2007 compared to $1,973,065 in fiscal 2006.</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Income tax expense for fiscal 2007 and fiscal 2006 was calculated based on management’s estimate of NTIC’s annual effective income tax rate.</w:t>
      </w:r>
      <w:r>
        <w:rPr>
          <w:rFonts w:ascii="Arial" w:cs="Arial" w:eastAsia="Arial" w:hAnsi="Arial"/>
          <w:sz w:val="16"/>
          <w:szCs w:val="16"/>
          <w:i w:val="1"/>
          <w:iCs w:val="1"/>
          <w:color w:val="auto"/>
        </w:rPr>
        <w:t xml:space="preserve"> </w:t>
      </w:r>
      <w:r>
        <w:rPr>
          <w:rFonts w:ascii="Arial" w:cs="Arial" w:eastAsia="Arial" w:hAnsi="Arial"/>
          <w:sz w:val="16"/>
          <w:szCs w:val="16"/>
          <w:color w:val="auto"/>
        </w:rPr>
        <w:t>NTIC’s annual effective income tax rate for fiscal 2007 was lower than the statutory rate primarily due to NTIC’s equity in income of corporate joint ventures being recognized for book purposes based on NTIC’s share of after-tax earnings of these entities. For tax purposes, to the extent joint ventures’ undistributed earnings are distributed to NTIC, it is not expected to result in any material additional income tax liability after the application of foreign tax credits.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2006 Compared to Fiscal Year 2005</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 sets forth NTIC’s consolidated results of operations for fiscal 2006 and fiscal 2005. These results of operations exclude the impact of NTIC’s activities with its joint ventures, other than React-NTIC LLC. As explained in more detail in note 2 to NTIC’s consolidated financial statements, the results of React-NTIC LLC are included in NTIC’s consolidated results of operations and thus included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w:t>
            </w: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 of</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Fiscal</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 of</w:t>
            </w:r>
          </w:p>
        </w:tc>
        <w:tc>
          <w:tcPr>
            <w:tcW w:w="112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w:t>
            </w:r>
          </w:p>
        </w:tc>
      </w:tr>
      <w:tr>
        <w:trPr>
          <w:trHeight w:val="244"/>
        </w:trPr>
        <w:tc>
          <w:tcPr>
            <w:tcW w:w="3400" w:type="dxa"/>
            <w:vAlign w:val="bottom"/>
          </w:tcPr>
          <w:p>
            <w:pPr>
              <w:spacing w:after="0"/>
              <w:rPr>
                <w:sz w:val="21"/>
                <w:szCs w:val="21"/>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Net Sales</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Change</w:t>
            </w:r>
          </w:p>
        </w:tc>
      </w:tr>
      <w:tr>
        <w:trPr>
          <w:trHeight w:val="238"/>
        </w:trPr>
        <w:tc>
          <w:tcPr>
            <w:tcW w:w="340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$16,604,964</w:t>
            </w:r>
          </w:p>
        </w:tc>
        <w:tc>
          <w:tcPr>
            <w:tcW w:w="14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$14,816,672</w:t>
            </w:r>
          </w:p>
        </w:tc>
        <w:tc>
          <w:tcPr>
            <w:tcW w:w="14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$1,788,292</w:t>
            </w:r>
          </w:p>
        </w:tc>
        <w:tc>
          <w:tcPr>
            <w:tcW w:w="13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12.1%</w:t>
            </w:r>
          </w:p>
        </w:tc>
      </w:tr>
      <w:tr>
        <w:trPr>
          <w:trHeight w:val="242"/>
        </w:trPr>
        <w:tc>
          <w:tcPr>
            <w:tcW w:w="340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$10,346,437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$8,967,155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60.5%</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$1,379,282</w:t>
            </w:r>
          </w:p>
        </w:tc>
        <w:tc>
          <w:tcPr>
            <w:tcW w:w="1360" w:type="dxa"/>
            <w:vAlign w:val="bottom"/>
            <w:gridSpan w:val="2"/>
          </w:tcPr>
          <w:p>
            <w:pPr>
              <w:jc w:val="right"/>
              <w:ind w:right="32"/>
              <w:spacing w:after="0"/>
              <w:rPr>
                <w:sz w:val="20"/>
                <w:szCs w:val="20"/>
                <w:color w:val="auto"/>
              </w:rPr>
            </w:pPr>
            <w:r>
              <w:rPr>
                <w:rFonts w:ascii="Arial" w:cs="Arial" w:eastAsia="Arial" w:hAnsi="Arial"/>
                <w:sz w:val="18"/>
                <w:szCs w:val="18"/>
                <w:color w:val="auto"/>
              </w:rPr>
              <w:t>15.4%</w:t>
            </w:r>
          </w:p>
        </w:tc>
      </w:tr>
      <w:tr>
        <w:trPr>
          <w:trHeight w:val="244"/>
        </w:trPr>
        <w:tc>
          <w:tcPr>
            <w:tcW w:w="3400" w:type="dxa"/>
            <w:vAlign w:val="bottom"/>
            <w:shd w:val="clear" w:color="auto" w:fill="C0C0C0"/>
          </w:tcPr>
          <w:p>
            <w:pPr>
              <w:spacing w:after="0"/>
              <w:rPr>
                <w:sz w:val="20"/>
                <w:szCs w:val="20"/>
                <w:color w:val="auto"/>
              </w:rPr>
            </w:pPr>
            <w:r>
              <w:rPr>
                <w:rFonts w:ascii="Arial" w:cs="Arial" w:eastAsia="Arial" w:hAnsi="Arial"/>
                <w:sz w:val="18"/>
                <w:szCs w:val="18"/>
                <w:color w:val="auto"/>
              </w:rPr>
              <w:t>Selling expenses</w:t>
            </w:r>
          </w:p>
        </w:tc>
        <w:tc>
          <w:tcPr>
            <w:tcW w:w="13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$3,075,072</w:t>
            </w:r>
          </w:p>
        </w:tc>
        <w:tc>
          <w:tcPr>
            <w:tcW w:w="14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18.5%</w:t>
            </w:r>
          </w:p>
        </w:tc>
        <w:tc>
          <w:tcPr>
            <w:tcW w:w="13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$2,714,740</w:t>
            </w:r>
          </w:p>
        </w:tc>
        <w:tc>
          <w:tcPr>
            <w:tcW w:w="14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18.3%</w:t>
            </w:r>
          </w:p>
        </w:tc>
        <w:tc>
          <w:tcPr>
            <w:tcW w:w="11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$360,332</w:t>
            </w:r>
          </w:p>
        </w:tc>
        <w:tc>
          <w:tcPr>
            <w:tcW w:w="13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13.3%</w:t>
            </w:r>
          </w:p>
        </w:tc>
      </w:tr>
      <w:tr>
        <w:trPr>
          <w:trHeight w:val="242"/>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$2,795,194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$2,364,667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$430,527</w:t>
            </w:r>
          </w:p>
        </w:tc>
        <w:tc>
          <w:tcPr>
            <w:tcW w:w="1360" w:type="dxa"/>
            <w:vAlign w:val="bottom"/>
            <w:gridSpan w:val="2"/>
          </w:tcPr>
          <w:p>
            <w:pPr>
              <w:jc w:val="right"/>
              <w:ind w:right="32"/>
              <w:spacing w:after="0"/>
              <w:rPr>
                <w:sz w:val="20"/>
                <w:szCs w:val="20"/>
                <w:color w:val="auto"/>
              </w:rPr>
            </w:pPr>
            <w:r>
              <w:rPr>
                <w:rFonts w:ascii="Arial" w:cs="Arial" w:eastAsia="Arial" w:hAnsi="Arial"/>
                <w:sz w:val="18"/>
                <w:szCs w:val="18"/>
                <w:color w:val="auto"/>
              </w:rPr>
              <w:t>18.2%</w:t>
            </w:r>
          </w:p>
        </w:tc>
      </w:tr>
      <w:tr>
        <w:trPr>
          <w:trHeight w:val="244"/>
        </w:trPr>
        <w:tc>
          <w:tcPr>
            <w:tcW w:w="3400" w:type="dxa"/>
            <w:vAlign w:val="bottom"/>
            <w:shd w:val="clear" w:color="auto" w:fill="C0C0C0"/>
          </w:tcPr>
          <w:p>
            <w:pPr>
              <w:spacing w:after="0"/>
              <w:rPr>
                <w:sz w:val="20"/>
                <w:szCs w:val="20"/>
                <w:color w:val="auto"/>
              </w:rPr>
            </w:pPr>
            <w:r>
              <w:rPr>
                <w:rFonts w:ascii="Arial" w:cs="Arial" w:eastAsia="Arial" w:hAnsi="Arial"/>
                <w:sz w:val="18"/>
                <w:szCs w:val="18"/>
                <w:color w:val="auto"/>
              </w:rPr>
              <w:t>Lab and technical support expenses</w:t>
            </w:r>
          </w:p>
        </w:tc>
        <w:tc>
          <w:tcPr>
            <w:tcW w:w="13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$296,676</w:t>
            </w:r>
          </w:p>
        </w:tc>
        <w:tc>
          <w:tcPr>
            <w:tcW w:w="14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$759,662</w:t>
            </w:r>
          </w:p>
        </w:tc>
        <w:tc>
          <w:tcPr>
            <w:tcW w:w="14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5.1%</w:t>
            </w: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($462,986)</w:t>
            </w:r>
          </w:p>
        </w:tc>
        <w:tc>
          <w:tcPr>
            <w:tcW w:w="1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(60.9%)</w:t>
            </w:r>
          </w:p>
        </w:tc>
      </w:tr>
    </w:tbl>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12.1% in fiscal 2006 compared to fiscal 2005 primarily as a result of an increase in demand of Zerust</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of React-NTI products to new and existing customers in North America. Net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increased $1,501,881, or 12.4%, to $12,099,187 and net sales of React-NTI products increased $286,411, or 6.4%, to $4,505,777 in fiscal 2006 as compared to in fiscal 2005.</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15.4% in fiscal 2006 compared to fiscal 2005 primarily as a result of the increase in net sales. Cost of sales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net sales also increased slightly to 62.3% in fiscal 2006 compared to 60.5% in fiscal 2005 primarily as a result of an increase in raw material prices, primarily plastic resins.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13.3% in fiscal 2006 compared in fiscal 2005 primarily as a result of increases in (i) consulting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$145,000, (ii) promotional materials expense of $71,000, (iii) travel expenses of $38,000, (iv) telecommunications expense of $26,000, (v) auto expense of $25,000 (vi) salary expense related of $166,000 and (vii) insurance expense of $23,000. These increases were partially offset by decreases in (i) selling expense related to the sale of React products of $93,000, and (ii) commissions to salespeople and manufacturer’s representatives totaling $63,000. As a percentage of net sales, selling expenses increased slightly to 18.5% in fiscal 2006 compared to 18.3% in fiscal 2005, primarily as a result of the increased spending as described above and NTIC’s increased efforts to diversify its product lines and expand the distribution of its new product lines into new industry markets.</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NTIC’s general and administrative expenses increased 18.2% in fiscal 2006 compared to in fiscal 2005 primarily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increases in (i) salaries and wage expense increases of $118,000, (ii) insurance expense of $132,000, (iii) management bonus of $185,000, (iv) travel expense of $97,000 (v) general and administrative expense related to the sale of React products of $154,000. These increases were partially offset by decreases in</w:t>
      </w:r>
    </w:p>
    <w:p>
      <w:pPr>
        <w:spacing w:after="0" w:line="1" w:lineRule="exact"/>
        <w:rPr>
          <w:sz w:val="20"/>
          <w:szCs w:val="20"/>
          <w:color w:val="auto"/>
        </w:rPr>
      </w:pPr>
    </w:p>
    <w:p>
      <w:pPr>
        <w:jc w:val="both"/>
        <w:ind w:firstLine="8"/>
        <w:spacing w:after="0" w:line="254" w:lineRule="auto"/>
        <w:tabs>
          <w:tab w:leader="none" w:pos="212"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expense of $68,000 and (ii) directors’ fees and expenses of $113,000, (iii) shipping expense of $32,000 and (iv) telecommunications expense of $29,000. As a percentage of net sales, general and administrative expenses increased slightly to 16.8% in fiscal 2006 compared to 16.0% in fiscal 2005, primarily as a result of the increased spending as described above and NTIC’s increased efforts to support the diversification of its product lines and the expansion of the distribution of its new product lines into new industry markets.</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decreased 60.9% in fiscal 2006 compared to in fiscal 2005 primarily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of employees from the lab and technical support area to research and development associated with corporate joint venture support, which decreased lab and technical support expenses by $450,000. As a percentage of net sales, lab and technical support expenses decreased to 1.8% in fiscal 2006 compared to 5.1% in fiscal 2005 primarily as a result of the transfer of employees and decrease in spending as described above.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in fiscal 2006 and fiscal 2005, excluding React-NTI</w:t>
      </w:r>
      <w:r>
        <w:rPr>
          <w:rFonts w:ascii="Arial" w:cs="Arial" w:eastAsia="Arial" w:hAnsi="Arial"/>
          <w:sz w:val="18"/>
          <w:szCs w:val="18"/>
          <w:i w:val="1"/>
          <w:iCs w:val="1"/>
          <w:color w:val="auto"/>
        </w:rPr>
        <w:t xml:space="preserve"> </w:t>
      </w:r>
      <w:r>
        <w:rPr>
          <w:rFonts w:ascii="Arial" w:cs="Arial" w:eastAsia="Arial" w:hAnsi="Arial"/>
          <w:sz w:val="18"/>
          <w:szCs w:val="18"/>
          <w:color w:val="auto"/>
        </w:rPr>
        <w:t>LLC, were as follows:</w:t>
      </w:r>
    </w:p>
    <w:p>
      <w:pPr>
        <w:sectPr>
          <w:pgSz w:w="11900" w:h="16933" w:orient="portrait"/>
          <w:cols w:equalWidth="0" w:num="1">
            <w:col w:w="11420"/>
          </w:cols>
          <w:pgMar w:left="240" w:top="131" w:right="239" w:bottom="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251"/>
        </w:trPr>
        <w:tc>
          <w:tcPr>
            <w:tcW w:w="6920" w:type="dxa"/>
            <w:vAlign w:val="bottom"/>
          </w:tcPr>
          <w:p>
            <w:pPr>
              <w:spacing w:after="0"/>
              <w:rPr>
                <w:sz w:val="21"/>
                <w:szCs w:val="21"/>
                <w:color w:val="auto"/>
              </w:rPr>
            </w:pP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Fiscal 2006</w:t>
            </w:r>
          </w:p>
        </w:tc>
        <w:tc>
          <w:tcPr>
            <w:tcW w:w="280" w:type="dxa"/>
            <w:vAlign w:val="bottom"/>
          </w:tcPr>
          <w:p>
            <w:pPr>
              <w:spacing w:after="0"/>
              <w:rPr>
                <w:sz w:val="21"/>
                <w:szCs w:val="21"/>
                <w:color w:val="auto"/>
              </w:rPr>
            </w:pPr>
          </w:p>
        </w:tc>
        <w:tc>
          <w:tcPr>
            <w:tcW w:w="15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Fiscal 2005</w:t>
            </w:r>
          </w:p>
        </w:tc>
      </w:tr>
      <w:tr>
        <w:trPr>
          <w:trHeight w:val="243"/>
        </w:trPr>
        <w:tc>
          <w:tcPr>
            <w:tcW w:w="6920" w:type="dxa"/>
            <w:vAlign w:val="bottom"/>
            <w:shd w:val="clear" w:color="auto" w:fill="C0C0C0"/>
          </w:tcPr>
          <w:p>
            <w:pPr>
              <w:spacing w:after="0"/>
              <w:rPr>
                <w:sz w:val="20"/>
                <w:szCs w:val="20"/>
                <w:color w:val="auto"/>
              </w:rPr>
            </w:pPr>
            <w:r>
              <w:rPr>
                <w:rFonts w:ascii="Arial" w:cs="Arial" w:eastAsia="Arial" w:hAnsi="Arial"/>
                <w:sz w:val="18"/>
                <w:szCs w:val="18"/>
                <w:color w:val="auto"/>
              </w:rPr>
              <w:t>Industrial chemical</w:t>
            </w:r>
          </w:p>
        </w:tc>
        <w:tc>
          <w:tcPr>
            <w:tcW w:w="1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$62,266,618</w:t>
            </w:r>
          </w:p>
        </w:tc>
        <w:tc>
          <w:tcPr>
            <w:tcW w:w="1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$55,606,933</w:t>
            </w:r>
          </w:p>
        </w:tc>
      </w:tr>
      <w:tr>
        <w:trPr>
          <w:trHeight w:val="242"/>
        </w:trPr>
        <w:tc>
          <w:tcPr>
            <w:tcW w:w="6920" w:type="dxa"/>
            <w:vAlign w:val="bottom"/>
          </w:tcPr>
          <w:p>
            <w:pPr>
              <w:spacing w:after="0"/>
              <w:rPr>
                <w:sz w:val="20"/>
                <w:szCs w:val="20"/>
                <w:color w:val="auto"/>
              </w:rPr>
            </w:pPr>
            <w:r>
              <w:rPr>
                <w:rFonts w:ascii="Arial" w:cs="Arial" w:eastAsia="Arial" w:hAnsi="Arial"/>
                <w:sz w:val="18"/>
                <w:szCs w:val="18"/>
                <w:color w:val="auto"/>
              </w:rPr>
              <w:t>Non-industrial chemical</w:t>
            </w:r>
          </w:p>
        </w:tc>
        <w:tc>
          <w:tcPr>
            <w:tcW w:w="1540" w:type="dxa"/>
            <w:vAlign w:val="bottom"/>
          </w:tcPr>
          <w:p>
            <w:pPr>
              <w:jc w:val="right"/>
              <w:spacing w:after="0"/>
              <w:rPr>
                <w:sz w:val="20"/>
                <w:szCs w:val="20"/>
                <w:color w:val="auto"/>
              </w:rPr>
            </w:pPr>
            <w:r>
              <w:rPr>
                <w:rFonts w:ascii="Arial" w:cs="Arial" w:eastAsia="Arial" w:hAnsi="Arial"/>
                <w:sz w:val="18"/>
                <w:szCs w:val="18"/>
                <w:color w:val="auto"/>
              </w:rPr>
              <w:t>1,342,472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1,210,121</w:t>
            </w:r>
          </w:p>
        </w:tc>
      </w:tr>
      <w:tr>
        <w:trPr>
          <w:trHeight w:val="231"/>
        </w:trPr>
        <w:tc>
          <w:tcPr>
            <w:tcW w:w="6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Business consulting</w:t>
            </w:r>
          </w:p>
        </w:tc>
        <w:tc>
          <w:tcPr>
            <w:tcW w:w="1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tcBorders>
              <w:bottom w:val="single" w:sz="8" w:color="C0C0C0"/>
            </w:tcBorders>
            <w:shd w:val="clear" w:color="auto" w:fill="C0C0C0"/>
          </w:tcPr>
          <w:p>
            <w:pPr>
              <w:spacing w:after="0"/>
              <w:rPr>
                <w:sz w:val="20"/>
                <w:szCs w:val="20"/>
                <w:color w:val="auto"/>
              </w:rPr>
            </w:pPr>
          </w:p>
        </w:tc>
        <w:tc>
          <w:tcPr>
            <w:tcW w:w="1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350,000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$63,959,090</w:t>
            </w:r>
          </w:p>
        </w:tc>
        <w:tc>
          <w:tcPr>
            <w:tcW w:w="2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$57,167,054</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 had equity in income of corporate joint ventures and holding companies of $2,713,096 in fiscal 2006 compared to $1,968,777 in fiscal 2005. The increase in equity in income was due to the significant increase in profitability from the corporate joint ventures as a whole.</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based on the revenues of the individual corporate joint ventures. NTIC recognized fee income for such support of $4,695,124 in fiscal 2006 compared to $4,136,913 in fiscal 2005. The increase in fees for technical and other support to its corporate joint ventures was due to the significant increase in total net sales of the corporate joint ventures.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Fiscal</w:t>
            </w: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r>
      <w:tr>
        <w:trPr>
          <w:trHeight w:val="244"/>
        </w:trPr>
        <w:tc>
          <w:tcPr>
            <w:tcW w:w="736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36"/>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 of corporate joint ventures,</w:t>
            </w:r>
          </w:p>
        </w:tc>
        <w:tc>
          <w:tcPr>
            <w:tcW w:w="940" w:type="dxa"/>
            <w:vAlign w:val="bottom"/>
            <w:tcBorders>
              <w:top w:val="single" w:sz="8" w:color="auto"/>
            </w:tcBorders>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20" w:type="dxa"/>
            <w:vAlign w:val="bottom"/>
            <w:tcBorders>
              <w:top w:val="single" w:sz="8" w:color="auto"/>
            </w:tcBorders>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60" w:type="dxa"/>
            <w:vAlign w:val="bottom"/>
            <w:tcBorders>
              <w:top w:val="single" w:sz="8" w:color="auto"/>
            </w:tcBorders>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80" w:type="dxa"/>
            <w:vAlign w:val="bottom"/>
            <w:tcBorders>
              <w:top w:val="single" w:sz="8" w:color="auto"/>
            </w:tcBorders>
            <w:shd w:val="clear" w:color="auto" w:fill="C0C0C0"/>
          </w:tcPr>
          <w:p>
            <w:pPr>
              <w:spacing w:after="0"/>
              <w:rPr>
                <w:sz w:val="20"/>
                <w:szCs w:val="20"/>
                <w:color w:val="auto"/>
              </w:rPr>
            </w:pPr>
          </w:p>
        </w:tc>
      </w:tr>
      <w:tr>
        <w:trPr>
          <w:trHeight w:val="245"/>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excluding React-NTI LLC</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$63,959,090</w:t>
            </w:r>
          </w:p>
        </w:tc>
        <w:tc>
          <w:tcPr>
            <w:tcW w:w="220" w:type="dxa"/>
            <w:vAlign w:val="bottom"/>
            <w:shd w:val="clear" w:color="auto" w:fill="C0C0C0"/>
          </w:tcPr>
          <w:p>
            <w:pPr>
              <w:spacing w:after="0"/>
              <w:rPr>
                <w:sz w:val="21"/>
                <w:szCs w:val="21"/>
                <w:color w:val="auto"/>
              </w:rPr>
            </w:pP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89"/>
              </w:rPr>
              <w:t>$57,167,054</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3"/>
              </w:rPr>
              <w:t>$6,792,036</w:t>
            </w:r>
          </w:p>
        </w:tc>
        <w:tc>
          <w:tcPr>
            <w:tcW w:w="6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11.9%</w:t>
            </w:r>
          </w:p>
        </w:tc>
      </w:tr>
      <w:tr>
        <w:trPr>
          <w:trHeight w:val="241"/>
        </w:trPr>
        <w:tc>
          <w:tcPr>
            <w:tcW w:w="7360" w:type="dxa"/>
            <w:vAlign w:val="bottom"/>
          </w:tcPr>
          <w:p>
            <w:pPr>
              <w:spacing w:after="0"/>
              <w:rPr>
                <w:sz w:val="20"/>
                <w:szCs w:val="20"/>
                <w:color w:val="auto"/>
              </w:rPr>
            </w:pPr>
            <w:r>
              <w:rPr>
                <w:rFonts w:ascii="Arial" w:cs="Arial" w:eastAsia="Arial" w:hAnsi="Arial"/>
                <w:sz w:val="18"/>
                <w:szCs w:val="18"/>
                <w:color w:val="auto"/>
              </w:rPr>
              <w:t>NTIC’s fee income for technical and other</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4"/>
        </w:trPr>
        <w:tc>
          <w:tcPr>
            <w:tcW w:w="7360" w:type="dxa"/>
            <w:vAlign w:val="bottom"/>
          </w:tcPr>
          <w:p>
            <w:pPr>
              <w:spacing w:after="0"/>
              <w:rPr>
                <w:sz w:val="20"/>
                <w:szCs w:val="20"/>
                <w:color w:val="auto"/>
              </w:rPr>
            </w:pPr>
            <w:r>
              <w:rPr>
                <w:rFonts w:ascii="Arial" w:cs="Arial" w:eastAsia="Arial" w:hAnsi="Arial"/>
                <w:sz w:val="18"/>
                <w:szCs w:val="18"/>
                <w:color w:val="auto"/>
              </w:rPr>
              <w:t>support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$4,695,124</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$4,136,913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$558,211</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13.5%</w:t>
            </w:r>
          </w:p>
        </w:tc>
      </w:tr>
      <w:tr>
        <w:trPr>
          <w:trHeight w:val="242"/>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NTIC’s direct expenses incurred related to</w:t>
            </w:r>
          </w:p>
        </w:tc>
        <w:tc>
          <w:tcPr>
            <w:tcW w:w="9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45"/>
        </w:trPr>
        <w:tc>
          <w:tcPr>
            <w:tcW w:w="7360" w:type="dxa"/>
            <w:vAlign w:val="bottom"/>
            <w:shd w:val="clear" w:color="auto" w:fill="C0C0C0"/>
          </w:tcPr>
          <w:p>
            <w:pPr>
              <w:spacing w:after="0"/>
              <w:rPr>
                <w:sz w:val="20"/>
                <w:szCs w:val="20"/>
                <w:color w:val="auto"/>
              </w:rPr>
            </w:pPr>
            <w:r>
              <w:rPr>
                <w:rFonts w:ascii="Arial" w:cs="Arial" w:eastAsia="Arial" w:hAnsi="Arial"/>
                <w:sz w:val="18"/>
                <w:szCs w:val="18"/>
                <w:color w:val="auto"/>
              </w:rPr>
              <w:t>corporate joint ventures and holding companies</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$5,481,757</w:t>
            </w:r>
          </w:p>
        </w:tc>
        <w:tc>
          <w:tcPr>
            <w:tcW w:w="136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$4,977,375</w:t>
            </w:r>
          </w:p>
        </w:tc>
        <w:tc>
          <w:tcPr>
            <w:tcW w:w="10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$504,382</w:t>
            </w:r>
          </w:p>
        </w:tc>
        <w:tc>
          <w:tcPr>
            <w:tcW w:w="6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10.1%</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NTIC sponsors a worldwide corporate joint venture conference approximately every two to four years in which all of its corporate joint ventures are invited to participate. The most recent conference was in August 2005 and the next corporate joint venture conference is scheduled to be held in 2008. NTIC defers a portion of its technical and other support fees received from its corporate joint ventures in each accounting period leading up to the conference, reflecting that NTIC has not fully earned the payments received during that period. There was $96,000 of deferred income recorded within other accrued liabilities at August 31, 2006. The costs associated with these joint venture conferences are offset against the deferral as incurred, generally in the period in which the conference is held and immediately before.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$5,481,757 in fiscal 2006 compared to $4,977,375 in fiscal 2005. These expenses include: product and business development, consulting, travel, establishment of a reserve on a note receivable,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NTIC acquired certain rights. The increase in direct expenses incurred relating to NTIC’s corporate joint ventures and holding companies in fiscal 2006 compared to in fiscal 2005 was attributable to increases in (i) expenses related to the transfer of employees from the lab and technical support area to research and development associated with corporate joint venture support of $450,000 (ii) amortization expense of $81,000 and (iii) establishment of a reserve for a note receivable of $571,000. These increases were partially offset by decreases in (i) legal fees of $33,000, (ii) insurance expense of $128,000, (iii) travel expenses of $91,000, (iv) loan forgiveness of $96,000 and (v) consulting fees of $271,000. As a percentage of net sales, direct expenses incurred relating to NTIC’s corporate joint ventures and holding companies decreased in fiscal 2006 compared to in fiscal 2005, primarily as a result of the increase in net sales and changes in spending as described above.</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$34,251 in fiscal 2006 compared to $96,282 for fiscal 2005 primarily as a result of lower average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balances and fewer notes receivable in fiscal 2006.</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$94,751 in fiscal 2006 compared to $36,090 for fiscal 2005 as a result of higher average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NTIC’s revolving line of credit in fiscal 2006 compared to in fiscal 2005 and the entering into of a term note in May 2005 in connection with NTIC’s purchase of the real estate and building for its new corporate headquarters.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to $1,973,065 in fiscal 2006 compared to $1,209,281 in fiscal 2005.</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Income tax expense for fiscal 2006 and fiscal 2005 was calculated based on management’s estimate of NTIC’s annual effective income tax rate.</w:t>
      </w:r>
      <w:r>
        <w:rPr>
          <w:rFonts w:ascii="Arial" w:cs="Arial" w:eastAsia="Arial" w:hAnsi="Arial"/>
          <w:sz w:val="16"/>
          <w:szCs w:val="16"/>
          <w:i w:val="1"/>
          <w:iCs w:val="1"/>
          <w:color w:val="auto"/>
        </w:rPr>
        <w:t xml:space="preserve"> </w:t>
      </w:r>
      <w:r>
        <w:rPr>
          <w:rFonts w:ascii="Arial" w:cs="Arial" w:eastAsia="Arial" w:hAnsi="Arial"/>
          <w:sz w:val="16"/>
          <w:szCs w:val="16"/>
          <w:color w:val="auto"/>
        </w:rPr>
        <w:t>NTIC’s annual effective income tax rate for fiscal 2006 is lower than the statutory rate primarily due to NTIC’s equity in income of corporate joint ventures being recognized for book purposes based on NTIC’s share of after-tax earnings of these entities. For tax purposes, to the extent joint ventures’ undistributed earnings are distributed to NTIC, it is not expected to result in any material additional income tax liability after the application of foreign tax credits.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2007, NTIC’s working capital was $3,788,777, including $244,499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$2,221,334, including $299,117 in cash and cash equivalents, as of August 31, 2006.</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 has a revolving credit facility that expires on January 31, 2008 that it expects to renew. Outstanding amounts under the revolving credit facility bear interest at an annual rate based on LIBOR plus 2.25%. As of August 31, 2007, the interest rate was 7.97%. Amounts borrowed under the facility are collateralized by a lien on substantially all of NTIC’s assets, excluding its corporate joint venture interests, intellectual property rights and its Circle Pines headquarters.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w:t>
      </w:r>
    </w:p>
    <w:p>
      <w:pPr>
        <w:sectPr>
          <w:pgSz w:w="11900" w:h="16838" w:orient="portrait"/>
          <w:cols w:equalWidth="0" w:num="1">
            <w:col w:w="11420"/>
          </w:cols>
          <w:pgMar w:left="240" w:top="152" w:right="239" w:bottom="0" w:gutter="0" w:footer="0" w:header="0"/>
        </w:sectPr>
      </w:pPr>
    </w:p>
    <w:bookmarkStart w:id="18" w:name="page19"/>
    <w:bookmarkEnd w:id="18"/>
    <w:p>
      <w:pPr>
        <w:jc w:val="both"/>
        <w:spacing w:after="0" w:line="290" w:lineRule="auto"/>
        <w:rPr>
          <w:sz w:val="20"/>
          <w:szCs w:val="20"/>
          <w:color w:val="auto"/>
        </w:rPr>
      </w:pPr>
      <w:r>
        <w:rPr>
          <w:rFonts w:ascii="Arial" w:cs="Arial" w:eastAsia="Arial" w:hAnsi="Arial"/>
          <w:sz w:val="16"/>
          <w:szCs w:val="16"/>
          <w:color w:val="auto"/>
        </w:rPr>
        <w:t>consent. NTIC is in compliance with all covenants under the revolving credit facility.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NTIC; and a sale of material assets. If an event of default occurs and is continuing, the lender may, among other things, terminate its obligations thereunder and require NTIC to repay all amounts thereunder. As of August 31, 2007, there was no amount outstanding under the facility. However, subsequently, NTIC borrowed on the facility and had $484,000 in borrowings outstanding under the facility as of November 16, 2007. NTIC has the right to prepay the facility at any time without premium or penalty. The line of credit is subject to a borrowing base calculation and at August 31, 2007, NTIC had $1,500,000 available.</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NTIC believes that a combination of its existing cash and cash equivalents, funds available through existing or anticipated financing arrangements and forecasted cash flows, will continue to be adequate to fund its operations, capital expenditures, debt repayments and any stock repurchases for at least the next twelve months. In an effort to increase net sales, NTIC is in the process of expanding the application of its corrosion inhibiting technology into the oil and gas industry and its product line to include biodegradable and compostable plastics and machinery that converts waste plastics back into diesel, gasoline and mid-distillates. During fiscal 2008, NTIC expects to invest additional research and development and marketing efforts and resources into these new emerging businesses, product lines and markets. In order to take advantage of such new product and market opportunities to expand its business and increase its revenues, NTIC may decide to finance such opportunities by increasing borrowings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Cash flows used in operations during fiscal 2007 was $717,358, which resulted principally from equity income of corporate joint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decreases in accounts payable, increases in inventories, gain on sale of assets being offset by net income, depreciation and amortization expense, and decreases in trade receivables. Cash flows provided by operations during fiscal 2006 was $855,467, which resulted principally from net income after excluding the effect of depreciation and amortization expense and the write-off of a certain note receivable, as well as an increase in accrued liabilities and a decrease in inventories, all offset by equity income of corporate joint ventures, trade excluding corporate joint ventures and an increase in prepaid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investing activities during fiscal 2007 was $1,502,939, which resulted from proceeds from the sale of assets, cash received from loans and deposits and dividends received from corporate joint ventures, offset by additions to property and equipment and investments in joint ventures. NTIC received back its required deposit of $445,469 from the courts in Finland and replaced it with a standby letter of credit. Net cash used in investing activities during fiscal 2006 was $1,669,020, which resulted from additions to property and equipment and industrial patents, offset by dividends received from corporate joint ventures and cash received on loans.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cash used in financing activities during fiscal 2007 was $840,199, which resulted primarily from the repayments of the line of credit and bank overdrafts offset by the exercise of stock options. Net cash provided by financing activities during fiscal 2006 was $785,212, which resulted primarily from borrowings on a term loan, the exercise of stock options and bank overdrafts, offset by the payoff of the note payable and repayments on the line of credit.</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August 31, 2007,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NTIC recently moved its corporate headquarters.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$726,295.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ectPr>
          <w:pgSz w:w="11900" w:h="16838" w:orient="portrait"/>
          <w:cols w:equalWidth="0" w:num="1">
            <w:col w:w="11420"/>
          </w:cols>
          <w:pgMar w:left="240" w:top="131" w:right="239" w:bottom="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NTIC’s revolving credit facility bears interest at a rate based on LIBOR and thus may subject NTIC to some market risk on interest rates. There was no outstanding balance under this facility as of August 31,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NTIC’s consolidated financial statements for related party transaction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$13,602,842 and $10,772,102 as of August 31, 2007 and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the accounts of Northern Technologies International Corporation, its wholly owned subsidiaries, NTI Facilities, Inc. and Northern Technologies Holding Company, LLC, and its 75% owned subsidiary, React-NTI LLC. All significant intercompany transactions and balances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A deterioration in the financial condition of any key customer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$30,000 and $10,000 at August 31, 2007 and August 31,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ectPr>
          <w:pgSz w:w="11900" w:h="16838" w:orient="portrait"/>
          <w:cols w:equalWidth="0" w:num="1">
            <w:col w:w="11420"/>
          </w:cols>
          <w:pgMar w:left="240" w:top="131" w:right="239" w:bottom="0" w:gutter="0" w:footer="0" w:header="0"/>
          <w:type w:val="continuous"/>
        </w:sectPr>
      </w:pPr>
    </w:p>
    <w:bookmarkStart w:id="20" w:name="page21"/>
    <w:bookmarkEnd w:id="20"/>
    <w:p>
      <w:pPr>
        <w:jc w:val="both"/>
        <w:ind w:right="20"/>
        <w:spacing w:after="0" w:line="288"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 of FAS 123(R)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FAS 123(R). NTIC implemented FAS 123(R) on September 1, 2006, using the modified prospective transition method.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00" w:type="dxa"/>
            <w:vAlign w:val="bottom"/>
            <w:gridSpan w:val="2"/>
          </w:tcPr>
          <w:p>
            <w:pPr>
              <w:ind w:left="562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1540" w:type="dxa"/>
            <w:vAlign w:val="bottom"/>
            <w:tcBorders>
              <w:bottom w:val="single" w:sz="8" w:color="808080"/>
            </w:tcBorders>
          </w:tcPr>
          <w:p>
            <w:pPr>
              <w:spacing w:after="0"/>
              <w:rPr>
                <w:sz w:val="19"/>
                <w:szCs w:val="19"/>
                <w:color w:val="auto"/>
              </w:rPr>
            </w:pPr>
          </w:p>
        </w:tc>
        <w:tc>
          <w:tcPr>
            <w:tcW w:w="9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27"/>
        </w:trPr>
        <w:tc>
          <w:tcPr>
            <w:tcW w:w="10900" w:type="dxa"/>
            <w:vAlign w:val="bottom"/>
            <w:gridSpan w:val="2"/>
          </w:tcPr>
          <w:p>
            <w:pPr>
              <w:spacing w:after="0"/>
              <w:rPr>
                <w:sz w:val="20"/>
                <w:szCs w:val="20"/>
                <w:color w:val="auto"/>
              </w:rPr>
            </w:pPr>
            <w:r>
              <w:rPr>
                <w:rFonts w:ascii="Arial" w:cs="Arial" w:eastAsia="Arial" w:hAnsi="Arial"/>
                <w:sz w:val="18"/>
                <w:szCs w:val="18"/>
                <w:b w:val="1"/>
                <w:bCs w:val="1"/>
                <w:color w:val="auto"/>
              </w:rPr>
              <w:t>Item 7. FINANCIAL STATEMENTS.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540" w:type="dxa"/>
            <w:vAlign w:val="bottom"/>
          </w:tcPr>
          <w:p>
            <w:pPr>
              <w:spacing w:after="0"/>
              <w:rPr>
                <w:sz w:val="24"/>
                <w:szCs w:val="24"/>
                <w:color w:val="auto"/>
              </w:rPr>
            </w:pPr>
          </w:p>
        </w:tc>
        <w:tc>
          <w:tcPr>
            <w:tcW w:w="9360" w:type="dxa"/>
            <w:vAlign w:val="bottom"/>
          </w:tcPr>
          <w:p>
            <w:pPr>
              <w:ind w:left="1880"/>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The following items are included herein:</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0"/>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Financial Statements:</w:t>
            </w:r>
          </w:p>
        </w:tc>
        <w:tc>
          <w:tcPr>
            <w:tcW w:w="93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24"/>
                <w:szCs w:val="24"/>
                <w:color w:val="auto"/>
              </w:rPr>
            </w:pPr>
          </w:p>
        </w:tc>
      </w:tr>
      <w:tr>
        <w:trPr>
          <w:trHeight w:val="238"/>
        </w:trPr>
        <w:tc>
          <w:tcPr>
            <w:tcW w:w="109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6"/>
        </w:trPr>
        <w:tc>
          <w:tcPr>
            <w:tcW w:w="10900" w:type="dxa"/>
            <w:vAlign w:val="bottom"/>
            <w:gridSpan w:val="2"/>
          </w:tcPr>
          <w:p>
            <w:pPr>
              <w:spacing w:after="0"/>
              <w:rPr>
                <w:sz w:val="20"/>
                <w:szCs w:val="20"/>
                <w:color w:val="auto"/>
              </w:rPr>
            </w:pPr>
            <w:r>
              <w:rPr>
                <w:rFonts w:ascii="Arial" w:cs="Arial" w:eastAsia="Arial" w:hAnsi="Arial"/>
                <w:sz w:val="18"/>
                <w:szCs w:val="18"/>
                <w:color w:val="auto"/>
              </w:rPr>
              <w:t>Consolidated Balance Sheets as of August 31, 2007 and 2006</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109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Consolidated Statements of Income for the years ended August 31, 2007 and 2006</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41"/>
        </w:trPr>
        <w:tc>
          <w:tcPr>
            <w:tcW w:w="10900" w:type="dxa"/>
            <w:vAlign w:val="bottom"/>
            <w:gridSpan w:val="2"/>
          </w:tcPr>
          <w:p>
            <w:pPr>
              <w:spacing w:after="0"/>
              <w:rPr>
                <w:sz w:val="20"/>
                <w:szCs w:val="20"/>
                <w:color w:val="auto"/>
              </w:rPr>
            </w:pPr>
            <w:r>
              <w:rPr>
                <w:rFonts w:ascii="Arial" w:cs="Arial" w:eastAsia="Arial" w:hAnsi="Arial"/>
                <w:sz w:val="18"/>
                <w:szCs w:val="18"/>
                <w:color w:val="auto"/>
              </w:rPr>
              <w:t>Consolidated Statements of Stockholders’ Equity for the years ended August 31, 2007 and 2006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8"/>
        </w:trPr>
        <w:tc>
          <w:tcPr>
            <w:tcW w:w="109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Consolidated Statements of Cash Flows for the years ended August 31, 2007 and 2006</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22"/>
        </w:trPr>
        <w:tc>
          <w:tcPr>
            <w:tcW w:w="1090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43-58</w:t>
            </w:r>
          </w:p>
        </w:tc>
        <w:tc>
          <w:tcPr>
            <w:tcW w:w="20" w:type="dxa"/>
            <w:vAlign w:val="bottom"/>
          </w:tcPr>
          <w:p>
            <w:pPr>
              <w:spacing w:after="0"/>
              <w:rPr>
                <w:sz w:val="19"/>
                <w:szCs w:val="19"/>
                <w:color w:val="auto"/>
              </w:rPr>
            </w:pPr>
          </w:p>
        </w:tc>
      </w:tr>
      <w:tr>
        <w:trPr>
          <w:trHeight w:val="667"/>
        </w:trPr>
        <w:tc>
          <w:tcPr>
            <w:tcW w:w="10900" w:type="dxa"/>
            <w:vAlign w:val="bottom"/>
            <w:gridSpan w:val="2"/>
          </w:tcPr>
          <w:p>
            <w:pPr>
              <w:ind w:left="5620"/>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-2420620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-2420620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Audit Committee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audited the accompanying consolidated balance sheets of Northern Technologies International Corporation and Subsidiaries as of August 31, 2007 and 2006, and the related consolidated statements of income,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6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its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2007 and 2006 and the results of their operations and their cash flows for the years then ended,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Virchow, Krause &amp; Company,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November 15, 2007</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right="3980"/>
        <w:spacing w:after="0" w:line="264" w:lineRule="auto"/>
        <w:rPr>
          <w:sz w:val="20"/>
          <w:szCs w:val="20"/>
          <w:color w:val="auto"/>
        </w:rPr>
      </w:pPr>
      <w:r>
        <w:rPr>
          <w:rFonts w:ascii="Arial" w:cs="Arial" w:eastAsia="Arial" w:hAnsi="Arial"/>
          <w:sz w:val="24"/>
          <w:szCs w:val="24"/>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sectPr>
      </w:pPr>
    </w:p>
    <w:p>
      <w:pPr>
        <w:spacing w:after="0" w:line="266" w:lineRule="exact"/>
        <w:rPr>
          <w:sz w:val="20"/>
          <w:szCs w:val="20"/>
          <w:color w:val="auto"/>
        </w:rPr>
      </w:pPr>
    </w:p>
    <w:p>
      <w:pPr>
        <w:jc w:val="center"/>
        <w:ind w:left="9420"/>
        <w:spacing w:after="0"/>
        <w:rPr>
          <w:sz w:val="20"/>
          <w:szCs w:val="20"/>
          <w:color w:val="auto"/>
        </w:rPr>
      </w:pPr>
      <w:r>
        <w:rPr>
          <w:rFonts w:ascii="Arial" w:cs="Arial" w:eastAsia="Arial" w:hAnsi="Arial"/>
          <w:sz w:val="15"/>
          <w:szCs w:val="15"/>
          <w:b w:val="1"/>
          <w:bCs w:val="1"/>
          <w:color w:val="auto"/>
        </w:rPr>
        <w:t>August 31,</w:t>
      </w:r>
    </w:p>
    <w:p>
      <w:pPr>
        <w:spacing w:after="0" w:line="56" w:lineRule="exact"/>
        <w:rPr>
          <w:sz w:val="20"/>
          <w:szCs w:val="20"/>
          <w:color w:val="auto"/>
        </w:rPr>
      </w:pPr>
    </w:p>
    <w:p>
      <w:pPr>
        <w:jc w:val="center"/>
        <w:ind w:left="9420"/>
        <w:spacing w:after="0"/>
        <w:rPr>
          <w:sz w:val="20"/>
          <w:szCs w:val="20"/>
          <w:color w:val="auto"/>
        </w:rPr>
      </w:pP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6985</wp:posOffset>
            </wp:positionV>
            <wp:extent cx="5918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18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August 31,</w:t>
      </w:r>
    </w:p>
    <w:p>
      <w:pPr>
        <w:spacing w:after="0" w:line="5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5918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820" cy="2603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10220" w:space="340"/>
            <w:col w:w="880"/>
          </w:cols>
          <w:pgMar w:left="240" w:top="131" w:right="21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61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40"/>
          </w:cols>
          <w:pgMar w:left="240" w:top="131" w:right="219" w:bottom="0" w:gutter="0" w:footer="0" w:header="0"/>
          <w:type w:val="continuous"/>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$244,499</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$299,117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Trade excluding corporate joint ventures, less allowance for doubtful</w:t>
            </w:r>
          </w:p>
        </w:tc>
        <w:tc>
          <w:tcPr>
            <w:tcW w:w="9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shd w:val="clear" w:color="auto" w:fill="C0C0C0"/>
          </w:tcPr>
          <w:p>
            <w:pPr>
              <w:ind w:left="860"/>
              <w:spacing w:after="0"/>
              <w:rPr>
                <w:sz w:val="20"/>
                <w:szCs w:val="20"/>
                <w:color w:val="auto"/>
              </w:rPr>
            </w:pPr>
            <w:r>
              <w:rPr>
                <w:rFonts w:ascii="Arial" w:cs="Arial" w:eastAsia="Arial" w:hAnsi="Arial"/>
                <w:sz w:val="18"/>
                <w:szCs w:val="18"/>
                <w:color w:val="auto"/>
              </w:rPr>
              <w:t>accounts of $30,000 &amp; $10,000 at August 31, 2007 &amp; 2006, respectively</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1,622,420</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1,772,568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Trade corporate joint ventures</w:t>
            </w:r>
          </w:p>
        </w:tc>
        <w:tc>
          <w:tcPr>
            <w:tcW w:w="920" w:type="dxa"/>
            <w:vAlign w:val="bottom"/>
          </w:tcPr>
          <w:p>
            <w:pPr>
              <w:jc w:val="right"/>
              <w:spacing w:after="0"/>
              <w:rPr>
                <w:sz w:val="20"/>
                <w:szCs w:val="20"/>
                <w:color w:val="auto"/>
              </w:rPr>
            </w:pPr>
            <w:r>
              <w:rPr>
                <w:rFonts w:ascii="Arial" w:cs="Arial" w:eastAsia="Arial" w:hAnsi="Arial"/>
                <w:sz w:val="18"/>
                <w:szCs w:val="18"/>
                <w:color w:val="auto"/>
              </w:rPr>
              <w:t>642,518</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598,162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Technical and other services, corporate joint ventures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1,514,139</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1,357,754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29,755</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333,819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1,636,073</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1,377,953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184,407</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233,648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tcBorders>
              <w:bottom w:val="single" w:sz="8" w:color="C0C0C0"/>
            </w:tcBorders>
            <w:shd w:val="clear" w:color="auto" w:fill="C0C0C0"/>
          </w:tcPr>
          <w:p>
            <w:pPr>
              <w:ind w:left="42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562,000</w:t>
            </w:r>
          </w:p>
        </w:tc>
        <w:tc>
          <w:tcPr>
            <w:tcW w:w="200" w:type="dxa"/>
            <w:vAlign w:val="bottom"/>
            <w:tcBorders>
              <w:bottom w:val="single" w:sz="8" w:color="C0C0C0"/>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237,088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6,435,811</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3,792,461</w:t>
            </w:r>
          </w:p>
        </w:tc>
        <w:tc>
          <w:tcPr>
            <w:tcW w:w="200" w:type="dxa"/>
            <w:vAlign w:val="bottom"/>
            <w:tcBorders>
              <w:bottom w:val="single" w:sz="8" w:color="C0C0C0"/>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3,430,573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Investments in corporate joint ventures: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Industrial chemical</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13,180,576</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10,397,463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Industrial non-chemical</w:t>
            </w:r>
          </w:p>
        </w:tc>
        <w:tc>
          <w:tcPr>
            <w:tcW w:w="920" w:type="dxa"/>
            <w:vAlign w:val="bottom"/>
          </w:tcPr>
          <w:p>
            <w:pPr>
              <w:jc w:val="right"/>
              <w:spacing w:after="0"/>
              <w:rPr>
                <w:sz w:val="20"/>
                <w:szCs w:val="20"/>
                <w:color w:val="auto"/>
              </w:rPr>
            </w:pPr>
            <w:r>
              <w:rPr>
                <w:rFonts w:ascii="Arial" w:cs="Arial" w:eastAsia="Arial" w:hAnsi="Arial"/>
                <w:sz w:val="18"/>
                <w:szCs w:val="18"/>
                <w:color w:val="auto"/>
              </w:rPr>
              <w:t>422,266</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374,639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779,500</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628,197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Notes receivable and foreign deposit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497,179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Note from employee</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32,187</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Industrial patents and trademarks, net</w:t>
            </w:r>
          </w:p>
        </w:tc>
        <w:tc>
          <w:tcPr>
            <w:tcW w:w="920" w:type="dxa"/>
            <w:vAlign w:val="bottom"/>
          </w:tcPr>
          <w:p>
            <w:pPr>
              <w:jc w:val="right"/>
              <w:spacing w:after="0"/>
              <w:rPr>
                <w:sz w:val="20"/>
                <w:szCs w:val="20"/>
                <w:color w:val="auto"/>
              </w:rPr>
            </w:pPr>
            <w:r>
              <w:rPr>
                <w:rFonts w:ascii="Arial" w:cs="Arial" w:eastAsia="Arial" w:hAnsi="Arial"/>
                <w:sz w:val="18"/>
                <w:szCs w:val="18"/>
                <w:color w:val="auto"/>
              </w:rPr>
              <w:t>983,206</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996,592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Goodwill</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304,000</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366,749</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375,199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340" w:type="dxa"/>
            <w:vAlign w:val="bottom"/>
            <w:tcBorders>
              <w:bottom w:val="single" w:sz="8" w:color="C0C0C0"/>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16,068,484</w:t>
            </w:r>
          </w:p>
        </w:tc>
        <w:tc>
          <w:tcPr>
            <w:tcW w:w="200" w:type="dxa"/>
            <w:vAlign w:val="bottom"/>
            <w:tcBorders>
              <w:bottom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13,629,948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26,296,756</w:t>
            </w:r>
          </w:p>
        </w:tc>
        <w:tc>
          <w:tcPr>
            <w:tcW w:w="2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23,270,630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Bank overdrafts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Borrowings made on line of credit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Current portion of note payable</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29,319</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920" w:type="dxa"/>
            <w:vAlign w:val="bottom"/>
          </w:tcPr>
          <w:p>
            <w:pPr>
              <w:jc w:val="right"/>
              <w:spacing w:after="0"/>
              <w:rPr>
                <w:sz w:val="20"/>
                <w:szCs w:val="20"/>
                <w:color w:val="auto"/>
              </w:rPr>
            </w:pPr>
            <w:r>
              <w:rPr>
                <w:rFonts w:ascii="Arial" w:cs="Arial" w:eastAsia="Arial" w:hAnsi="Arial"/>
                <w:sz w:val="18"/>
                <w:szCs w:val="18"/>
                <w:color w:val="auto"/>
              </w:rPr>
              <w:t>1,337,443</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1,775,926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Payroll and related benefits</w:t>
            </w:r>
          </w:p>
        </w:tc>
        <w:tc>
          <w:tcPr>
            <w:tcW w:w="920" w:type="dxa"/>
            <w:vAlign w:val="bottom"/>
          </w:tcPr>
          <w:p>
            <w:pPr>
              <w:jc w:val="right"/>
              <w:spacing w:after="0"/>
              <w:rPr>
                <w:sz w:val="20"/>
                <w:szCs w:val="20"/>
                <w:color w:val="auto"/>
              </w:rPr>
            </w:pPr>
            <w:r>
              <w:rPr>
                <w:rFonts w:ascii="Arial" w:cs="Arial" w:eastAsia="Arial" w:hAnsi="Arial"/>
                <w:sz w:val="18"/>
                <w:szCs w:val="18"/>
                <w:color w:val="auto"/>
              </w:rPr>
              <w:t>1,025,858</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1,056,556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Deferred joint venture royalties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192,000</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62,414</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Borders>
              <w:bottom w:val="single" w:sz="8" w:color="C0C0C0"/>
            </w:tcBorders>
            <w:shd w:val="clear" w:color="auto" w:fill="C0C0C0"/>
          </w:tcPr>
          <w:p>
            <w:pPr>
              <w:ind w:left="860"/>
              <w:spacing w:after="0"/>
              <w:rPr>
                <w:sz w:val="20"/>
                <w:szCs w:val="20"/>
                <w:color w:val="auto"/>
              </w:rPr>
            </w:pPr>
            <w:r>
              <w:rPr>
                <w:rFonts w:ascii="Arial" w:cs="Arial" w:eastAsia="Arial" w:hAnsi="Arial"/>
                <w:sz w:val="18"/>
                <w:szCs w:val="18"/>
                <w:color w:val="auto"/>
              </w:rPr>
              <w:t>Total current liabilities</w:t>
            </w:r>
          </w:p>
        </w:tc>
        <w:tc>
          <w:tcPr>
            <w:tcW w:w="9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2,647,034</w:t>
            </w:r>
          </w:p>
        </w:tc>
        <w:tc>
          <w:tcPr>
            <w:tcW w:w="200" w:type="dxa"/>
            <w:vAlign w:val="bottom"/>
            <w:tcBorders>
              <w:bottom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3,988,775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8"/>
                <w:szCs w:val="18"/>
                <w:color w:val="auto"/>
              </w:rPr>
              <w:t>NOTE PAYABLE, NET OF CURRENT PORTION</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1,211,528</w:t>
            </w:r>
          </w:p>
        </w:tc>
        <w:tc>
          <w:tcPr>
            <w:tcW w:w="200" w:type="dxa"/>
            <w:vAlign w:val="bottom"/>
            <w:tcBorders>
              <w:bottom w:val="single" w:sz="8" w:color="C0C0C0"/>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1,240,848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36,133</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55,254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STOCKHOLDERS’ EQUITY:</w:t>
            </w:r>
          </w:p>
        </w:tc>
        <w:tc>
          <w:tcPr>
            <w:tcW w:w="9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Preferred stock, no par value; authorized 10,000 shares; none issued and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Common stock, $0.02 par value per share; authorized 10,000,000</w:t>
            </w:r>
          </w:p>
        </w:tc>
        <w:tc>
          <w:tcPr>
            <w:tcW w:w="9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3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shares; issued and outstanding 3,683,016 and 3,618,993, respectively</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73,660</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jc w:val="right"/>
              <w:spacing w:after="0"/>
              <w:rPr>
                <w:sz w:val="20"/>
                <w:szCs w:val="20"/>
                <w:color w:val="auto"/>
              </w:rPr>
            </w:pPr>
            <w:r>
              <w:rPr>
                <w:rFonts w:ascii="Arial" w:cs="Arial" w:eastAsia="Arial" w:hAnsi="Arial"/>
                <w:sz w:val="18"/>
                <w:szCs w:val="18"/>
                <w:color w:val="auto"/>
              </w:rPr>
              <w:t>4,755,146</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4,272,635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shd w:val="clear" w:color="auto" w:fill="C0C0C0"/>
          </w:tcPr>
          <w:p>
            <w:pPr>
              <w:ind w:left="420"/>
              <w:spacing w:after="0"/>
              <w:rPr>
                <w:sz w:val="20"/>
                <w:szCs w:val="20"/>
                <w:color w:val="auto"/>
              </w:rPr>
            </w:pPr>
            <w:r>
              <w:rPr>
                <w:rFonts w:ascii="Arial" w:cs="Arial" w:eastAsia="Arial" w:hAnsi="Arial"/>
                <w:sz w:val="18"/>
                <w:szCs w:val="18"/>
                <w:color w:val="auto"/>
              </w:rPr>
              <w:t>Retained earnings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16,118,982</w:t>
            </w: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12,895,574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1,454,273</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745,164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Borders>
              <w:bottom w:val="single" w:sz="8" w:color="C0C0C0"/>
            </w:tcBorders>
            <w:shd w:val="clear" w:color="auto" w:fill="C0C0C0"/>
          </w:tcPr>
          <w:p>
            <w:pPr>
              <w:ind w:left="86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22,402,061</w:t>
            </w:r>
          </w:p>
        </w:tc>
        <w:tc>
          <w:tcPr>
            <w:tcW w:w="200" w:type="dxa"/>
            <w:vAlign w:val="bottom"/>
            <w:tcBorders>
              <w:bottom w:val="single" w:sz="8" w:color="C0C0C0"/>
            </w:tcBorders>
            <w:shd w:val="clear" w:color="auto" w:fill="C0C0C0"/>
          </w:tcPr>
          <w:p>
            <w:pPr>
              <w:spacing w:after="0"/>
              <w:rPr>
                <w:sz w:val="20"/>
                <w:szCs w:val="20"/>
                <w:color w:val="auto"/>
              </w:rPr>
            </w:pPr>
          </w:p>
        </w:tc>
        <w:tc>
          <w:tcPr>
            <w:tcW w:w="9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17,985,753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26,296,756</w:t>
            </w:r>
          </w:p>
        </w:tc>
        <w:tc>
          <w:tcPr>
            <w:tcW w:w="2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23,270,630</w:t>
            </w:r>
          </w:p>
        </w:tc>
        <w:tc>
          <w:tcPr>
            <w:tcW w:w="0" w:type="dxa"/>
            <w:vAlign w:val="bottom"/>
          </w:tcPr>
          <w:p>
            <w:pPr>
              <w:spacing w:after="0"/>
              <w:rPr>
                <w:sz w:val="1"/>
                <w:szCs w:val="1"/>
                <w:color w:val="auto"/>
              </w:rPr>
            </w:pPr>
          </w:p>
        </w:tc>
      </w:tr>
      <w:tr>
        <w:trPr>
          <w:trHeight w:val="673"/>
        </w:trPr>
        <w:tc>
          <w:tcPr>
            <w:tcW w:w="936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2"/>
          </w:tcPr>
          <w:p>
            <w:pPr>
              <w:jc w:val="right"/>
              <w:ind w:right="3472"/>
              <w:spacing w:after="0"/>
              <w:rPr>
                <w:sz w:val="20"/>
                <w:szCs w:val="20"/>
                <w:color w:val="auto"/>
              </w:rPr>
            </w:pPr>
            <w:r>
              <w:rPr>
                <w:rFonts w:ascii="Arial" w:cs="Arial" w:eastAsia="Arial" w:hAnsi="Arial"/>
                <w:sz w:val="18"/>
                <w:szCs w:val="18"/>
                <w:color w:val="auto"/>
              </w:rPr>
              <w:t>39</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9" w:lineRule="exact"/>
        <w:rPr>
          <w:sz w:val="20"/>
          <w:szCs w:val="20"/>
          <w:color w:val="auto"/>
        </w:rPr>
      </w:pPr>
    </w:p>
    <w:p>
      <w:pPr>
        <w:ind w:right="3980"/>
        <w:spacing w:after="0" w:line="264" w:lineRule="auto"/>
        <w:rPr>
          <w:sz w:val="20"/>
          <w:szCs w:val="20"/>
          <w:color w:val="auto"/>
        </w:rPr>
      </w:pPr>
      <w:r>
        <w:rPr>
          <w:rFonts w:ascii="Arial" w:cs="Arial" w:eastAsia="Arial" w:hAnsi="Arial"/>
          <w:sz w:val="24"/>
          <w:szCs w:val="24"/>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40" w:type="dxa"/>
            <w:vAlign w:val="bottom"/>
          </w:tcPr>
          <w:p>
            <w:pPr>
              <w:spacing w:after="0"/>
              <w:rPr>
                <w:sz w:val="22"/>
                <w:szCs w:val="22"/>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2007</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2006</w:t>
            </w: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NORTH AMERICAN OPERATIONS:</w:t>
            </w:r>
          </w:p>
        </w:tc>
        <w:tc>
          <w:tcPr>
            <w:tcW w:w="980" w:type="dxa"/>
            <w:vAlign w:val="bottom"/>
            <w:tcBorders>
              <w:top w:val="single" w:sz="8" w:color="auto"/>
            </w:tcBorders>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r>
      <w:tr>
        <w:trPr>
          <w:trHeight w:val="235"/>
        </w:trPr>
        <w:tc>
          <w:tcPr>
            <w:tcW w:w="924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85"/>
              </w:rPr>
              <w:t>$16,829,030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$16,604,964</w:t>
            </w:r>
          </w:p>
        </w:tc>
      </w:tr>
      <w:tr>
        <w:trPr>
          <w:trHeight w:val="105"/>
        </w:trPr>
        <w:tc>
          <w:tcPr>
            <w:tcW w:w="9240" w:type="dxa"/>
            <w:vAlign w:val="bottom"/>
            <w:shd w:val="clear" w:color="auto" w:fill="C0C0C0"/>
          </w:tcPr>
          <w:p>
            <w:pPr>
              <w:spacing w:after="0"/>
              <w:rPr>
                <w:sz w:val="9"/>
                <w:szCs w:val="9"/>
                <w:color w:val="auto"/>
              </w:rPr>
            </w:pPr>
          </w:p>
        </w:tc>
        <w:tc>
          <w:tcPr>
            <w:tcW w:w="980" w:type="dxa"/>
            <w:vAlign w:val="bottom"/>
            <w:shd w:val="clear" w:color="auto" w:fill="C0C0C0"/>
          </w:tcPr>
          <w:p>
            <w:pPr>
              <w:spacing w:after="0"/>
              <w:rPr>
                <w:sz w:val="9"/>
                <w:szCs w:val="9"/>
                <w:color w:val="auto"/>
              </w:rPr>
            </w:pPr>
          </w:p>
        </w:tc>
        <w:tc>
          <w:tcPr>
            <w:tcW w:w="220" w:type="dxa"/>
            <w:vAlign w:val="bottom"/>
            <w:shd w:val="clear" w:color="auto" w:fill="C0C0C0"/>
          </w:tcPr>
          <w:p>
            <w:pPr>
              <w:spacing w:after="0"/>
              <w:rPr>
                <w:sz w:val="9"/>
                <w:szCs w:val="9"/>
                <w:color w:val="auto"/>
              </w:rPr>
            </w:pPr>
          </w:p>
        </w:tc>
        <w:tc>
          <w:tcPr>
            <w:tcW w:w="980" w:type="dxa"/>
            <w:vAlign w:val="bottom"/>
            <w:shd w:val="clear" w:color="auto" w:fill="C0C0C0"/>
          </w:tcPr>
          <w:p>
            <w:pPr>
              <w:spacing w:after="0"/>
              <w:rPr>
                <w:sz w:val="9"/>
                <w:szCs w:val="9"/>
                <w:color w:val="auto"/>
              </w:rPr>
            </w:pPr>
          </w:p>
        </w:tc>
      </w:tr>
    </w:tbl>
    <w:p>
      <w:pPr>
        <w:sectPr>
          <w:pgSz w:w="11900" w:h="16900" w:orient="portrait"/>
          <w:cols w:equalWidth="0" w:num="1">
            <w:col w:w="11440"/>
          </w:cols>
          <w:pgMar w:left="240" w:top="140" w:right="219" w:bottom="0" w:gutter="0" w:footer="0" w:header="0"/>
        </w:sectPr>
      </w:pPr>
    </w:p>
    <w:bookmarkStart w:id="22" w:name="page23"/>
    <w:bookmarkEnd w:id="2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5"/>
              </w:rPr>
              <w:t>10,799,180</w:t>
            </w:r>
          </w:p>
        </w:tc>
        <w:tc>
          <w:tcPr>
            <w:tcW w:w="220" w:type="dxa"/>
            <w:vAlign w:val="bottom"/>
            <w:tcBorders>
              <w:bottom w:val="single" w:sz="8" w:color="C0C0C0"/>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5"/>
              </w:rPr>
              <w:t>10,346,437</w:t>
            </w:r>
          </w:p>
        </w:tc>
      </w:tr>
      <w:tr>
        <w:trPr>
          <w:trHeight w:val="221"/>
        </w:trPr>
        <w:tc>
          <w:tcPr>
            <w:tcW w:w="92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6,029,850</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6,258,527</w:t>
            </w:r>
          </w:p>
        </w:tc>
      </w:tr>
      <w:tr>
        <w:trPr>
          <w:trHeight w:val="259"/>
        </w:trPr>
        <w:tc>
          <w:tcPr>
            <w:tcW w:w="9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35"/>
        </w:trPr>
        <w:tc>
          <w:tcPr>
            <w:tcW w:w="9240" w:type="dxa"/>
            <w:vAlign w:val="bottom"/>
          </w:tcPr>
          <w:p>
            <w:pPr>
              <w:ind w:left="440"/>
              <w:spacing w:after="0"/>
              <w:rPr>
                <w:sz w:val="20"/>
                <w:szCs w:val="20"/>
                <w:color w:val="auto"/>
              </w:rPr>
            </w:pPr>
            <w:r>
              <w:rPr>
                <w:rFonts w:ascii="Arial" w:cs="Arial" w:eastAsia="Arial" w:hAnsi="Arial"/>
                <w:sz w:val="18"/>
                <w:szCs w:val="18"/>
                <w:color w:val="auto"/>
              </w:rPr>
              <w:t>Selling</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3,214,170</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3,075,072</w:t>
            </w:r>
          </w:p>
        </w:tc>
      </w:tr>
      <w:tr>
        <w:trPr>
          <w:trHeight w:val="251"/>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3,083,314</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2,795,194</w:t>
            </w: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Lab and technical support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229,988</w:t>
            </w:r>
          </w:p>
        </w:tc>
        <w:tc>
          <w:tcPr>
            <w:tcW w:w="220" w:type="dxa"/>
            <w:vAlign w:val="bottom"/>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296,676</w:t>
            </w:r>
          </w:p>
        </w:tc>
      </w:tr>
      <w:tr>
        <w:trPr>
          <w:trHeight w:val="238"/>
        </w:trPr>
        <w:tc>
          <w:tcPr>
            <w:tcW w:w="9240" w:type="dxa"/>
            <w:vAlign w:val="bottom"/>
            <w:shd w:val="clear" w:color="auto" w:fill="C0C0C0"/>
          </w:tcPr>
          <w:p>
            <w:pPr>
              <w:spacing w:after="0"/>
              <w:rPr>
                <w:sz w:val="20"/>
                <w:szCs w:val="20"/>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6,527,472</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6,166,942</w:t>
            </w:r>
          </w:p>
        </w:tc>
      </w:tr>
      <w:tr>
        <w:trPr>
          <w:trHeight w:val="243"/>
        </w:trPr>
        <w:tc>
          <w:tcPr>
            <w:tcW w:w="9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r>
      <w:tr>
        <w:trPr>
          <w:trHeight w:val="243"/>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NORTH AMERICAN OPERATING (LOSS) INCOME</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(497,622)</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91,585</w:t>
            </w:r>
          </w:p>
        </w:tc>
      </w:tr>
      <w:tr>
        <w:trPr>
          <w:trHeight w:val="243"/>
        </w:trPr>
        <w:tc>
          <w:tcPr>
            <w:tcW w:w="9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8"/>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CORPORATE JOINT VENTURES AND</w:t>
            </w:r>
          </w:p>
        </w:tc>
        <w:tc>
          <w:tcPr>
            <w:tcW w:w="9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r>
      <w:tr>
        <w:trPr>
          <w:trHeight w:val="259"/>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HOLDING COMPANIES:</w:t>
            </w:r>
          </w:p>
        </w:tc>
        <w:tc>
          <w:tcPr>
            <w:tcW w:w="9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r>
      <w:tr>
        <w:trPr>
          <w:trHeight w:val="228"/>
        </w:trPr>
        <w:tc>
          <w:tcPr>
            <w:tcW w:w="9240" w:type="dxa"/>
            <w:vAlign w:val="bottom"/>
          </w:tcPr>
          <w:p>
            <w:pPr>
              <w:ind w:left="440"/>
              <w:spacing w:after="0"/>
              <w:rPr>
                <w:sz w:val="20"/>
                <w:szCs w:val="20"/>
                <w:color w:val="auto"/>
              </w:rPr>
            </w:pPr>
            <w:r>
              <w:rPr>
                <w:rFonts w:ascii="Arial" w:cs="Arial" w:eastAsia="Arial" w:hAnsi="Arial"/>
                <w:sz w:val="18"/>
                <w:szCs w:val="18"/>
                <w:color w:val="auto"/>
              </w:rPr>
              <w:t>Equity in income of industrial chemical corporate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1"/>
        </w:trPr>
        <w:tc>
          <w:tcPr>
            <w:tcW w:w="9240" w:type="dxa"/>
            <w:vAlign w:val="bottom"/>
          </w:tcPr>
          <w:p>
            <w:pPr>
              <w:ind w:left="660"/>
              <w:spacing w:after="0"/>
              <w:rPr>
                <w:sz w:val="20"/>
                <w:szCs w:val="20"/>
                <w:color w:val="auto"/>
              </w:rPr>
            </w:pPr>
            <w:r>
              <w:rPr>
                <w:rFonts w:ascii="Arial" w:cs="Arial" w:eastAsia="Arial" w:hAnsi="Arial"/>
                <w:sz w:val="18"/>
                <w:szCs w:val="18"/>
                <w:color w:val="auto"/>
              </w:rPr>
              <w:t>joint ventures and holding companies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3,100,895</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2,678,901</w:t>
            </w:r>
          </w:p>
        </w:tc>
      </w:tr>
      <w:tr>
        <w:trPr>
          <w:trHeight w:val="235"/>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Equity in income of industrial non-chemical</w:t>
            </w:r>
          </w:p>
        </w:tc>
        <w:tc>
          <w:tcPr>
            <w:tcW w:w="9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r>
      <w:tr>
        <w:trPr>
          <w:trHeight w:val="259"/>
        </w:trPr>
        <w:tc>
          <w:tcPr>
            <w:tcW w:w="9240" w:type="dxa"/>
            <w:vAlign w:val="bottom"/>
            <w:shd w:val="clear" w:color="auto" w:fill="C0C0C0"/>
          </w:tcPr>
          <w:p>
            <w:pPr>
              <w:ind w:left="660"/>
              <w:spacing w:after="0"/>
              <w:rPr>
                <w:sz w:val="20"/>
                <w:szCs w:val="20"/>
                <w:color w:val="auto"/>
              </w:rPr>
            </w:pPr>
            <w:r>
              <w:rPr>
                <w:rFonts w:ascii="Arial" w:cs="Arial" w:eastAsia="Arial" w:hAnsi="Arial"/>
                <w:sz w:val="18"/>
                <w:szCs w:val="18"/>
                <w:color w:val="auto"/>
              </w:rPr>
              <w:t>corporate joint ventures and holding companies</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100,726</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34,195</w:t>
            </w:r>
          </w:p>
        </w:tc>
      </w:tr>
      <w:tr>
        <w:trPr>
          <w:trHeight w:val="228"/>
        </w:trPr>
        <w:tc>
          <w:tcPr>
            <w:tcW w:w="9240" w:type="dxa"/>
            <w:vAlign w:val="bottom"/>
          </w:tcPr>
          <w:p>
            <w:pPr>
              <w:ind w:left="440"/>
              <w:spacing w:after="0"/>
              <w:rPr>
                <w:sz w:val="20"/>
                <w:szCs w:val="20"/>
                <w:color w:val="auto"/>
              </w:rPr>
            </w:pPr>
            <w:r>
              <w:rPr>
                <w:rFonts w:ascii="Arial" w:cs="Arial" w:eastAsia="Arial" w:hAnsi="Arial"/>
                <w:sz w:val="18"/>
                <w:szCs w:val="18"/>
                <w:color w:val="auto"/>
              </w:rPr>
              <w:t>Fees for technical support and other services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1"/>
        </w:trPr>
        <w:tc>
          <w:tcPr>
            <w:tcW w:w="9240" w:type="dxa"/>
            <w:vAlign w:val="bottom"/>
          </w:tcPr>
          <w:p>
            <w:pPr>
              <w:ind w:left="660"/>
              <w:spacing w:after="0"/>
              <w:rPr>
                <w:sz w:val="20"/>
                <w:szCs w:val="20"/>
                <w:color w:val="auto"/>
              </w:rPr>
            </w:pPr>
            <w:r>
              <w:rPr>
                <w:rFonts w:ascii="Arial" w:cs="Arial" w:eastAsia="Arial" w:hAnsi="Arial"/>
                <w:sz w:val="18"/>
                <w:szCs w:val="18"/>
                <w:color w:val="auto"/>
              </w:rPr>
              <w:t>provided to corporate joint ventures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4,976,194</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4,695,124</w:t>
            </w:r>
          </w:p>
        </w:tc>
      </w:tr>
      <w:tr>
        <w:trPr>
          <w:trHeight w:val="235"/>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Expenses incurred in support of corporate</w:t>
            </w:r>
          </w:p>
        </w:tc>
        <w:tc>
          <w:tcPr>
            <w:tcW w:w="9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r>
      <w:tr>
        <w:trPr>
          <w:trHeight w:val="258"/>
        </w:trPr>
        <w:tc>
          <w:tcPr>
            <w:tcW w:w="9240" w:type="dxa"/>
            <w:vAlign w:val="bottom"/>
            <w:shd w:val="clear" w:color="auto" w:fill="C0C0C0"/>
          </w:tcPr>
          <w:p>
            <w:pPr>
              <w:ind w:left="660"/>
              <w:spacing w:after="0"/>
              <w:rPr>
                <w:sz w:val="20"/>
                <w:szCs w:val="20"/>
                <w:color w:val="auto"/>
              </w:rPr>
            </w:pPr>
            <w:r>
              <w:rPr>
                <w:rFonts w:ascii="Arial" w:cs="Arial" w:eastAsia="Arial" w:hAnsi="Arial"/>
                <w:sz w:val="18"/>
                <w:szCs w:val="18"/>
                <w:color w:val="auto"/>
              </w:rPr>
              <w:t>joint ventures</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(4,876,928)</w:t>
            </w:r>
          </w:p>
        </w:tc>
        <w:tc>
          <w:tcPr>
            <w:tcW w:w="1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(5,481,757)</w:t>
            </w:r>
          </w:p>
        </w:tc>
      </w:tr>
      <w:tr>
        <w:trPr>
          <w:trHeight w:val="238"/>
        </w:trPr>
        <w:tc>
          <w:tcPr>
            <w:tcW w:w="9240" w:type="dxa"/>
            <w:vAlign w:val="bottom"/>
            <w:tcBorders>
              <w:top w:val="single" w:sz="8" w:color="C0C0C0"/>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Borders>
              <w:top w:val="single" w:sz="8" w:color="C0C0C0"/>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28"/>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INCOME FROM ALL CORPORATE JOINT</w:t>
            </w:r>
          </w:p>
        </w:tc>
        <w:tc>
          <w:tcPr>
            <w:tcW w:w="9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980" w:type="dxa"/>
            <w:vAlign w:val="bottom"/>
            <w:shd w:val="clear" w:color="auto" w:fill="C0C0C0"/>
          </w:tcPr>
          <w:p>
            <w:pPr>
              <w:spacing w:after="0"/>
              <w:rPr>
                <w:sz w:val="19"/>
                <w:szCs w:val="19"/>
                <w:color w:val="auto"/>
              </w:rPr>
            </w:pPr>
          </w:p>
        </w:tc>
      </w:tr>
      <w:tr>
        <w:trPr>
          <w:trHeight w:val="259"/>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VENTURES AND HOLDING COMPANIES</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3,300,887</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1,926,463</w:t>
            </w:r>
          </w:p>
        </w:tc>
      </w:tr>
      <w:tr>
        <w:trPr>
          <w:trHeight w:val="243"/>
        </w:trPr>
        <w:tc>
          <w:tcPr>
            <w:tcW w:w="9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4,165</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34,251</w:t>
            </w: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(164,372)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(94,751)</w:t>
            </w:r>
          </w:p>
        </w:tc>
      </w:tr>
      <w:tr>
        <w:trPr>
          <w:trHeight w:val="251"/>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OTHER INCOME</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20,934</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3,233</w:t>
            </w: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726,295</w:t>
            </w:r>
          </w:p>
        </w:tc>
        <w:tc>
          <w:tcPr>
            <w:tcW w:w="12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92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MINORITY INTEREST</w:t>
            </w: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19,121</w:t>
            </w:r>
          </w:p>
        </w:tc>
        <w:tc>
          <w:tcPr>
            <w:tcW w:w="220" w:type="dxa"/>
            <w:vAlign w:val="bottom"/>
            <w:tcBorders>
              <w:bottom w:val="single" w:sz="8" w:color="C0C0C0"/>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12,284</w:t>
            </w:r>
          </w:p>
        </w:tc>
      </w:tr>
      <w:tr>
        <w:trPr>
          <w:trHeight w:val="238"/>
        </w:trPr>
        <w:tc>
          <w:tcPr>
            <w:tcW w:w="9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INCOME BEFORE INCOME TAX EXPENSE</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3,409,408</w:t>
            </w:r>
          </w:p>
        </w:tc>
        <w:tc>
          <w:tcPr>
            <w:tcW w:w="12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1,973,065</w:t>
            </w:r>
          </w:p>
        </w:tc>
      </w:tr>
      <w:tr>
        <w:trPr>
          <w:trHeight w:val="243"/>
        </w:trPr>
        <w:tc>
          <w:tcPr>
            <w:tcW w:w="9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r>
      <w:tr>
        <w:trPr>
          <w:trHeight w:val="242"/>
        </w:trPr>
        <w:tc>
          <w:tcPr>
            <w:tcW w:w="92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186,000</w:t>
            </w:r>
          </w:p>
        </w:tc>
        <w:tc>
          <w:tcPr>
            <w:tcW w:w="220" w:type="dxa"/>
            <w:vAlign w:val="bottom"/>
            <w:tcBorders>
              <w:bottom w:val="single" w:sz="8" w:color="C0C0C0"/>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254,000</w:t>
            </w:r>
          </w:p>
        </w:tc>
      </w:tr>
      <w:tr>
        <w:trPr>
          <w:trHeight w:val="238"/>
        </w:trPr>
        <w:tc>
          <w:tcPr>
            <w:tcW w:w="9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r>
      <w:tr>
        <w:trPr>
          <w:trHeight w:val="264"/>
        </w:trPr>
        <w:tc>
          <w:tcPr>
            <w:tcW w:w="92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5"/>
              </w:rPr>
              <w:t>$3,223,408</w:t>
            </w:r>
          </w:p>
        </w:tc>
        <w:tc>
          <w:tcPr>
            <w:tcW w:w="220" w:type="dxa"/>
            <w:vAlign w:val="bottom"/>
            <w:tcBorders>
              <w:bottom w:val="single" w:sz="8" w:color="C0C0C0"/>
            </w:tcBorders>
            <w:shd w:val="clear" w:color="auto" w:fill="C0C0C0"/>
          </w:tcPr>
          <w:p>
            <w:pPr>
              <w:spacing w:after="0"/>
              <w:rPr>
                <w:sz w:val="22"/>
                <w:szCs w:val="22"/>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5"/>
              </w:rPr>
              <w:t>$1,719,065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ASSUMED OUTSTANDING:</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right"/>
        <w:ind w:right="100"/>
        <w:spacing w:after="0"/>
        <w:tabs>
          <w:tab w:leader="none" w:pos="380" w:val="left"/>
        </w:tabs>
        <w:rPr>
          <w:sz w:val="20"/>
          <w:szCs w:val="20"/>
          <w:color w:val="auto"/>
        </w:rPr>
      </w:pPr>
      <w:r>
        <w:rPr>
          <w:rFonts w:ascii="Arial" w:cs="Arial" w:eastAsia="Arial" w:hAnsi="Arial"/>
          <w:sz w:val="18"/>
          <w:szCs w:val="18"/>
          <w:color w:val="auto"/>
        </w:rPr>
        <w:t>$0.88</w:t>
      </w:r>
      <w:r>
        <w:rPr>
          <w:sz w:val="20"/>
          <w:szCs w:val="20"/>
          <w:color w:val="auto"/>
        </w:rPr>
        <w:tab/>
      </w:r>
      <w:r>
        <w:rPr>
          <w:rFonts w:ascii="Arial" w:cs="Arial" w:eastAsia="Arial" w:hAnsi="Arial"/>
          <w:sz w:val="15"/>
          <w:szCs w:val="15"/>
          <w:color w:val="auto"/>
        </w:rPr>
        <w:t>$0.48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19685</wp:posOffset>
            </wp:positionV>
            <wp:extent cx="138938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9380" cy="26035"/>
                    </a:xfrm>
                    <a:prstGeom prst="rect">
                      <a:avLst/>
                    </a:prstGeom>
                    <a:noFill/>
                  </pic:spPr>
                </pic:pic>
              </a:graphicData>
            </a:graphic>
          </wp:anchor>
        </w:drawing>
      </w:r>
    </w:p>
    <w:p>
      <w:pPr>
        <w:spacing w:after="0" w:line="57" w:lineRule="exact"/>
        <w:rPr>
          <w:sz w:val="20"/>
          <w:szCs w:val="20"/>
          <w:color w:val="auto"/>
        </w:rPr>
      </w:pPr>
    </w:p>
    <w:p>
      <w:pPr>
        <w:jc w:val="right"/>
        <w:ind w:right="100"/>
        <w:spacing w:after="0"/>
        <w:tabs>
          <w:tab w:leader="none" w:pos="380" w:val="left"/>
        </w:tabs>
        <w:rPr>
          <w:sz w:val="20"/>
          <w:szCs w:val="20"/>
          <w:color w:val="auto"/>
        </w:rPr>
      </w:pPr>
      <w:r>
        <w:rPr>
          <w:rFonts w:ascii="Arial" w:cs="Arial" w:eastAsia="Arial" w:hAnsi="Arial"/>
          <w:sz w:val="18"/>
          <w:szCs w:val="18"/>
          <w:color w:val="auto"/>
        </w:rPr>
        <w:t>$0.87</w:t>
      </w:r>
      <w:r>
        <w:rPr>
          <w:sz w:val="20"/>
          <w:szCs w:val="20"/>
          <w:color w:val="auto"/>
        </w:rPr>
        <w:tab/>
      </w:r>
      <w:r>
        <w:rPr>
          <w:rFonts w:ascii="Arial" w:cs="Arial" w:eastAsia="Arial" w:hAnsi="Arial"/>
          <w:sz w:val="15"/>
          <w:szCs w:val="15"/>
          <w:color w:val="auto"/>
        </w:rPr>
        <w:t>$0.47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3,661,824</w:t>
      </w:r>
      <w:r>
        <w:rPr>
          <w:sz w:val="20"/>
          <w:szCs w:val="20"/>
          <w:color w:val="auto"/>
        </w:rPr>
        <w:tab/>
      </w:r>
      <w:r>
        <w:rPr>
          <w:rFonts w:ascii="Arial" w:cs="Arial" w:eastAsia="Arial" w:hAnsi="Arial"/>
          <w:sz w:val="16"/>
          <w:szCs w:val="16"/>
          <w:color w:val="auto"/>
        </w:rPr>
        <w:t>3,603,340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138938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9380" cy="26035"/>
                    </a:xfrm>
                    <a:prstGeom prst="rect">
                      <a:avLst/>
                    </a:prstGeom>
                    <a:noFill/>
                  </pic:spPr>
                </pic:pic>
              </a:graphicData>
            </a:graphic>
          </wp:anchor>
        </w:drawing>
      </w:r>
    </w:p>
    <w:p>
      <w:pPr>
        <w:spacing w:after="0" w:line="80"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3,695,166</w:t>
      </w:r>
      <w:r>
        <w:rPr>
          <w:sz w:val="20"/>
          <w:szCs w:val="20"/>
          <w:color w:val="auto"/>
        </w:rPr>
        <w:tab/>
      </w:r>
      <w:r>
        <w:rPr>
          <w:rFonts w:ascii="Arial" w:cs="Arial" w:eastAsia="Arial" w:hAnsi="Arial"/>
          <w:sz w:val="16"/>
          <w:szCs w:val="16"/>
          <w:color w:val="auto"/>
        </w:rPr>
        <w:t>3,630,677</w:t>
      </w:r>
    </w:p>
    <w:p>
      <w:pPr>
        <w:spacing w:after="0" w:line="1384" w:lineRule="exact"/>
        <w:rPr>
          <w:sz w:val="20"/>
          <w:szCs w:val="20"/>
          <w:color w:val="auto"/>
        </w:rPr>
      </w:pPr>
    </w:p>
    <w:p>
      <w:pPr>
        <w:sectPr>
          <w:pgSz w:w="11900" w:h="16900" w:orient="portrait"/>
          <w:cols w:equalWidth="0" w:num="2">
            <w:col w:w="8680" w:space="720"/>
            <w:col w:w="2020"/>
          </w:cols>
          <w:pgMar w:left="240" w:top="140" w:right="239" w:bottom="0" w:gutter="0" w:footer="0" w:header="0"/>
          <w:type w:val="continuous"/>
        </w:sectPr>
      </w:pPr>
    </w:p>
    <w:p>
      <w:pPr>
        <w:spacing w:after="0" w:line="383" w:lineRule="exact"/>
        <w:rPr>
          <w:sz w:val="20"/>
          <w:szCs w:val="20"/>
          <w:color w:val="auto"/>
        </w:rPr>
      </w:pPr>
    </w:p>
    <w:p>
      <w:pPr>
        <w:ind w:right="3960"/>
        <w:spacing w:after="0" w:line="264" w:lineRule="auto"/>
        <w:rPr>
          <w:sz w:val="20"/>
          <w:szCs w:val="20"/>
          <w:color w:val="auto"/>
        </w:rPr>
      </w:pPr>
      <w:r>
        <w:rPr>
          <w:rFonts w:ascii="Arial" w:cs="Arial" w:eastAsia="Arial" w:hAnsi="Arial"/>
          <w:sz w:val="24"/>
          <w:szCs w:val="24"/>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Accumulated</w:t>
            </w:r>
          </w:p>
        </w:tc>
        <w:tc>
          <w:tcPr>
            <w:tcW w:w="1160" w:type="dxa"/>
            <w:vAlign w:val="bottom"/>
          </w:tcPr>
          <w:p>
            <w:pPr>
              <w:spacing w:after="0"/>
              <w:rPr>
                <w:sz w:val="19"/>
                <w:szCs w:val="19"/>
                <w:color w:val="auto"/>
              </w:rPr>
            </w:pPr>
          </w:p>
        </w:tc>
      </w:tr>
      <w:tr>
        <w:trPr>
          <w:trHeight w:val="243"/>
        </w:trPr>
        <w:tc>
          <w:tcPr>
            <w:tcW w:w="4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Additional</w:t>
            </w:r>
          </w:p>
        </w:tc>
        <w:tc>
          <w:tcPr>
            <w:tcW w:w="1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60" w:type="dxa"/>
            <w:vAlign w:val="bottom"/>
          </w:tcPr>
          <w:p>
            <w:pPr>
              <w:jc w:val="center"/>
              <w:ind w:left="32"/>
              <w:spacing w:after="0"/>
              <w:rPr>
                <w:sz w:val="20"/>
                <w:szCs w:val="20"/>
                <w:color w:val="auto"/>
              </w:rPr>
            </w:pPr>
            <w:r>
              <w:rPr>
                <w:rFonts w:ascii="Arial" w:cs="Arial" w:eastAsia="Arial" w:hAnsi="Arial"/>
                <w:sz w:val="18"/>
                <w:szCs w:val="18"/>
                <w:b w:val="1"/>
                <w:bCs w:val="1"/>
                <w:color w:val="auto"/>
                <w:w w:val="92"/>
              </w:rPr>
              <w:t>Total</w:t>
            </w:r>
          </w:p>
        </w:tc>
      </w:tr>
      <w:tr>
        <w:trPr>
          <w:trHeight w:val="257"/>
        </w:trPr>
        <w:tc>
          <w:tcPr>
            <w:tcW w:w="4920" w:type="dxa"/>
            <w:vAlign w:val="bottom"/>
          </w:tcPr>
          <w:p>
            <w:pPr>
              <w:spacing w:after="0"/>
              <w:rPr>
                <w:sz w:val="22"/>
                <w:szCs w:val="22"/>
                <w:color w:val="auto"/>
              </w:rPr>
            </w:pPr>
          </w:p>
        </w:tc>
        <w:tc>
          <w:tcPr>
            <w:tcW w:w="17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Paid-in</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Retained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116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Stockholders’</w:t>
            </w:r>
          </w:p>
        </w:tc>
      </w:tr>
      <w:tr>
        <w:trPr>
          <w:trHeight w:val="232"/>
        </w:trPr>
        <w:tc>
          <w:tcPr>
            <w:tcW w:w="492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Shares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Capital</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Earnings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Income</w:t>
            </w: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4"/>
              </w:rPr>
              <w:t>Equity</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BALANCE AT AUGUST 31, 2005,</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4"/>
              </w:rPr>
              <w:t>3,589,993</w:t>
            </w: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$71,800</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$4,140,095</w:t>
            </w: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5"/>
              </w:rPr>
              <w:t>$11,176,509</w:t>
            </w:r>
          </w:p>
        </w:tc>
        <w:tc>
          <w:tcPr>
            <w:tcW w:w="14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$434,477</w:t>
            </w:r>
          </w:p>
        </w:tc>
        <w:tc>
          <w:tcPr>
            <w:tcW w:w="1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$15,822,881</w:t>
            </w:r>
          </w:p>
        </w:tc>
      </w:tr>
      <w:tr>
        <w:trPr>
          <w:trHeight w:val="243"/>
        </w:trPr>
        <w:tc>
          <w:tcPr>
            <w:tcW w:w="4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29,000</w:t>
            </w: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580</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132,540</w:t>
            </w:r>
          </w:p>
        </w:tc>
        <w:tc>
          <w:tcPr>
            <w:tcW w:w="11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133,120</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Comprehensive income, 2006:</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5"/>
        </w:trPr>
        <w:tc>
          <w:tcPr>
            <w:tcW w:w="49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Foreign currency translation</w:t>
            </w:r>
          </w:p>
        </w:tc>
        <w:tc>
          <w:tcPr>
            <w:tcW w:w="8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80" w:type="dxa"/>
            <w:vAlign w:val="bottom"/>
            <w:shd w:val="clear" w:color="auto" w:fill="C0C0C0"/>
          </w:tcPr>
          <w:p>
            <w:pPr>
              <w:spacing w:after="0"/>
              <w:rPr>
                <w:sz w:val="20"/>
                <w:szCs w:val="20"/>
                <w:color w:val="auto"/>
              </w:rPr>
            </w:pPr>
          </w:p>
        </w:tc>
        <w:tc>
          <w:tcPr>
            <w:tcW w:w="1100" w:type="dxa"/>
            <w:vAlign w:val="bottom"/>
            <w:shd w:val="clear" w:color="auto" w:fill="C0C0C0"/>
          </w:tcPr>
          <w:p>
            <w:pPr>
              <w:spacing w:after="0"/>
              <w:rPr>
                <w:sz w:val="20"/>
                <w:szCs w:val="20"/>
                <w:color w:val="auto"/>
              </w:rPr>
            </w:pPr>
          </w:p>
        </w:tc>
        <w:tc>
          <w:tcPr>
            <w:tcW w:w="142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r>
      <w:tr>
        <w:trPr>
          <w:trHeight w:val="140"/>
        </w:trPr>
        <w:tc>
          <w:tcPr>
            <w:tcW w:w="4920" w:type="dxa"/>
            <w:vAlign w:val="bottom"/>
            <w:shd w:val="clear" w:color="auto" w:fill="C0C0C0"/>
          </w:tcPr>
          <w:p>
            <w:pPr>
              <w:spacing w:after="0"/>
              <w:rPr>
                <w:sz w:val="12"/>
                <w:szCs w:val="12"/>
                <w:color w:val="auto"/>
              </w:rPr>
            </w:pPr>
          </w:p>
        </w:tc>
        <w:tc>
          <w:tcPr>
            <w:tcW w:w="840" w:type="dxa"/>
            <w:vAlign w:val="bottom"/>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080" w:type="dxa"/>
            <w:vAlign w:val="bottom"/>
            <w:shd w:val="clear" w:color="auto" w:fill="C0C0C0"/>
          </w:tcPr>
          <w:p>
            <w:pPr>
              <w:spacing w:after="0"/>
              <w:rPr>
                <w:sz w:val="12"/>
                <w:szCs w:val="12"/>
                <w:color w:val="auto"/>
              </w:rPr>
            </w:pPr>
          </w:p>
        </w:tc>
        <w:tc>
          <w:tcPr>
            <w:tcW w:w="1100" w:type="dxa"/>
            <w:vAlign w:val="bottom"/>
            <w:shd w:val="clear" w:color="auto" w:fill="C0C0C0"/>
          </w:tcPr>
          <w:p>
            <w:pPr>
              <w:spacing w:after="0"/>
              <w:rPr>
                <w:sz w:val="12"/>
                <w:szCs w:val="12"/>
                <w:color w:val="auto"/>
              </w:rPr>
            </w:pPr>
          </w:p>
        </w:tc>
        <w:tc>
          <w:tcPr>
            <w:tcW w:w="1420" w:type="dxa"/>
            <w:vAlign w:val="bottom"/>
            <w:shd w:val="clear" w:color="auto" w:fill="C0C0C0"/>
          </w:tcPr>
          <w:p>
            <w:pPr>
              <w:spacing w:after="0"/>
              <w:rPr>
                <w:sz w:val="12"/>
                <w:szCs w:val="12"/>
                <w:color w:val="auto"/>
              </w:rPr>
            </w:pPr>
          </w:p>
        </w:tc>
        <w:tc>
          <w:tcPr>
            <w:tcW w:w="1160" w:type="dxa"/>
            <w:vAlign w:val="bottom"/>
            <w:shd w:val="clear" w:color="auto" w:fill="C0C0C0"/>
          </w:tcPr>
          <w:p>
            <w:pPr>
              <w:spacing w:after="0"/>
              <w:rPr>
                <w:sz w:val="12"/>
                <w:szCs w:val="12"/>
                <w:color w:val="auto"/>
              </w:rPr>
            </w:pPr>
          </w:p>
        </w:tc>
      </w:tr>
    </w:tbl>
    <w:p>
      <w:pPr>
        <w:sectPr>
          <w:pgSz w:w="11900" w:h="16900" w:orient="portrait"/>
          <w:cols w:equalWidth="0" w:num="1">
            <w:col w:w="11420"/>
          </w:cols>
          <w:pgMar w:left="240" w:top="140" w:right="239" w:bottom="0" w:gutter="0" w:footer="0" w:header="0"/>
          <w:type w:val="continuous"/>
        </w:sectPr>
      </w:pPr>
    </w:p>
    <w:bookmarkStart w:id="23" w:name="page24"/>
    <w:bookmarkEnd w:id="2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adj.</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310,687</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310,687</w:t>
            </w:r>
          </w:p>
        </w:tc>
        <w:tc>
          <w:tcPr>
            <w:tcW w:w="20" w:type="dxa"/>
            <w:vAlign w:val="bottom"/>
          </w:tcPr>
          <w:p>
            <w:pPr>
              <w:spacing w:after="0"/>
              <w:rPr>
                <w:sz w:val="21"/>
                <w:szCs w:val="21"/>
                <w:color w:val="auto"/>
              </w:rPr>
            </w:pPr>
          </w:p>
        </w:tc>
      </w:tr>
      <w:tr>
        <w:trPr>
          <w:trHeight w:val="242"/>
        </w:trPr>
        <w:tc>
          <w:tcPr>
            <w:tcW w:w="49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1,719,065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1,719,065</w:t>
            </w:r>
          </w:p>
        </w:tc>
        <w:tc>
          <w:tcPr>
            <w:tcW w:w="20" w:type="dxa"/>
            <w:vAlign w:val="bottom"/>
          </w:tcPr>
          <w:p>
            <w:pPr>
              <w:spacing w:after="0"/>
              <w:rPr>
                <w:sz w:val="21"/>
                <w:szCs w:val="21"/>
                <w:color w:val="auto"/>
              </w:rPr>
            </w:pPr>
          </w:p>
        </w:tc>
      </w:tr>
      <w:tr>
        <w:trPr>
          <w:trHeight w:val="237"/>
        </w:trPr>
        <w:tc>
          <w:tcPr>
            <w:tcW w:w="4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Comprehensive income, 2006</w:t>
            </w:r>
          </w:p>
        </w:tc>
        <w:tc>
          <w:tcPr>
            <w:tcW w:w="7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22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2,029,752</w:t>
            </w:r>
          </w:p>
        </w:tc>
        <w:tc>
          <w:tcPr>
            <w:tcW w:w="20" w:type="dxa"/>
            <w:vAlign w:val="bottom"/>
          </w:tcPr>
          <w:p>
            <w:pPr>
              <w:spacing w:after="0"/>
              <w:rPr>
                <w:sz w:val="20"/>
                <w:szCs w:val="20"/>
                <w:color w:val="auto"/>
              </w:rPr>
            </w:pPr>
          </w:p>
        </w:tc>
      </w:tr>
      <w:tr>
        <w:trPr>
          <w:trHeight w:val="238"/>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gridSpan w:val="3"/>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9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BALANCE AT AUGUST 31, 2006</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3,618,993</w:t>
            </w:r>
          </w:p>
        </w:tc>
        <w:tc>
          <w:tcPr>
            <w:tcW w:w="112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72,380</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4,272,635</w:t>
            </w:r>
          </w:p>
        </w:tc>
        <w:tc>
          <w:tcPr>
            <w:tcW w:w="20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w w:val="95"/>
              </w:rPr>
              <w:t>12,895,574</w:t>
            </w:r>
          </w:p>
        </w:tc>
        <w:tc>
          <w:tcPr>
            <w:tcW w:w="14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745,164</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17,985,753</w:t>
            </w:r>
          </w:p>
        </w:tc>
        <w:tc>
          <w:tcPr>
            <w:tcW w:w="20" w:type="dxa"/>
            <w:vAlign w:val="bottom"/>
          </w:tcPr>
          <w:p>
            <w:pPr>
              <w:spacing w:after="0"/>
              <w:rPr>
                <w:sz w:val="21"/>
                <w:szCs w:val="21"/>
                <w:color w:val="auto"/>
              </w:rPr>
            </w:pPr>
          </w:p>
        </w:tc>
      </w:tr>
      <w:tr>
        <w:trPr>
          <w:trHeight w:val="243"/>
        </w:trPr>
        <w:tc>
          <w:tcPr>
            <w:tcW w:w="4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Stock issued in lieu of accrued</w:t>
            </w: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2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payroll</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37,245</w:t>
            </w:r>
          </w:p>
        </w:tc>
        <w:tc>
          <w:tcPr>
            <w:tcW w:w="112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745</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297,585</w:t>
            </w:r>
          </w:p>
        </w:tc>
        <w:tc>
          <w:tcPr>
            <w:tcW w:w="20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2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298,330</w:t>
            </w:r>
          </w:p>
        </w:tc>
        <w:tc>
          <w:tcPr>
            <w:tcW w:w="20" w:type="dxa"/>
            <w:vAlign w:val="bottom"/>
          </w:tcPr>
          <w:p>
            <w:pPr>
              <w:spacing w:after="0"/>
              <w:rPr>
                <w:sz w:val="22"/>
                <w:szCs w:val="22"/>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8"/>
                <w:szCs w:val="18"/>
                <w:color w:val="auto"/>
              </w:rPr>
              <w:t>26,778</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535</w:t>
            </w:r>
          </w:p>
        </w:tc>
        <w:tc>
          <w:tcPr>
            <w:tcW w:w="900" w:type="dxa"/>
            <w:vAlign w:val="bottom"/>
          </w:tcPr>
          <w:p>
            <w:pPr>
              <w:jc w:val="right"/>
              <w:spacing w:after="0"/>
              <w:rPr>
                <w:sz w:val="20"/>
                <w:szCs w:val="20"/>
                <w:color w:val="auto"/>
              </w:rPr>
            </w:pPr>
            <w:r>
              <w:rPr>
                <w:rFonts w:ascii="Arial" w:cs="Arial" w:eastAsia="Arial" w:hAnsi="Arial"/>
                <w:sz w:val="18"/>
                <w:szCs w:val="18"/>
                <w:color w:val="auto"/>
              </w:rPr>
              <w:t>125,381</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125,916</w:t>
            </w:r>
          </w:p>
        </w:tc>
        <w:tc>
          <w:tcPr>
            <w:tcW w:w="20" w:type="dxa"/>
            <w:vAlign w:val="bottom"/>
          </w:tcPr>
          <w:p>
            <w:pPr>
              <w:spacing w:after="0"/>
              <w:rPr>
                <w:sz w:val="20"/>
                <w:szCs w:val="20"/>
                <w:color w:val="auto"/>
              </w:rPr>
            </w:pP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Stock option expense</w:t>
            </w: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59,545</w:t>
            </w:r>
          </w:p>
        </w:tc>
        <w:tc>
          <w:tcPr>
            <w:tcW w:w="2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59,545</w:t>
            </w:r>
          </w:p>
        </w:tc>
        <w:tc>
          <w:tcPr>
            <w:tcW w:w="20" w:type="dxa"/>
            <w:vAlign w:val="bottom"/>
          </w:tcPr>
          <w:p>
            <w:pPr>
              <w:spacing w:after="0"/>
              <w:rPr>
                <w:sz w:val="21"/>
                <w:szCs w:val="2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Comprehensive income, 2007:</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49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8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49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adj.</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709,109</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709,109</w:t>
            </w:r>
          </w:p>
        </w:tc>
        <w:tc>
          <w:tcPr>
            <w:tcW w:w="20" w:type="dxa"/>
            <w:vAlign w:val="bottom"/>
          </w:tcPr>
          <w:p>
            <w:pPr>
              <w:spacing w:after="0"/>
              <w:rPr>
                <w:sz w:val="22"/>
                <w:szCs w:val="22"/>
                <w:color w:val="auto"/>
              </w:rPr>
            </w:pPr>
          </w:p>
        </w:tc>
      </w:tr>
      <w:tr>
        <w:trPr>
          <w:trHeight w:val="242"/>
        </w:trPr>
        <w:tc>
          <w:tcPr>
            <w:tcW w:w="49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3,223,408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3,223,408</w:t>
            </w:r>
          </w:p>
        </w:tc>
        <w:tc>
          <w:tcPr>
            <w:tcW w:w="20" w:type="dxa"/>
            <w:vAlign w:val="bottom"/>
          </w:tcPr>
          <w:p>
            <w:pPr>
              <w:spacing w:after="0"/>
              <w:rPr>
                <w:sz w:val="21"/>
                <w:szCs w:val="21"/>
                <w:color w:val="auto"/>
              </w:rPr>
            </w:pPr>
          </w:p>
        </w:tc>
      </w:tr>
      <w:tr>
        <w:trPr>
          <w:trHeight w:val="237"/>
        </w:trPr>
        <w:tc>
          <w:tcPr>
            <w:tcW w:w="4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Comprehensive income, 2007</w:t>
            </w:r>
          </w:p>
        </w:tc>
        <w:tc>
          <w:tcPr>
            <w:tcW w:w="7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22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0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3,932,517</w:t>
            </w:r>
          </w:p>
        </w:tc>
        <w:tc>
          <w:tcPr>
            <w:tcW w:w="20" w:type="dxa"/>
            <w:vAlign w:val="bottom"/>
          </w:tcPr>
          <w:p>
            <w:pPr>
              <w:spacing w:after="0"/>
              <w:rPr>
                <w:sz w:val="20"/>
                <w:szCs w:val="20"/>
                <w:color w:val="auto"/>
              </w:rPr>
            </w:pPr>
          </w:p>
        </w:tc>
      </w:tr>
      <w:tr>
        <w:trPr>
          <w:trHeight w:val="238"/>
        </w:trPr>
        <w:tc>
          <w:tcPr>
            <w:tcW w:w="4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gridSpan w:val="3"/>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49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BALANCE AT AUGUST 31, 2007</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3,683,016</w:t>
            </w:r>
          </w:p>
        </w:tc>
        <w:tc>
          <w:tcPr>
            <w:tcW w:w="1120" w:type="dxa"/>
            <w:vAlign w:val="bottom"/>
            <w:gridSpan w:val="3"/>
            <w:shd w:val="clear" w:color="auto" w:fill="C0C0C0"/>
          </w:tcPr>
          <w:p>
            <w:pPr>
              <w:jc w:val="right"/>
              <w:ind w:right="200"/>
              <w:spacing w:after="0"/>
              <w:rPr>
                <w:sz w:val="20"/>
                <w:szCs w:val="20"/>
                <w:color w:val="auto"/>
              </w:rPr>
            </w:pPr>
            <w:r>
              <w:rPr>
                <w:rFonts w:ascii="Arial" w:cs="Arial" w:eastAsia="Arial" w:hAnsi="Arial"/>
                <w:sz w:val="18"/>
                <w:szCs w:val="18"/>
                <w:color w:val="auto"/>
              </w:rPr>
              <w:t>$73,660</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$4,755,146</w:t>
            </w:r>
          </w:p>
        </w:tc>
        <w:tc>
          <w:tcPr>
            <w:tcW w:w="200" w:type="dxa"/>
            <w:vAlign w:val="bottom"/>
            <w:shd w:val="clear" w:color="auto" w:fill="C0C0C0"/>
          </w:tcPr>
          <w:p>
            <w:pPr>
              <w:spacing w:after="0"/>
              <w:rPr>
                <w:sz w:val="22"/>
                <w:szCs w:val="22"/>
                <w:color w:val="auto"/>
              </w:rPr>
            </w:pPr>
          </w:p>
        </w:tc>
        <w:tc>
          <w:tcPr>
            <w:tcW w:w="10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w w:val="85"/>
              </w:rPr>
              <w:t>$16,118,982</w:t>
            </w:r>
          </w:p>
        </w:tc>
        <w:tc>
          <w:tcPr>
            <w:tcW w:w="14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$1,454,273</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$22,402,061</w:t>
            </w:r>
          </w:p>
        </w:tc>
        <w:tc>
          <w:tcPr>
            <w:tcW w:w="20" w:type="dxa"/>
            <w:vAlign w:val="bottom"/>
          </w:tcPr>
          <w:p>
            <w:pPr>
              <w:spacing w:after="0"/>
              <w:rPr>
                <w:sz w:val="22"/>
                <w:szCs w:val="22"/>
                <w:color w:val="auto"/>
              </w:rPr>
            </w:pPr>
          </w:p>
        </w:tc>
      </w:tr>
      <w:tr>
        <w:trPr>
          <w:trHeight w:val="673"/>
        </w:trPr>
        <w:tc>
          <w:tcPr>
            <w:tcW w:w="492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See notes to consolidated financial statements.</w:t>
            </w: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41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9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9" w:lineRule="exact"/>
        <w:rPr>
          <w:sz w:val="20"/>
          <w:szCs w:val="20"/>
          <w:color w:val="auto"/>
        </w:rPr>
      </w:pPr>
    </w:p>
    <w:p>
      <w:pPr>
        <w:ind w:right="3980"/>
        <w:spacing w:after="0" w:line="264" w:lineRule="auto"/>
        <w:rPr>
          <w:sz w:val="20"/>
          <w:szCs w:val="20"/>
          <w:color w:val="auto"/>
        </w:rPr>
      </w:pPr>
      <w:r>
        <w:rPr>
          <w:rFonts w:ascii="Arial" w:cs="Arial" w:eastAsia="Arial" w:hAnsi="Arial"/>
          <w:sz w:val="24"/>
          <w:szCs w:val="24"/>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tcPr>
          <w:p>
            <w:pPr>
              <w:spacing w:after="0"/>
              <w:rPr>
                <w:sz w:val="19"/>
                <w:szCs w:val="19"/>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11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2006</w:t>
            </w:r>
          </w:p>
        </w:tc>
      </w:tr>
      <w:tr>
        <w:trPr>
          <w:trHeight w:val="238"/>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tcBorders>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80" w:type="dxa"/>
            <w:vAlign w:val="bottom"/>
            <w:tcBorders>
              <w:top w:val="single" w:sz="8" w:color="auto"/>
            </w:tcBorders>
            <w:shd w:val="clear" w:color="auto" w:fill="C0C0C0"/>
          </w:tcPr>
          <w:p>
            <w:pPr>
              <w:spacing w:after="0"/>
              <w:rPr>
                <w:sz w:val="20"/>
                <w:szCs w:val="20"/>
                <w:color w:val="auto"/>
              </w:rPr>
            </w:pPr>
          </w:p>
        </w:tc>
      </w:tr>
      <w:tr>
        <w:trPr>
          <w:trHeight w:val="242"/>
        </w:trPr>
        <w:tc>
          <w:tcPr>
            <w:tcW w:w="92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$3,223,408</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$1,719,065</w:t>
            </w:r>
          </w:p>
        </w:tc>
      </w:tr>
      <w:tr>
        <w:trPr>
          <w:trHeight w:val="244"/>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Expensing of fair value of stock options vested</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59,545</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r>
        <w:trPr>
          <w:trHeight w:val="244"/>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Depreciation expense</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313,719</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199,011</w:t>
            </w: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Amortization expense</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146,750</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160,381</w:t>
            </w:r>
          </w:p>
        </w:tc>
      </w:tr>
      <w:tr>
        <w:trPr>
          <w:trHeight w:val="244"/>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Gain on sale of assets</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(726,295)</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000" w:type="dxa"/>
            <w:vAlign w:val="bottom"/>
          </w:tcPr>
          <w:p>
            <w:pPr>
              <w:jc w:val="right"/>
              <w:spacing w:after="0"/>
              <w:rPr>
                <w:sz w:val="20"/>
                <w:szCs w:val="20"/>
                <w:color w:val="auto"/>
              </w:rPr>
            </w:pPr>
            <w:r>
              <w:rPr>
                <w:rFonts w:ascii="Arial" w:cs="Arial" w:eastAsia="Arial" w:hAnsi="Arial"/>
                <w:sz w:val="18"/>
                <w:szCs w:val="18"/>
                <w:color w:val="auto"/>
              </w:rPr>
              <w:t>(19,121)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(12,284)</w:t>
            </w:r>
          </w:p>
        </w:tc>
      </w:tr>
      <w:tr>
        <w:trPr>
          <w:trHeight w:val="244"/>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Reserve of notes receivable</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571,179</w:t>
            </w: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Equity in (income) loss from corporate joint ventures: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9240" w:type="dxa"/>
            <w:vAlign w:val="bottom"/>
            <w:shd w:val="clear" w:color="auto" w:fill="C0C0C0"/>
          </w:tcPr>
          <w:p>
            <w:pPr>
              <w:ind w:left="660"/>
              <w:spacing w:after="0"/>
              <w:rPr>
                <w:sz w:val="20"/>
                <w:szCs w:val="20"/>
                <w:color w:val="auto"/>
              </w:rPr>
            </w:pPr>
            <w:r>
              <w:rPr>
                <w:rFonts w:ascii="Arial" w:cs="Arial" w:eastAsia="Arial" w:hAnsi="Arial"/>
                <w:sz w:val="18"/>
                <w:szCs w:val="18"/>
                <w:color w:val="auto"/>
              </w:rPr>
              <w:t>Industrial chemical</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(3,100,891)</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(2,678,901)</w:t>
            </w:r>
          </w:p>
        </w:tc>
      </w:tr>
      <w:tr>
        <w:trPr>
          <w:trHeight w:val="242"/>
        </w:trPr>
        <w:tc>
          <w:tcPr>
            <w:tcW w:w="9240" w:type="dxa"/>
            <w:vAlign w:val="bottom"/>
          </w:tcPr>
          <w:p>
            <w:pPr>
              <w:ind w:left="660"/>
              <w:spacing w:after="0"/>
              <w:rPr>
                <w:sz w:val="20"/>
                <w:szCs w:val="20"/>
                <w:color w:val="auto"/>
              </w:rPr>
            </w:pPr>
            <w:r>
              <w:rPr>
                <w:rFonts w:ascii="Arial" w:cs="Arial" w:eastAsia="Arial" w:hAnsi="Arial"/>
                <w:sz w:val="18"/>
                <w:szCs w:val="18"/>
                <w:color w:val="auto"/>
              </w:rPr>
              <w:t>Industrial non-chemical</w:t>
            </w:r>
          </w:p>
        </w:tc>
        <w:tc>
          <w:tcPr>
            <w:tcW w:w="1000" w:type="dxa"/>
            <w:vAlign w:val="bottom"/>
          </w:tcPr>
          <w:p>
            <w:pPr>
              <w:jc w:val="right"/>
              <w:spacing w:after="0"/>
              <w:rPr>
                <w:sz w:val="20"/>
                <w:szCs w:val="20"/>
                <w:color w:val="auto"/>
              </w:rPr>
            </w:pPr>
            <w:r>
              <w:rPr>
                <w:rFonts w:ascii="Arial" w:cs="Arial" w:eastAsia="Arial" w:hAnsi="Arial"/>
                <w:sz w:val="18"/>
                <w:szCs w:val="18"/>
                <w:color w:val="auto"/>
              </w:rPr>
              <w:t>(100,726)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(34,195)</w:t>
            </w:r>
          </w:p>
        </w:tc>
      </w:tr>
      <w:tr>
        <w:trPr>
          <w:trHeight w:val="244"/>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(476,215)</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(341,000)</w:t>
            </w: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Deferred gross profit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r>
        <w:trPr>
          <w:trHeight w:val="244"/>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Deferred joint venture royalties</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96,000</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21,298</w:t>
            </w:r>
          </w:p>
        </w:tc>
      </w:tr>
      <w:tr>
        <w:trPr>
          <w:trHeight w:val="242"/>
        </w:trPr>
        <w:tc>
          <w:tcPr>
            <w:tcW w:w="9240" w:type="dxa"/>
            <w:vAlign w:val="bottom"/>
          </w:tcPr>
          <w:p>
            <w:pPr>
              <w:ind w:left="440"/>
              <w:spacing w:after="0"/>
              <w:rPr>
                <w:sz w:val="20"/>
                <w:szCs w:val="20"/>
                <w:color w:val="auto"/>
              </w:rPr>
            </w:pPr>
            <w:r>
              <w:rPr>
                <w:rFonts w:ascii="Arial" w:cs="Arial" w:eastAsia="Arial" w:hAnsi="Arial"/>
                <w:sz w:val="18"/>
                <w:szCs w:val="18"/>
                <w:color w:val="auto"/>
              </w:rPr>
              <w:t>Change in current assets and liabilities: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9240" w:type="dxa"/>
            <w:vAlign w:val="bottom"/>
            <w:shd w:val="clear" w:color="auto" w:fill="C0C0C0"/>
          </w:tcPr>
          <w:p>
            <w:pPr>
              <w:ind w:left="660"/>
              <w:spacing w:after="0"/>
              <w:rPr>
                <w:sz w:val="20"/>
                <w:szCs w:val="20"/>
                <w:color w:val="auto"/>
              </w:rPr>
            </w:pPr>
            <w:r>
              <w:rPr>
                <w:rFonts w:ascii="Arial" w:cs="Arial" w:eastAsia="Arial" w:hAnsi="Arial"/>
                <w:sz w:val="18"/>
                <w:szCs w:val="18"/>
                <w:color w:val="auto"/>
              </w:rPr>
              <w:t>Receivables:</w:t>
            </w:r>
          </w:p>
        </w:tc>
        <w:tc>
          <w:tcPr>
            <w:tcW w:w="10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2"/>
        </w:trPr>
        <w:tc>
          <w:tcPr>
            <w:tcW w:w="9240" w:type="dxa"/>
            <w:vAlign w:val="bottom"/>
          </w:tcPr>
          <w:p>
            <w:pPr>
              <w:ind w:left="840"/>
              <w:spacing w:after="0"/>
              <w:rPr>
                <w:sz w:val="20"/>
                <w:szCs w:val="20"/>
                <w:color w:val="auto"/>
              </w:rPr>
            </w:pPr>
            <w:r>
              <w:rPr>
                <w:rFonts w:ascii="Arial" w:cs="Arial" w:eastAsia="Arial" w:hAnsi="Arial"/>
                <w:sz w:val="18"/>
                <w:szCs w:val="18"/>
                <w:color w:val="auto"/>
              </w:rPr>
              <w:t>Trade excluding corporate joint ventures</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150,148</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218,021</w:t>
            </w:r>
          </w:p>
        </w:tc>
      </w:tr>
      <w:tr>
        <w:trPr>
          <w:trHeight w:val="244"/>
        </w:trPr>
        <w:tc>
          <w:tcPr>
            <w:tcW w:w="9240" w:type="dxa"/>
            <w:vAlign w:val="bottom"/>
            <w:shd w:val="clear" w:color="auto" w:fill="C0C0C0"/>
          </w:tcPr>
          <w:p>
            <w:pPr>
              <w:ind w:left="840"/>
              <w:spacing w:after="0"/>
              <w:rPr>
                <w:sz w:val="20"/>
                <w:szCs w:val="20"/>
                <w:color w:val="auto"/>
              </w:rPr>
            </w:pPr>
            <w:r>
              <w:rPr>
                <w:rFonts w:ascii="Arial" w:cs="Arial" w:eastAsia="Arial" w:hAnsi="Arial"/>
                <w:sz w:val="18"/>
                <w:szCs w:val="18"/>
                <w:color w:val="auto"/>
              </w:rPr>
              <w:t>Trade corporate joint ventures</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(44,356)</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(147,319)</w:t>
            </w:r>
          </w:p>
        </w:tc>
      </w:tr>
      <w:tr>
        <w:trPr>
          <w:trHeight w:val="242"/>
        </w:trPr>
        <w:tc>
          <w:tcPr>
            <w:tcW w:w="9240" w:type="dxa"/>
            <w:vAlign w:val="bottom"/>
          </w:tcPr>
          <w:p>
            <w:pPr>
              <w:ind w:left="84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000" w:type="dxa"/>
            <w:vAlign w:val="bottom"/>
          </w:tcPr>
          <w:p>
            <w:pPr>
              <w:jc w:val="right"/>
              <w:spacing w:after="0"/>
              <w:rPr>
                <w:sz w:val="20"/>
                <w:szCs w:val="20"/>
                <w:color w:val="auto"/>
              </w:rPr>
            </w:pPr>
            <w:r>
              <w:rPr>
                <w:rFonts w:ascii="Arial" w:cs="Arial" w:eastAsia="Arial" w:hAnsi="Arial"/>
                <w:sz w:val="18"/>
                <w:szCs w:val="18"/>
                <w:color w:val="auto"/>
              </w:rPr>
              <w:t>(156,385)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(264,066)</w:t>
            </w:r>
          </w:p>
        </w:tc>
      </w:tr>
      <w:tr>
        <w:trPr>
          <w:trHeight w:val="244"/>
        </w:trPr>
        <w:tc>
          <w:tcPr>
            <w:tcW w:w="9240" w:type="dxa"/>
            <w:vAlign w:val="bottom"/>
            <w:shd w:val="clear" w:color="auto" w:fill="C0C0C0"/>
          </w:tcPr>
          <w:p>
            <w:pPr>
              <w:ind w:left="840"/>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304,064</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183,200</w:t>
            </w:r>
          </w:p>
        </w:tc>
      </w:tr>
      <w:tr>
        <w:trPr>
          <w:trHeight w:val="242"/>
        </w:trPr>
        <w:tc>
          <w:tcPr>
            <w:tcW w:w="924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000" w:type="dxa"/>
            <w:vAlign w:val="bottom"/>
          </w:tcPr>
          <w:p>
            <w:pPr>
              <w:jc w:val="right"/>
              <w:spacing w:after="0"/>
              <w:rPr>
                <w:sz w:val="20"/>
                <w:szCs w:val="20"/>
                <w:color w:val="auto"/>
              </w:rPr>
            </w:pPr>
            <w:r>
              <w:rPr>
                <w:rFonts w:ascii="Arial" w:cs="Arial" w:eastAsia="Arial" w:hAnsi="Arial"/>
                <w:sz w:val="18"/>
                <w:szCs w:val="18"/>
                <w:color w:val="auto"/>
              </w:rPr>
              <w:t>(258,120)</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169,816</w:t>
            </w:r>
          </w:p>
        </w:tc>
      </w:tr>
      <w:tr>
        <w:trPr>
          <w:trHeight w:val="244"/>
        </w:trPr>
        <w:tc>
          <w:tcPr>
            <w:tcW w:w="9240" w:type="dxa"/>
            <w:vAlign w:val="bottom"/>
            <w:shd w:val="clear" w:color="auto" w:fill="C0C0C0"/>
          </w:tcPr>
          <w:p>
            <w:pPr>
              <w:ind w:left="660"/>
              <w:spacing w:after="0"/>
              <w:rPr>
                <w:sz w:val="20"/>
                <w:szCs w:val="20"/>
                <w:color w:val="auto"/>
              </w:rPr>
            </w:pPr>
            <w:r>
              <w:rPr>
                <w:rFonts w:ascii="Arial" w:cs="Arial" w:eastAsia="Arial" w:hAnsi="Arial"/>
                <w:sz w:val="18"/>
                <w:szCs w:val="18"/>
                <w:color w:val="auto"/>
              </w:rPr>
              <w:t>Prepaid expenses and other</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49,241</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(84,010)</w:t>
            </w:r>
          </w:p>
        </w:tc>
      </w:tr>
      <w:tr>
        <w:trPr>
          <w:trHeight w:val="242"/>
        </w:trPr>
        <w:tc>
          <w:tcPr>
            <w:tcW w:w="9240" w:type="dxa"/>
            <w:vAlign w:val="bottom"/>
          </w:tcPr>
          <w:p>
            <w:pPr>
              <w:ind w:left="660"/>
              <w:spacing w:after="0"/>
              <w:rPr>
                <w:sz w:val="20"/>
                <w:szCs w:val="20"/>
                <w:color w:val="auto"/>
              </w:rPr>
            </w:pPr>
            <w:r>
              <w:rPr>
                <w:rFonts w:ascii="Arial" w:cs="Arial" w:eastAsia="Arial" w:hAnsi="Arial"/>
                <w:sz w:val="18"/>
                <w:szCs w:val="18"/>
                <w:color w:val="auto"/>
              </w:rPr>
              <w:t>Employee note receivable</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24,492</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25,437</w:t>
            </w:r>
          </w:p>
        </w:tc>
      </w:tr>
      <w:tr>
        <w:trPr>
          <w:trHeight w:val="244"/>
        </w:trPr>
        <w:tc>
          <w:tcPr>
            <w:tcW w:w="9240" w:type="dxa"/>
            <w:vAlign w:val="bottom"/>
            <w:shd w:val="clear" w:color="auto" w:fill="C0C0C0"/>
          </w:tcPr>
          <w:p>
            <w:pPr>
              <w:ind w:left="66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(438,483)</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491,142</w:t>
            </w:r>
          </w:p>
        </w:tc>
      </w:tr>
      <w:tr>
        <w:trPr>
          <w:trHeight w:val="243"/>
        </w:trPr>
        <w:tc>
          <w:tcPr>
            <w:tcW w:w="9240" w:type="dxa"/>
            <w:vAlign w:val="bottom"/>
          </w:tcPr>
          <w:p>
            <w:pPr>
              <w:ind w:left="660"/>
              <w:spacing w:after="0"/>
              <w:rPr>
                <w:sz w:val="20"/>
                <w:szCs w:val="20"/>
                <w:color w:val="auto"/>
              </w:rPr>
            </w:pPr>
            <w:r>
              <w:rPr>
                <w:rFonts w:ascii="Arial" w:cs="Arial" w:eastAsia="Arial" w:hAnsi="Arial"/>
                <w:sz w:val="18"/>
                <w:szCs w:val="18"/>
                <w:color w:val="auto"/>
              </w:rPr>
              <w:t>Accrued liabilities</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235,867</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658,692</w:t>
            </w:r>
          </w:p>
        </w:tc>
      </w:tr>
      <w:tr>
        <w:trPr>
          <w:trHeight w:val="237"/>
        </w:trPr>
        <w:tc>
          <w:tcPr>
            <w:tcW w:w="9240" w:type="dxa"/>
            <w:vAlign w:val="bottom"/>
            <w:shd w:val="clear" w:color="auto" w:fill="C0C0C0"/>
          </w:tcPr>
          <w:p>
            <w:pPr>
              <w:ind w:left="840"/>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(717,358)</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855,467</w:t>
            </w:r>
          </w:p>
        </w:tc>
      </w:tr>
      <w:tr>
        <w:trPr>
          <w:trHeight w:val="243"/>
        </w:trPr>
        <w:tc>
          <w:tcPr>
            <w:tcW w:w="9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r>
      <w:tr>
        <w:trPr>
          <w:trHeight w:val="242"/>
        </w:trPr>
        <w:tc>
          <w:tcPr>
            <w:tcW w:w="9240" w:type="dxa"/>
            <w:vAlign w:val="bottom"/>
          </w:tcPr>
          <w:p>
            <w:pPr>
              <w:ind w:left="220"/>
              <w:spacing w:after="0"/>
              <w:rPr>
                <w:sz w:val="20"/>
                <w:szCs w:val="20"/>
                <w:color w:val="auto"/>
              </w:rPr>
            </w:pPr>
            <w:r>
              <w:rPr>
                <w:rFonts w:ascii="Arial" w:cs="Arial" w:eastAsia="Arial" w:hAnsi="Arial"/>
                <w:sz w:val="18"/>
                <w:szCs w:val="18"/>
                <w:color w:val="auto"/>
              </w:rPr>
              <w:t>Investment in joint ventures: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4"/>
        </w:trPr>
        <w:tc>
          <w:tcPr>
            <w:tcW w:w="9240" w:type="dxa"/>
            <w:vAlign w:val="bottom"/>
            <w:shd w:val="clear" w:color="auto" w:fill="C0C0C0"/>
          </w:tcPr>
          <w:p>
            <w:pPr>
              <w:ind w:left="440"/>
              <w:spacing w:after="0"/>
              <w:rPr>
                <w:sz w:val="20"/>
                <w:szCs w:val="20"/>
                <w:color w:val="auto"/>
              </w:rPr>
            </w:pPr>
            <w:r>
              <w:rPr>
                <w:rFonts w:ascii="Arial" w:cs="Arial" w:eastAsia="Arial" w:hAnsi="Arial"/>
                <w:sz w:val="18"/>
                <w:szCs w:val="18"/>
                <w:color w:val="auto"/>
              </w:rPr>
              <w:t>Industrial chemical</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(563,104)</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(25,000)</w:t>
            </w:r>
          </w:p>
        </w:tc>
      </w:tr>
      <w:tr>
        <w:trPr>
          <w:trHeight w:val="242"/>
        </w:trPr>
        <w:tc>
          <w:tcPr>
            <w:tcW w:w="9240" w:type="dxa"/>
            <w:vAlign w:val="bottom"/>
          </w:tcPr>
          <w:p>
            <w:pPr>
              <w:ind w:left="220"/>
              <w:spacing w:after="0"/>
              <w:rPr>
                <w:sz w:val="20"/>
                <w:szCs w:val="20"/>
                <w:color w:val="auto"/>
              </w:rPr>
            </w:pPr>
            <w:r>
              <w:rPr>
                <w:rFonts w:ascii="Arial" w:cs="Arial" w:eastAsia="Arial" w:hAnsi="Arial"/>
                <w:sz w:val="18"/>
                <w:szCs w:val="18"/>
                <w:color w:val="auto"/>
              </w:rPr>
              <w:t>Proceeds from the sale of assets</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850,367</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r>
        <w:trPr>
          <w:trHeight w:val="244"/>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Dividends received from corporate joint ventures</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1,643,091</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899,042</w:t>
            </w:r>
          </w:p>
        </w:tc>
      </w:tr>
      <w:tr>
        <w:trPr>
          <w:trHeight w:val="242"/>
        </w:trPr>
        <w:tc>
          <w:tcPr>
            <w:tcW w:w="9240" w:type="dxa"/>
            <w:vAlign w:val="bottom"/>
          </w:tcPr>
          <w:p>
            <w:pPr>
              <w:ind w:left="220"/>
              <w:spacing w:after="0"/>
              <w:rPr>
                <w:sz w:val="20"/>
                <w:szCs w:val="20"/>
                <w:color w:val="auto"/>
              </w:rPr>
            </w:pPr>
            <w:r>
              <w:rPr>
                <w:rFonts w:ascii="Arial" w:cs="Arial" w:eastAsia="Arial" w:hAnsi="Arial"/>
                <w:sz w:val="18"/>
                <w:szCs w:val="18"/>
                <w:color w:val="auto"/>
              </w:rPr>
              <w:t>Cash received on loans made</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497,179</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454,564</w:t>
            </w:r>
          </w:p>
        </w:tc>
      </w:tr>
      <w:tr>
        <w:trPr>
          <w:trHeight w:val="244"/>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Additions to property and equipment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(799,680)</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(2,908,938)</w:t>
            </w:r>
          </w:p>
        </w:tc>
      </w:tr>
      <w:tr>
        <w:trPr>
          <w:trHeight w:val="242"/>
        </w:trPr>
        <w:tc>
          <w:tcPr>
            <w:tcW w:w="9240" w:type="dxa"/>
            <w:vAlign w:val="bottom"/>
          </w:tcPr>
          <w:p>
            <w:pPr>
              <w:ind w:left="220"/>
              <w:spacing w:after="0"/>
              <w:rPr>
                <w:sz w:val="20"/>
                <w:szCs w:val="20"/>
                <w:color w:val="auto"/>
              </w:rPr>
            </w:pPr>
            <w:r>
              <w:rPr>
                <w:rFonts w:ascii="Arial" w:cs="Arial" w:eastAsia="Arial" w:hAnsi="Arial"/>
                <w:sz w:val="18"/>
                <w:szCs w:val="18"/>
                <w:color w:val="auto"/>
              </w:rPr>
              <w:t>Decrease in other assets</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8,450</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8,068</w:t>
            </w:r>
          </w:p>
        </w:tc>
      </w:tr>
      <w:tr>
        <w:trPr>
          <w:trHeight w:val="244"/>
        </w:trPr>
        <w:tc>
          <w:tcPr>
            <w:tcW w:w="9240" w:type="dxa"/>
            <w:vAlign w:val="bottom"/>
            <w:shd w:val="clear" w:color="auto" w:fill="C0C0C0"/>
          </w:tcPr>
          <w:p>
            <w:pPr>
              <w:ind w:left="220"/>
              <w:spacing w:after="0"/>
              <w:rPr>
                <w:sz w:val="20"/>
                <w:szCs w:val="20"/>
                <w:color w:val="auto"/>
              </w:rPr>
            </w:pPr>
            <w:r>
              <w:rPr>
                <w:rFonts w:ascii="Arial" w:cs="Arial" w:eastAsia="Arial" w:hAnsi="Arial"/>
                <w:sz w:val="18"/>
                <w:szCs w:val="18"/>
                <w:color w:val="auto"/>
              </w:rPr>
              <w:t>Disposals of industrial patents</w:t>
            </w:r>
          </w:p>
        </w:tc>
        <w:tc>
          <w:tcPr>
            <w:tcW w:w="10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63,211</w:t>
            </w:r>
          </w:p>
        </w:tc>
      </w:tr>
    </w:tbl>
    <w:p>
      <w:pPr>
        <w:sectPr>
          <w:pgSz w:w="11900" w:h="16843" w:orient="portrait"/>
          <w:cols w:equalWidth="0" w:num="1">
            <w:col w:w="11440"/>
          </w:cols>
          <w:pgMar w:left="240" w:top="140" w:right="21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Additions to industrial patents</w:t>
            </w:r>
          </w:p>
        </w:tc>
        <w:tc>
          <w:tcPr>
            <w:tcW w:w="39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(133,364)</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(159,967)</w:t>
            </w:r>
          </w:p>
        </w:tc>
        <w:tc>
          <w:tcPr>
            <w:tcW w:w="20" w:type="dxa"/>
            <w:vAlign w:val="bottom"/>
          </w:tcPr>
          <w:p>
            <w:pPr>
              <w:spacing w:after="0"/>
              <w:rPr>
                <w:sz w:val="19"/>
                <w:szCs w:val="19"/>
                <w:color w:val="auto"/>
              </w:rPr>
            </w:pPr>
          </w:p>
        </w:tc>
      </w:tr>
      <w:tr>
        <w:trPr>
          <w:trHeight w:val="238"/>
        </w:trPr>
        <w:tc>
          <w:tcPr>
            <w:tcW w:w="5260" w:type="dxa"/>
            <w:vAlign w:val="bottom"/>
            <w:shd w:val="clear" w:color="auto" w:fill="C0C0C0"/>
          </w:tcPr>
          <w:p>
            <w:pPr>
              <w:ind w:left="840"/>
              <w:spacing w:after="0"/>
              <w:rPr>
                <w:sz w:val="20"/>
                <w:szCs w:val="20"/>
                <w:color w:val="auto"/>
              </w:rPr>
            </w:pPr>
            <w:r>
              <w:rPr>
                <w:rFonts w:ascii="Arial" w:cs="Arial" w:eastAsia="Arial" w:hAnsi="Arial"/>
                <w:sz w:val="18"/>
                <w:szCs w:val="18"/>
                <w:color w:val="auto"/>
              </w:rPr>
              <w:t>Net cash provided by (used in) investing activities</w:t>
            </w:r>
          </w:p>
        </w:tc>
        <w:tc>
          <w:tcPr>
            <w:tcW w:w="4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1,502,939</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(1,669,020)</w:t>
            </w:r>
          </w:p>
        </w:tc>
        <w:tc>
          <w:tcPr>
            <w:tcW w:w="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398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260" w:type="dxa"/>
            <w:vAlign w:val="bottom"/>
          </w:tcPr>
          <w:p>
            <w:pPr>
              <w:ind w:left="220"/>
              <w:spacing w:after="0"/>
              <w:rPr>
                <w:sz w:val="20"/>
                <w:szCs w:val="20"/>
                <w:color w:val="auto"/>
              </w:rPr>
            </w:pPr>
            <w:r>
              <w:rPr>
                <w:rFonts w:ascii="Arial" w:cs="Arial" w:eastAsia="Arial" w:hAnsi="Arial"/>
                <w:sz w:val="18"/>
                <w:szCs w:val="18"/>
                <w:color w:val="auto"/>
              </w:rPr>
              <w:t>Bank overdraft</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(328,804)</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328,804</w:t>
            </w:r>
          </w:p>
        </w:tc>
        <w:tc>
          <w:tcPr>
            <w:tcW w:w="20" w:type="dxa"/>
            <w:vAlign w:val="bottom"/>
          </w:tcPr>
          <w:p>
            <w:pPr>
              <w:spacing w:after="0"/>
              <w:rPr>
                <w:sz w:val="21"/>
                <w:szCs w:val="21"/>
                <w:color w:val="auto"/>
              </w:rPr>
            </w:pPr>
          </w:p>
        </w:tc>
      </w:tr>
      <w:tr>
        <w:trPr>
          <w:trHeight w:val="244"/>
        </w:trPr>
        <w:tc>
          <w:tcPr>
            <w:tcW w:w="5260" w:type="dxa"/>
            <w:vAlign w:val="bottom"/>
            <w:shd w:val="clear" w:color="auto" w:fill="C0C0C0"/>
          </w:tcPr>
          <w:p>
            <w:pPr>
              <w:ind w:left="220"/>
              <w:spacing w:after="0"/>
              <w:rPr>
                <w:sz w:val="20"/>
                <w:szCs w:val="20"/>
                <w:color w:val="auto"/>
              </w:rPr>
            </w:pPr>
            <w:r>
              <w:rPr>
                <w:rFonts w:ascii="Arial" w:cs="Arial" w:eastAsia="Arial" w:hAnsi="Arial"/>
                <w:sz w:val="18"/>
                <w:szCs w:val="18"/>
                <w:color w:val="auto"/>
              </w:rPr>
              <w:t>(Repayment) borrowing of term loan</w:t>
            </w:r>
          </w:p>
        </w:tc>
        <w:tc>
          <w:tcPr>
            <w:tcW w:w="49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(27,311)</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1,275,000</w:t>
            </w:r>
          </w:p>
        </w:tc>
        <w:tc>
          <w:tcPr>
            <w:tcW w:w="20" w:type="dxa"/>
            <w:vAlign w:val="bottom"/>
          </w:tcPr>
          <w:p>
            <w:pPr>
              <w:spacing w:after="0"/>
              <w:rPr>
                <w:sz w:val="21"/>
                <w:szCs w:val="21"/>
                <w:color w:val="auto"/>
              </w:rPr>
            </w:pPr>
          </w:p>
        </w:tc>
      </w:tr>
      <w:tr>
        <w:trPr>
          <w:trHeight w:val="242"/>
        </w:trPr>
        <w:tc>
          <w:tcPr>
            <w:tcW w:w="5260" w:type="dxa"/>
            <w:vAlign w:val="bottom"/>
          </w:tcPr>
          <w:p>
            <w:pPr>
              <w:ind w:left="220"/>
              <w:spacing w:after="0"/>
              <w:rPr>
                <w:sz w:val="20"/>
                <w:szCs w:val="20"/>
                <w:color w:val="auto"/>
              </w:rPr>
            </w:pPr>
            <w:r>
              <w:rPr>
                <w:rFonts w:ascii="Arial" w:cs="Arial" w:eastAsia="Arial" w:hAnsi="Arial"/>
                <w:sz w:val="18"/>
                <w:szCs w:val="18"/>
                <w:color w:val="auto"/>
              </w:rPr>
              <w:t>Repayment of note payable</w:t>
            </w:r>
          </w:p>
        </w:tc>
        <w:tc>
          <w:tcPr>
            <w:tcW w:w="49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(561,712)</w:t>
            </w:r>
          </w:p>
        </w:tc>
        <w:tc>
          <w:tcPr>
            <w:tcW w:w="20" w:type="dxa"/>
            <w:vAlign w:val="bottom"/>
          </w:tcPr>
          <w:p>
            <w:pPr>
              <w:spacing w:after="0"/>
              <w:rPr>
                <w:sz w:val="21"/>
                <w:szCs w:val="21"/>
                <w:color w:val="auto"/>
              </w:rPr>
            </w:pPr>
          </w:p>
        </w:tc>
      </w:tr>
      <w:tr>
        <w:trPr>
          <w:trHeight w:val="244"/>
        </w:trPr>
        <w:tc>
          <w:tcPr>
            <w:tcW w:w="5260" w:type="dxa"/>
            <w:vAlign w:val="bottom"/>
            <w:shd w:val="clear" w:color="auto" w:fill="C0C0C0"/>
          </w:tcPr>
          <w:p>
            <w:pPr>
              <w:ind w:left="220"/>
              <w:spacing w:after="0"/>
              <w:rPr>
                <w:sz w:val="20"/>
                <w:szCs w:val="20"/>
                <w:color w:val="auto"/>
              </w:rPr>
            </w:pPr>
            <w:r>
              <w:rPr>
                <w:rFonts w:ascii="Arial" w:cs="Arial" w:eastAsia="Arial" w:hAnsi="Arial"/>
                <w:sz w:val="18"/>
                <w:szCs w:val="18"/>
                <w:color w:val="auto"/>
              </w:rPr>
              <w:t>Net repayments made on line of credit</w:t>
            </w:r>
          </w:p>
        </w:tc>
        <w:tc>
          <w:tcPr>
            <w:tcW w:w="49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(610,000)</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(390,000)</w:t>
            </w:r>
          </w:p>
        </w:tc>
        <w:tc>
          <w:tcPr>
            <w:tcW w:w="20" w:type="dxa"/>
            <w:vAlign w:val="bottom"/>
          </w:tcPr>
          <w:p>
            <w:pPr>
              <w:spacing w:after="0"/>
              <w:rPr>
                <w:sz w:val="21"/>
                <w:szCs w:val="21"/>
                <w:color w:val="auto"/>
              </w:rPr>
            </w:pP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Stock options exercised</w:t>
            </w:r>
          </w:p>
        </w:tc>
        <w:tc>
          <w:tcPr>
            <w:tcW w:w="3980" w:type="dxa"/>
            <w:vAlign w:val="bottom"/>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125,916</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133,120</w:t>
            </w:r>
          </w:p>
        </w:tc>
        <w:tc>
          <w:tcPr>
            <w:tcW w:w="20" w:type="dxa"/>
            <w:vAlign w:val="bottom"/>
          </w:tcPr>
          <w:p>
            <w:pPr>
              <w:spacing w:after="0"/>
              <w:rPr>
                <w:sz w:val="21"/>
                <w:szCs w:val="21"/>
                <w:color w:val="auto"/>
              </w:rPr>
            </w:pPr>
          </w:p>
        </w:tc>
      </w:tr>
      <w:tr>
        <w:trPr>
          <w:trHeight w:val="237"/>
        </w:trPr>
        <w:tc>
          <w:tcPr>
            <w:tcW w:w="5260" w:type="dxa"/>
            <w:vAlign w:val="bottom"/>
            <w:tcBorders>
              <w:bottom w:val="single" w:sz="8" w:color="C0C0C0"/>
            </w:tcBorders>
            <w:shd w:val="clear" w:color="auto" w:fill="C0C0C0"/>
          </w:tcPr>
          <w:p>
            <w:pPr>
              <w:ind w:left="760"/>
              <w:spacing w:after="0"/>
              <w:rPr>
                <w:sz w:val="20"/>
                <w:szCs w:val="20"/>
                <w:color w:val="auto"/>
              </w:rPr>
            </w:pPr>
            <w:r>
              <w:rPr>
                <w:rFonts w:ascii="Arial" w:cs="Arial" w:eastAsia="Arial" w:hAnsi="Arial"/>
                <w:sz w:val="18"/>
                <w:szCs w:val="18"/>
                <w:color w:val="auto"/>
              </w:rPr>
              <w:t>Net cash (used in) provided by financing activities</w:t>
            </w:r>
          </w:p>
        </w:tc>
        <w:tc>
          <w:tcPr>
            <w:tcW w:w="3980" w:type="dxa"/>
            <w:vAlign w:val="bottom"/>
            <w:tcBorders>
              <w:bottom w:val="single" w:sz="8" w:color="C0C0C0"/>
            </w:tcBorders>
            <w:shd w:val="clear" w:color="auto" w:fill="C0C0C0"/>
          </w:tcPr>
          <w:p>
            <w:pPr>
              <w:spacing w:after="0"/>
              <w:rPr>
                <w:sz w:val="20"/>
                <w:szCs w:val="20"/>
                <w:color w:val="auto"/>
              </w:rPr>
            </w:pPr>
          </w:p>
        </w:tc>
        <w:tc>
          <w:tcPr>
            <w:tcW w:w="10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(840,199)</w:t>
            </w:r>
          </w:p>
        </w:tc>
        <w:tc>
          <w:tcPr>
            <w:tcW w:w="200" w:type="dxa"/>
            <w:vAlign w:val="bottom"/>
            <w:tcBorders>
              <w:bottom w:val="single" w:sz="8" w:color="C0C0C0"/>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785,212</w:t>
            </w:r>
          </w:p>
        </w:tc>
        <w:tc>
          <w:tcPr>
            <w:tcW w:w="20" w:type="dxa"/>
            <w:vAlign w:val="bottom"/>
          </w:tcPr>
          <w:p>
            <w:pPr>
              <w:spacing w:after="0"/>
              <w:rPr>
                <w:sz w:val="20"/>
                <w:szCs w:val="20"/>
                <w:color w:val="auto"/>
              </w:rPr>
            </w:pPr>
          </w:p>
        </w:tc>
      </w:tr>
      <w:tr>
        <w:trPr>
          <w:trHeight w:val="237"/>
        </w:trPr>
        <w:tc>
          <w:tcPr>
            <w:tcW w:w="5260" w:type="dxa"/>
            <w:vAlign w:val="bottom"/>
          </w:tcPr>
          <w:p>
            <w:pPr>
              <w:spacing w:after="0"/>
              <w:rPr>
                <w:sz w:val="20"/>
                <w:szCs w:val="20"/>
                <w:color w:val="auto"/>
              </w:rPr>
            </w:pPr>
          </w:p>
        </w:tc>
        <w:tc>
          <w:tcPr>
            <w:tcW w:w="498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49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(54,618)</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(28,341)</w:t>
            </w:r>
          </w:p>
        </w:tc>
        <w:tc>
          <w:tcPr>
            <w:tcW w:w="20" w:type="dxa"/>
            <w:vAlign w:val="bottom"/>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980" w:type="dxa"/>
            <w:vAlign w:val="bottom"/>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299,117</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327,458</w:t>
            </w:r>
          </w:p>
        </w:tc>
        <w:tc>
          <w:tcPr>
            <w:tcW w:w="20" w:type="dxa"/>
            <w:vAlign w:val="bottom"/>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498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4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$244,499</w:t>
            </w:r>
          </w:p>
        </w:tc>
        <w:tc>
          <w:tcPr>
            <w:tcW w:w="11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$299,117</w:t>
            </w:r>
          </w:p>
        </w:tc>
        <w:tc>
          <w:tcPr>
            <w:tcW w:w="20" w:type="dxa"/>
            <w:vAlign w:val="bottom"/>
          </w:tcPr>
          <w:p>
            <w:pPr>
              <w:spacing w:after="0"/>
              <w:rPr>
                <w:sz w:val="22"/>
                <w:szCs w:val="22"/>
                <w:color w:val="auto"/>
              </w:rPr>
            </w:pPr>
          </w:p>
        </w:tc>
      </w:tr>
      <w:tr>
        <w:trPr>
          <w:trHeight w:val="673"/>
        </w:trPr>
        <w:tc>
          <w:tcPr>
            <w:tcW w:w="526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See notes to consolidated financial statements.</w:t>
            </w:r>
          </w:p>
        </w:tc>
        <w:tc>
          <w:tcPr>
            <w:tcW w:w="3980" w:type="dxa"/>
            <w:vAlign w:val="bottom"/>
            <w:tcBorders>
              <w:top w:val="single" w:sz="8" w:color="C0C0C0"/>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260" w:type="dxa"/>
            <w:vAlign w:val="bottom"/>
          </w:tcPr>
          <w:p>
            <w:pPr>
              <w:spacing w:after="0"/>
              <w:rPr>
                <w:sz w:val="24"/>
                <w:szCs w:val="24"/>
                <w:color w:val="auto"/>
              </w:rPr>
            </w:pPr>
          </w:p>
        </w:tc>
        <w:tc>
          <w:tcPr>
            <w:tcW w:w="3980" w:type="dxa"/>
            <w:vAlign w:val="bottom"/>
          </w:tcPr>
          <w:p>
            <w:pPr>
              <w:jc w:val="right"/>
              <w:ind w:right="3352"/>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2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9" w:lineRule="exact"/>
        <w:rPr>
          <w:sz w:val="20"/>
          <w:szCs w:val="20"/>
          <w:color w:val="auto"/>
        </w:rPr>
      </w:pPr>
    </w:p>
    <w:p>
      <w:pPr>
        <w:ind w:right="3980"/>
        <w:spacing w:after="0" w:line="264" w:lineRule="auto"/>
        <w:rPr>
          <w:sz w:val="20"/>
          <w:szCs w:val="20"/>
          <w:color w:val="auto"/>
        </w:rPr>
      </w:pPr>
      <w:r>
        <w:rPr>
          <w:rFonts w:ascii="Arial" w:cs="Arial" w:eastAsia="Arial" w:hAnsi="Arial"/>
          <w:sz w:val="24"/>
          <w:szCs w:val="24"/>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3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develops, manufactures, markets and sells primarily rust</w:t>
      </w:r>
      <w:r>
        <w:rPr>
          <w:rFonts w:ascii="Arial" w:cs="Arial" w:eastAsia="Arial" w:hAnsi="Arial"/>
          <w:sz w:val="16"/>
          <w:szCs w:val="16"/>
          <w:i w:val="1"/>
          <w:iCs w:val="1"/>
          <w:color w:val="auto"/>
        </w:rPr>
        <w:t xml:space="preserve"> </w:t>
      </w:r>
      <w:r>
        <w:rPr>
          <w:rFonts w:ascii="Arial" w:cs="Arial" w:eastAsia="Arial" w:hAnsi="Arial"/>
          <w:sz w:val="16"/>
          <w:szCs w:val="16"/>
          <w:color w:val="auto"/>
        </w:rPr>
        <w:t>and corrosion protection products and custom packaging systems for primarily automotive, electronics, electrical, mechanical and military applications, sold</w:t>
      </w:r>
    </w:p>
    <w:p>
      <w:pPr>
        <w:jc w:val="both"/>
        <w:ind w:right="20"/>
        <w:spacing w:after="0" w:line="248" w:lineRule="auto"/>
        <w:rPr>
          <w:sz w:val="20"/>
          <w:szCs w:val="20"/>
          <w:color w:val="auto"/>
        </w:rPr>
      </w:pPr>
      <w:r>
        <w:rPr>
          <w:rFonts w:ascii="Arial" w:cs="Arial" w:eastAsia="Arial" w:hAnsi="Arial"/>
          <w:sz w:val="17"/>
          <w:szCs w:val="17"/>
          <w:color w:val="auto"/>
        </w:rPr>
        <w:t>under the brand name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Excor</w:t>
      </w:r>
      <w:r>
        <w:rPr>
          <w:rFonts w:ascii="Arial" w:cs="Arial" w:eastAsia="Arial" w:hAnsi="Arial"/>
          <w:sz w:val="28"/>
          <w:szCs w:val="28"/>
          <w:color w:val="auto"/>
          <w:vertAlign w:val="superscript"/>
        </w:rPr>
        <w:t>®</w:t>
      </w:r>
      <w:r>
        <w:rPr>
          <w:rFonts w:ascii="Arial" w:cs="Arial" w:eastAsia="Arial" w:hAnsi="Arial"/>
          <w:sz w:val="17"/>
          <w:szCs w:val="17"/>
          <w:color w:val="auto"/>
        </w:rPr>
        <w:t>. The Company sells its products, as well as technical services, directly and via a network of independent distributors, manufacturer sales representatives and joint ventures in over 50 countries. The Company participates, either directly or indirectly through holding companies, in 29 corporate joint venture arrangements in North America, South America, Europe, Asia and the Middle East. Each of these joint ventures manufactures, markets and sells finished products generally in the countries to which it is assigned. While most of the Company’s joint ventures currently sell rust and corrosion inhibiting products and custom packaging systems, the Company also has joint ventures that manufacture, market and sell bio-based additives with industrial and personal care applications, plastic recycling technology and electronic sensing instruments.</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Sales Originating in North America </w:t>
      </w:r>
      <w:r>
        <w:rPr>
          <w:rFonts w:ascii="Arial" w:cs="Arial" w:eastAsia="Arial" w:hAnsi="Arial"/>
          <w:sz w:val="18"/>
          <w:szCs w:val="18"/>
          <w:color w:val="auto"/>
        </w:rPr>
        <w:t>– The Company considers sales originating in North America to be all sales shipped/invoiced from the Company’s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Minnesota and Ohio. There are no sales from the Corporate Joint Ventures included in the amount, as the Company’s investments in Corporate Joint Ventures are accounted for using the equity method, except for React-NTI LLC.</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9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The Company reviews customers’ credit history before extending unsecured credit and establishes an allowance for uncollectible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factors surrounding the credit risk of specific customers and other information. Accounts receivable over 30 days are considered past due for most customers. The Company does not accrue interest on past due accounts receivable. If accounts receivable in excess of the provided allowance are determined uncollectible, they are charged to expense in the year that determination is made. Accounts receivable are deemed uncollectible based on NTIC exhausting reasonable efforts to collect. Accounts receivable have been reduced by an allowance for uncollectible accounts of $30,000 and $10,000 on August 31, 2007 and 2006,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lives of the various assets as follows:</w:t>
      </w:r>
    </w:p>
    <w:p>
      <w:pPr>
        <w:spacing w:after="0" w:line="194" w:lineRule="exact"/>
        <w:rPr>
          <w:sz w:val="20"/>
          <w:szCs w:val="20"/>
          <w:color w:val="auto"/>
        </w:rPr>
      </w:pPr>
    </w:p>
    <w:tbl>
      <w:tblPr>
        <w:tblLayout w:type="fixed"/>
        <w:tblInd w:w="28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60" w:type="dxa"/>
            <w:vAlign w:val="bottom"/>
            <w:shd w:val="clear" w:color="auto" w:fill="C0C0C0"/>
          </w:tcPr>
          <w:p>
            <w:pPr>
              <w:spacing w:after="0"/>
              <w:rPr>
                <w:sz w:val="20"/>
                <w:szCs w:val="20"/>
                <w:color w:val="auto"/>
              </w:rPr>
            </w:pPr>
            <w:r>
              <w:rPr>
                <w:rFonts w:ascii="Arial" w:cs="Arial" w:eastAsia="Arial" w:hAnsi="Arial"/>
                <w:sz w:val="18"/>
                <w:szCs w:val="18"/>
                <w:color w:val="auto"/>
              </w:rPr>
              <w:t>Buildings and improvements</w:t>
            </w:r>
          </w:p>
        </w:tc>
        <w:tc>
          <w:tcPr>
            <w:tcW w:w="2240" w:type="dxa"/>
            <w:vAlign w:val="bottom"/>
            <w:shd w:val="clear" w:color="auto" w:fill="C0C0C0"/>
          </w:tcPr>
          <w:p>
            <w:pPr>
              <w:ind w:left="1440"/>
              <w:spacing w:after="0"/>
              <w:rPr>
                <w:sz w:val="20"/>
                <w:szCs w:val="20"/>
                <w:color w:val="auto"/>
              </w:rPr>
            </w:pPr>
            <w:r>
              <w:rPr>
                <w:rFonts w:ascii="Arial" w:cs="Arial" w:eastAsia="Arial" w:hAnsi="Arial"/>
                <w:sz w:val="18"/>
                <w:szCs w:val="18"/>
                <w:color w:val="auto"/>
                <w:w w:val="91"/>
              </w:rPr>
              <w:t>5-30 years</w:t>
            </w:r>
          </w:p>
        </w:tc>
      </w:tr>
      <w:tr>
        <w:trPr>
          <w:trHeight w:val="241"/>
        </w:trPr>
        <w:tc>
          <w:tcPr>
            <w:tcW w:w="34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tcPr>
          <w:p>
            <w:pPr>
              <w:ind w:left="1440"/>
              <w:spacing w:after="0"/>
              <w:rPr>
                <w:sz w:val="20"/>
                <w:szCs w:val="20"/>
                <w:color w:val="auto"/>
              </w:rPr>
            </w:pPr>
            <w:r>
              <w:rPr>
                <w:rFonts w:ascii="Arial" w:cs="Arial" w:eastAsia="Arial" w:hAnsi="Arial"/>
                <w:sz w:val="18"/>
                <w:szCs w:val="18"/>
                <w:color w:val="auto"/>
                <w:w w:val="91"/>
              </w:rPr>
              <w:t>3-10 years</w:t>
            </w:r>
          </w:p>
        </w:tc>
      </w:tr>
    </w:tbl>
    <w:p>
      <w:pPr>
        <w:spacing w:after="0" w:line="200" w:lineRule="exact"/>
        <w:rPr>
          <w:sz w:val="20"/>
          <w:szCs w:val="20"/>
          <w:color w:val="auto"/>
        </w:rPr>
      </w:pPr>
    </w:p>
    <w:p>
      <w:pPr>
        <w:spacing w:after="0" w:line="253"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i w:val="1"/>
          <w:iCs w:val="1"/>
          <w:color w:val="auto"/>
        </w:rPr>
        <w:t xml:space="preserve">Investments in Corporate Joint Ventures </w:t>
      </w:r>
      <w:r>
        <w:rPr>
          <w:rFonts w:ascii="Arial" w:cs="Arial" w:eastAsia="Arial" w:hAnsi="Arial"/>
          <w:sz w:val="15"/>
          <w:szCs w:val="15"/>
          <w:color w:val="auto"/>
        </w:rPr>
        <w:t>- Investments in Corporate Joint Ventures are accounted for using the equity method, except React-NTI LLC.</w:t>
      </w:r>
      <w:r>
        <w:rPr>
          <w:rFonts w:ascii="Arial" w:cs="Arial" w:eastAsia="Arial" w:hAnsi="Arial"/>
          <w:sz w:val="15"/>
          <w:szCs w:val="15"/>
          <w:i w:val="1"/>
          <w:iCs w:val="1"/>
          <w:color w:val="auto"/>
        </w:rPr>
        <w:t xml:space="preserve"> </w:t>
      </w:r>
      <w:r>
        <w:rPr>
          <w:rFonts w:ascii="Arial" w:cs="Arial" w:eastAsia="Arial" w:hAnsi="Arial"/>
          <w:sz w:val="15"/>
          <w:szCs w:val="15"/>
          <w:color w:val="auto"/>
        </w:rPr>
        <w:t>Periodically, the Company evaluates the investments for any impairment and assesses the future cash flow projections to determine if there are any going concern issues. If an investment were determined to be impaired then a reserve would be created to reflect the impairment on the financial results of the Company.</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58" w:right="219" w:bottom="418"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may not be recoverable. The Company determines potential impairment by comparing the carrying value of the assets with expected net cash flows expected to be provided by operating activities of the business or related products. Should the sum of the expected undiscounted future net cash flows are less than the carrying value, the Company would determine whether an impairment loss should be recognized. An impairment loss would be measured by comparing the amount by which the carrying value exceeds the fair value of the asset. For the years ended August 31, 2007 and 2006, the Company did not record any impairment charges.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Northern Technologies International Corporation,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NTI Facilities, Inc. and Northern Technologies Holding Company, LLC, and its 75% owned subsidiary React-NTI LLC. All significant intercompany transactions and balances have been eliminated in consolidation.</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utilizes the liability method of accounting for income taxes as set forth in Statement of Financial Accounting Standards (SFAS) No.</w:t>
      </w:r>
      <w:r>
        <w:rPr>
          <w:rFonts w:ascii="Arial" w:cs="Arial" w:eastAsia="Arial" w:hAnsi="Arial"/>
          <w:sz w:val="16"/>
          <w:szCs w:val="16"/>
          <w:i w:val="1"/>
          <w:iCs w:val="1"/>
          <w:color w:val="auto"/>
        </w:rPr>
        <w:t xml:space="preserve"> </w:t>
      </w:r>
      <w:r>
        <w:rPr>
          <w:rFonts w:ascii="Arial" w:cs="Arial" w:eastAsia="Arial" w:hAnsi="Arial"/>
          <w:sz w:val="16"/>
          <w:szCs w:val="16"/>
          <w:color w:val="auto"/>
        </w:rPr>
        <w:t>109, Accounting for Income Taxes. SFAS No. 109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each international corporate joint venture is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9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recognizing revenue, the Company applies the provisions of the Securities and Exchange Commission Staff Accounting Bulletin 104,</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Recognition. The Company recognizes revenue from the sale of its products when persuasive evidence of an arrangement exists, the product has been delivered, the fee is fixed and determinable and collection of the resulting receivable is reasonably assured.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The Company expenses all costs related to product research and development as incurred. The Company spent $2,575,325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 and $2,043,611 in fiscal 2006 in connection with its research and development activities. These fees are accounted for in the “Expenses incurred in support of corporate joint ventures” section of the income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 The carrying value of cash, short-term accounts receivable, inventories, other current assets, trade accounts payables, and other current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because of the short maturity of those instruments. The fair values of the Company’s long-term debt approximate their carrying values based upon current market rates of interest.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2006, the FASB issued FASB Interpretation 48, “Accounting for Uncertainty in Income Taxes — an interpretation of SFAS No. 109,” (“FIN 48”). FIN 48 clarifies the accounting for uncertainty in income taxes recognized in a company’s financial statements in accordance with SFAS 109, “Accounting for Income Taxes.” This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disclosure and transition. FIN 48 is required to be adopted by the Company on September 1, 2007. The Company is currently evaluating the impact of its adoption of FIN 48 and has not yet determined the effect on its earnings or financial position.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 Including an amendment of FASB Statement No. 115” (“SFAS No. 159”). SFAS No. 159 permits entities to elect to measure many financial instruments and certain other items at fair value. Upon adoption of SFAS No. 159, an entity may elect the fair value option for eligible items that exist at the adoption date. Subsequent to the initial adoption, the election of the fair value option may only be made at initial recognition of the asset or liability or upon a re-measurement event that gives rise to new-basis accounting. The decision about whether to elect the fair value option is applied on an instrument-by-instrument basis, is irrevocable and is applied only to an entire instrument and not only to specified risks, cash flows or portions of that instrument. SFAS No. 159 does not affect any existing accounting literature that requires certain assets and liabilities to be carried at fair value nor does it eliminate disclosure requirements included in other accounting standards. SFAS No. 159 is effective for fiscal years beginning after November 15, 2007. The Company believes the adoption of SFAS No. 159 will not have an impact on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3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In December 2004, FASB published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123(R) requires that the compensation cost relating to share-based payment transactions, including grants of employee stock options, be recognized in financial statements. That cost will be measured based on the fair value of the equity or liability instruments issued. SFAS 123(R) covers a wide range of share-based compensation arrangements including stock options, restricted share plans, performance-based awards, share appreciation rights, and employee share purchase plans. SFAS 123(R) is a replacement of FASB Statement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and supersedes APB Opinion No. 25,</w:t>
      </w:r>
      <w:r>
        <w:rPr>
          <w:rFonts w:ascii="Arial" w:cs="Arial" w:eastAsia="Arial" w:hAnsi="Arial"/>
          <w:sz w:val="15"/>
          <w:szCs w:val="15"/>
          <w:i w:val="1"/>
          <w:iCs w:val="1"/>
          <w:color w:val="auto"/>
        </w:rPr>
        <w:t xml:space="preserve"> Accounting for Stock Issued to Employees</w:t>
      </w:r>
      <w:r>
        <w:rPr>
          <w:rFonts w:ascii="Arial" w:cs="Arial" w:eastAsia="Arial" w:hAnsi="Arial"/>
          <w:sz w:val="15"/>
          <w:szCs w:val="15"/>
          <w:color w:val="auto"/>
        </w:rPr>
        <w:t>, and its related interpretive guidance.</w:t>
      </w:r>
      <w:r>
        <w:rPr>
          <w:rFonts w:ascii="Arial" w:cs="Arial" w:eastAsia="Arial" w:hAnsi="Arial"/>
          <w:sz w:val="15"/>
          <w:szCs w:val="15"/>
          <w:i w:val="1"/>
          <w:iCs w:val="1"/>
          <w:color w:val="auto"/>
        </w:rPr>
        <w:t xml:space="preserve"> </w:t>
      </w:r>
      <w:r>
        <w:rPr>
          <w:rFonts w:ascii="Arial" w:cs="Arial" w:eastAsia="Arial" w:hAnsi="Arial"/>
          <w:sz w:val="15"/>
          <w:szCs w:val="15"/>
          <w:color w:val="auto"/>
        </w:rPr>
        <w:t>The effect of the Statement is to require entities to measure the cost of employee services received in exchange for stock options based on the grant-date fair value of the award, and to recognize the cost over the period the employee is required to provide services for the award. Compensation cost under SFAS 123(R) is recognized ratably using the straight-line attribution method over the expected vesting period, which is considered to be the requisite service period. In addition, pursuant to SFAS 123(R), we are required to estimate the amount of expected forfeitures when calculating the compensation costs, instead of accounting for</w:t>
      </w:r>
    </w:p>
    <w:p>
      <w:pPr>
        <w:sectPr>
          <w:pgSz w:w="11900" w:h="16838" w:orient="portrait"/>
          <w:cols w:equalWidth="0" w:num="1">
            <w:col w:w="11420"/>
          </w:cols>
          <w:pgMar w:left="240" w:top="131" w:right="239" w:bottom="0" w:gutter="0" w:footer="0" w:header="0"/>
        </w:sectPr>
      </w:pPr>
    </w:p>
    <w:bookmarkStart w:id="26" w:name="page27"/>
    <w:bookmarkEnd w:id="26"/>
    <w:p>
      <w:pPr>
        <w:spacing w:after="0" w:line="6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forfeitures as incurred, which was our previous method. All of our options previously awarded were classified as equity instruments and continue to maintain their equity classification under SFAS 123(R). SFAS 123(R) permits entities to use any option-pricing model that meets the fair value objective in the Statement. The Company implemented SFAS 123(R) on September 1, 2006, using the modified prospective transition method.</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 Company granted options to purchase 15,167 shares of its common stock during fiscal 2007. The fair value of option grants is determined at date of grant, using the Black-Scholes option pricing model with the assumptions listed below. The volatility factor used in the Black-Scholes option pricing model is based on historical stock price fluctuations and risk free interest rate are based on U.S. treasury rates appropriate for expected term. Based on these valuations, the Company recognized compensation expense of $59,545 during fiscal 2007, related to the options that vested during such time period, which reduced after tax net income per share by $0.02 for the fiscal year. As of August 31, 2007, the total compensation cost for nonvested options not yet recognized in the Company’s statements of income was $65,856, net of estimated forfeitures. Stock-based compensation expense of $54,867 and $10,989 are expected to be recognized during fiscal 2008 and 2009, respectively. Future option grants will impact the compensation expense recognized.</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13" w:lineRule="exact"/>
        <w:rPr>
          <w:sz w:val="20"/>
          <w:szCs w:val="20"/>
          <w:color w:val="auto"/>
        </w:rPr>
      </w:pPr>
    </w:p>
    <w:tbl>
      <w:tblPr>
        <w:tblLayout w:type="fixed"/>
        <w:tblInd w:w="28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w w:val="88"/>
              </w:rPr>
              <w:t>August 31, 2007</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w w:val="88"/>
              </w:rPr>
              <w:t>August 31, 2006</w:t>
            </w:r>
          </w:p>
        </w:tc>
      </w:tr>
      <w:tr>
        <w:trPr>
          <w:trHeight w:val="238"/>
        </w:trPr>
        <w:tc>
          <w:tcPr>
            <w:tcW w:w="20" w:type="dxa"/>
            <w:vAlign w:val="bottom"/>
          </w:tcPr>
          <w:p>
            <w:pPr>
              <w:spacing w:after="0"/>
              <w:rPr>
                <w:sz w:val="20"/>
                <w:szCs w:val="20"/>
                <w:color w:val="auto"/>
              </w:rPr>
            </w:pPr>
          </w:p>
        </w:tc>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1220" w:type="dxa"/>
            <w:vAlign w:val="bottom"/>
            <w:tcBorders>
              <w:top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0C0C0"/>
          </w:tcPr>
          <w:p>
            <w:pPr>
              <w:spacing w:after="0"/>
              <w:rPr>
                <w:sz w:val="20"/>
                <w:szCs w:val="20"/>
                <w:color w:val="auto"/>
              </w:rPr>
            </w:pPr>
          </w:p>
        </w:tc>
        <w:tc>
          <w:tcPr>
            <w:tcW w:w="1180" w:type="dxa"/>
            <w:vAlign w:val="bottom"/>
            <w:tcBorders>
              <w:top w:val="single" w:sz="8" w:color="auto"/>
            </w:tcBorders>
            <w:shd w:val="clear" w:color="auto" w:fill="C0C0C0"/>
          </w:tcPr>
          <w:p>
            <w:pPr>
              <w:ind w:left="380"/>
              <w:spacing w:after="0"/>
              <w:rPr>
                <w:sz w:val="20"/>
                <w:szCs w:val="20"/>
                <w:color w:val="auto"/>
              </w:rPr>
            </w:pPr>
            <w:r>
              <w:rPr>
                <w:rFonts w:ascii="Arial" w:cs="Arial" w:eastAsia="Arial" w:hAnsi="Arial"/>
                <w:sz w:val="18"/>
                <w:szCs w:val="18"/>
                <w:color w:val="auto"/>
              </w:rPr>
              <w:t>2.00%</w:t>
            </w:r>
          </w:p>
        </w:tc>
      </w:tr>
      <w:tr>
        <w:trPr>
          <w:trHeight w:val="242"/>
        </w:trPr>
        <w:tc>
          <w:tcPr>
            <w:tcW w:w="3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ind w:left="400"/>
              <w:spacing w:after="0"/>
              <w:rPr>
                <w:sz w:val="20"/>
                <w:szCs w:val="20"/>
                <w:color w:val="auto"/>
              </w:rPr>
            </w:pPr>
            <w:r>
              <w:rPr>
                <w:rFonts w:ascii="Arial" w:cs="Arial" w:eastAsia="Arial" w:hAnsi="Arial"/>
                <w:sz w:val="18"/>
                <w:szCs w:val="18"/>
                <w:color w:val="auto"/>
              </w:rPr>
              <w:t>42.9%</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42.8%</w:t>
            </w:r>
          </w:p>
        </w:tc>
      </w:tr>
      <w:tr>
        <w:trPr>
          <w:trHeight w:val="244"/>
        </w:trPr>
        <w:tc>
          <w:tcPr>
            <w:tcW w:w="20" w:type="dxa"/>
            <w:vAlign w:val="bottom"/>
          </w:tcPr>
          <w:p>
            <w:pPr>
              <w:spacing w:after="0"/>
              <w:rPr>
                <w:sz w:val="21"/>
                <w:szCs w:val="21"/>
                <w:color w:val="auto"/>
              </w:rPr>
            </w:pPr>
          </w:p>
        </w:tc>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Expected life of option</w:t>
            </w:r>
          </w:p>
        </w:tc>
        <w:tc>
          <w:tcPr>
            <w:tcW w:w="1220" w:type="dxa"/>
            <w:vAlign w:val="bottom"/>
            <w:shd w:val="clear" w:color="auto" w:fill="C0C0C0"/>
          </w:tcPr>
          <w:p>
            <w:pPr>
              <w:ind w:left="380"/>
              <w:spacing w:after="0"/>
              <w:rPr>
                <w:sz w:val="20"/>
                <w:szCs w:val="20"/>
                <w:color w:val="auto"/>
              </w:rPr>
            </w:pPr>
            <w:r>
              <w:rPr>
                <w:rFonts w:ascii="Arial" w:cs="Arial" w:eastAsia="Arial" w:hAnsi="Arial"/>
                <w:sz w:val="18"/>
                <w:szCs w:val="18"/>
                <w:color w:val="auto"/>
              </w:rPr>
              <w:t>5 years</w:t>
            </w:r>
          </w:p>
        </w:tc>
        <w:tc>
          <w:tcPr>
            <w:tcW w:w="220" w:type="dxa"/>
            <w:vAlign w:val="bottom"/>
            <w:shd w:val="clear" w:color="auto" w:fill="C0C0C0"/>
          </w:tcPr>
          <w:p>
            <w:pPr>
              <w:spacing w:after="0"/>
              <w:rPr>
                <w:sz w:val="21"/>
                <w:szCs w:val="21"/>
                <w:color w:val="auto"/>
              </w:rPr>
            </w:pPr>
          </w:p>
        </w:tc>
        <w:tc>
          <w:tcPr>
            <w:tcW w:w="1180" w:type="dxa"/>
            <w:vAlign w:val="bottom"/>
            <w:shd w:val="clear" w:color="auto" w:fill="C0C0C0"/>
          </w:tcPr>
          <w:p>
            <w:pPr>
              <w:ind w:left="360"/>
              <w:spacing w:after="0"/>
              <w:rPr>
                <w:sz w:val="20"/>
                <w:szCs w:val="20"/>
                <w:color w:val="auto"/>
              </w:rPr>
            </w:pPr>
            <w:r>
              <w:rPr>
                <w:rFonts w:ascii="Arial" w:cs="Arial" w:eastAsia="Arial" w:hAnsi="Arial"/>
                <w:sz w:val="18"/>
                <w:szCs w:val="18"/>
                <w:color w:val="auto"/>
              </w:rPr>
              <w:t>5 years</w:t>
            </w:r>
          </w:p>
        </w:tc>
      </w:tr>
      <w:tr>
        <w:trPr>
          <w:trHeight w:val="241"/>
        </w:trPr>
        <w:tc>
          <w:tcPr>
            <w:tcW w:w="310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1220" w:type="dxa"/>
            <w:vAlign w:val="bottom"/>
          </w:tcPr>
          <w:p>
            <w:pPr>
              <w:ind w:left="400"/>
              <w:spacing w:after="0"/>
              <w:rPr>
                <w:sz w:val="20"/>
                <w:szCs w:val="20"/>
                <w:color w:val="auto"/>
              </w:rPr>
            </w:pPr>
            <w:r>
              <w:rPr>
                <w:rFonts w:ascii="Arial" w:cs="Arial" w:eastAsia="Arial" w:hAnsi="Arial"/>
                <w:sz w:val="18"/>
                <w:szCs w:val="18"/>
                <w:color w:val="auto"/>
              </w:rPr>
              <w:t>4.68%</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4.45%</w:t>
            </w:r>
          </w:p>
        </w:tc>
      </w:tr>
    </w:tbl>
    <w:p>
      <w:pPr>
        <w:spacing w:after="0" w:line="200" w:lineRule="exact"/>
        <w:rPr>
          <w:sz w:val="20"/>
          <w:szCs w:val="20"/>
          <w:color w:val="auto"/>
        </w:rPr>
      </w:pPr>
    </w:p>
    <w:p>
      <w:pPr>
        <w:spacing w:after="0" w:line="2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Dividend yield and expected volatility are estimated using historical amounts that are anticipated to be consistent with current values. Expected life of option is based on the life of the option agreements.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Had compensation cost for stock options been determined based on the fair value methodology prescribed by SFAS 123(R), the Company’s net income and net income per common share for fiscal 2006 would have been reduced to the pro forma amounts indicated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ind w:left="40"/>
              <w:spacing w:after="0"/>
              <w:rPr>
                <w:sz w:val="20"/>
                <w:szCs w:val="20"/>
                <w:color w:val="auto"/>
              </w:rPr>
            </w:pPr>
            <w:r>
              <w:rPr>
                <w:rFonts w:ascii="Arial" w:cs="Arial" w:eastAsia="Arial" w:hAnsi="Arial"/>
                <w:sz w:val="18"/>
                <w:szCs w:val="18"/>
                <w:color w:val="auto"/>
              </w:rPr>
              <w:t>August 31, 2006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8"/>
        </w:trPr>
        <w:tc>
          <w:tcPr>
            <w:tcW w:w="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0C0C0"/>
          </w:tcPr>
          <w:p>
            <w:pPr>
              <w:spacing w:after="0"/>
              <w:rPr>
                <w:sz w:val="20"/>
                <w:szCs w:val="20"/>
                <w:color w:val="auto"/>
              </w:rPr>
            </w:pPr>
          </w:p>
        </w:tc>
        <w:tc>
          <w:tcPr>
            <w:tcW w:w="1280" w:type="dxa"/>
            <w:vAlign w:val="bottom"/>
            <w:tcBorders>
              <w:top w:val="single" w:sz="8" w:color="auto"/>
            </w:tcBorders>
            <w:shd w:val="clear" w:color="auto" w:fill="C0C0C0"/>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2"/>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$1,719,065</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Pro forma</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$1,683,432</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52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spacing w:after="0"/>
              <w:rPr>
                <w:sz w:val="20"/>
                <w:szCs w:val="20"/>
                <w:color w:val="auto"/>
              </w:rPr>
            </w:pPr>
            <w:r>
              <w:rPr>
                <w:rFonts w:ascii="Arial" w:cs="Arial" w:eastAsia="Arial" w:hAnsi="Arial"/>
                <w:sz w:val="18"/>
                <w:szCs w:val="18"/>
                <w:color w:val="auto"/>
                <w:w w:val="89"/>
              </w:rPr>
              <w:t>Basic net income per common share</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Pro forma</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$0.47</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52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spacing w:after="0"/>
              <w:rPr>
                <w:sz w:val="20"/>
                <w:szCs w:val="20"/>
                <w:color w:val="auto"/>
              </w:rPr>
            </w:pPr>
            <w:r>
              <w:rPr>
                <w:rFonts w:ascii="Arial" w:cs="Arial" w:eastAsia="Arial" w:hAnsi="Arial"/>
                <w:sz w:val="18"/>
                <w:szCs w:val="18"/>
                <w:color w:val="auto"/>
              </w:rPr>
              <w:t>Diluted net income per share</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Pro forma</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$0.46</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52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spacing w:after="0"/>
              <w:rPr>
                <w:sz w:val="20"/>
                <w:szCs w:val="20"/>
                <w:color w:val="auto"/>
              </w:rPr>
            </w:pPr>
            <w:r>
              <w:rPr>
                <w:rFonts w:ascii="Arial" w:cs="Arial" w:eastAsia="Arial" w:hAnsi="Arial"/>
                <w:sz w:val="18"/>
                <w:szCs w:val="18"/>
                <w:color w:val="auto"/>
              </w:rPr>
              <w:t>Stock-based compensation, net:</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tcPr>
          <w:p>
            <w:pPr>
              <w:ind w:left="260"/>
              <w:spacing w:after="0"/>
              <w:rPr>
                <w:sz w:val="20"/>
                <w:szCs w:val="20"/>
                <w:color w:val="auto"/>
              </w:rPr>
            </w:pPr>
            <w:r>
              <w:rPr>
                <w:rFonts w:ascii="Arial" w:cs="Arial" w:eastAsia="Arial" w:hAnsi="Arial"/>
                <w:sz w:val="18"/>
                <w:szCs w:val="18"/>
                <w:color w:val="auto"/>
              </w:rPr>
              <w:t>As reported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6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Pro forma</w:t>
            </w:r>
          </w:p>
        </w:tc>
        <w:tc>
          <w:tcPr>
            <w:tcW w:w="15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$35,633</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673"/>
        </w:trPr>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40" w:type="dxa"/>
            <w:vAlign w:val="bottom"/>
            <w:gridSpan w:val="2"/>
          </w:tcPr>
          <w:p>
            <w:pPr>
              <w:jc w:val="right"/>
              <w:ind w:right="1172"/>
              <w:spacing w:after="0"/>
              <w:rPr>
                <w:sz w:val="20"/>
                <w:szCs w:val="20"/>
                <w:color w:val="auto"/>
              </w:rPr>
            </w:pPr>
            <w:r>
              <w:rPr>
                <w:rFonts w:ascii="Arial" w:cs="Arial" w:eastAsia="Arial" w:hAnsi="Arial"/>
                <w:sz w:val="18"/>
                <w:szCs w:val="18"/>
                <w:color w:val="auto"/>
              </w:rPr>
              <w:t>46</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gridSpan w:val="2"/>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r>
      <w:tr>
        <w:trPr>
          <w:trHeight w:val="427"/>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4. INVENTORIES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5"/>
        </w:trPr>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00" w:type="dxa"/>
            <w:vAlign w:val="bottom"/>
            <w:gridSpan w:val="4"/>
          </w:tcPr>
          <w:p>
            <w:pPr>
              <w:ind w:left="1500"/>
              <w:spacing w:after="0"/>
              <w:rPr>
                <w:sz w:val="20"/>
                <w:szCs w:val="20"/>
                <w:color w:val="auto"/>
              </w:rPr>
            </w:pPr>
            <w:r>
              <w:rPr>
                <w:rFonts w:ascii="Arial" w:cs="Arial" w:eastAsia="Arial" w:hAnsi="Arial"/>
                <w:sz w:val="18"/>
                <w:szCs w:val="18"/>
                <w:color w:val="auto"/>
                <w:w w:val="89"/>
              </w:rPr>
              <w:t>August 31, 2007</w:t>
            </w:r>
          </w:p>
        </w:tc>
        <w:tc>
          <w:tcPr>
            <w:tcW w:w="1680" w:type="dxa"/>
            <w:vAlign w:val="bottom"/>
            <w:gridSpan w:val="4"/>
          </w:tcPr>
          <w:p>
            <w:pPr>
              <w:ind w:left="200"/>
              <w:spacing w:after="0"/>
              <w:rPr>
                <w:sz w:val="20"/>
                <w:szCs w:val="20"/>
                <w:color w:val="auto"/>
              </w:rPr>
            </w:pPr>
            <w:r>
              <w:rPr>
                <w:rFonts w:ascii="Arial" w:cs="Arial" w:eastAsia="Arial" w:hAnsi="Arial"/>
                <w:sz w:val="18"/>
                <w:szCs w:val="18"/>
                <w:color w:val="auto"/>
              </w:rPr>
              <w:t>August 31, 2006</w:t>
            </w:r>
          </w:p>
        </w:tc>
      </w:tr>
      <w:tr>
        <w:trPr>
          <w:trHeight w:val="243"/>
        </w:trPr>
        <w:tc>
          <w:tcPr>
            <w:tcW w:w="300" w:type="dxa"/>
            <w:vAlign w:val="bottom"/>
          </w:tcPr>
          <w:p>
            <w:pPr>
              <w:spacing w:after="0"/>
              <w:rPr>
                <w:sz w:val="21"/>
                <w:szCs w:val="21"/>
                <w:color w:val="auto"/>
              </w:rPr>
            </w:pPr>
          </w:p>
        </w:tc>
        <w:tc>
          <w:tcPr>
            <w:tcW w:w="522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Production materials</w:t>
            </w:r>
          </w:p>
        </w:tc>
        <w:tc>
          <w:tcPr>
            <w:tcW w:w="3060" w:type="dxa"/>
            <w:vAlign w:val="bottom"/>
            <w:tcBorders>
              <w:top w:val="single" w:sz="8" w:color="C0C0C0"/>
            </w:tcBorders>
            <w:gridSpan w:val="3"/>
            <w:shd w:val="clear" w:color="auto" w:fill="C0C0C0"/>
          </w:tcPr>
          <w:p>
            <w:pPr>
              <w:spacing w:after="0"/>
              <w:rPr>
                <w:sz w:val="21"/>
                <w:szCs w:val="21"/>
                <w:color w:val="auto"/>
              </w:rPr>
            </w:pPr>
          </w:p>
        </w:tc>
        <w:tc>
          <w:tcPr>
            <w:tcW w:w="11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$183,658</w:t>
            </w:r>
          </w:p>
        </w:tc>
        <w:tc>
          <w:tcPr>
            <w:tcW w:w="2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18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$353,516</w:t>
            </w:r>
          </w:p>
        </w:tc>
        <w:tc>
          <w:tcPr>
            <w:tcW w:w="300" w:type="dxa"/>
            <w:vAlign w:val="bottom"/>
          </w:tcPr>
          <w:p>
            <w:pPr>
              <w:spacing w:after="0"/>
              <w:rPr>
                <w:sz w:val="21"/>
                <w:szCs w:val="21"/>
                <w:color w:val="auto"/>
              </w:rPr>
            </w:pPr>
          </w:p>
        </w:tc>
      </w:tr>
      <w:tr>
        <w:trPr>
          <w:trHeight w:val="237"/>
        </w:trPr>
        <w:tc>
          <w:tcPr>
            <w:tcW w:w="5520" w:type="dxa"/>
            <w:vAlign w:val="bottom"/>
            <w:gridSpan w:val="3"/>
          </w:tcPr>
          <w:p>
            <w:pPr>
              <w:ind w:left="300"/>
              <w:spacing w:after="0"/>
              <w:rPr>
                <w:sz w:val="20"/>
                <w:szCs w:val="20"/>
                <w:color w:val="auto"/>
              </w:rPr>
            </w:pPr>
            <w:r>
              <w:rPr>
                <w:rFonts w:ascii="Arial" w:cs="Arial" w:eastAsia="Arial" w:hAnsi="Arial"/>
                <w:sz w:val="18"/>
                <w:szCs w:val="18"/>
                <w:color w:val="auto"/>
              </w:rPr>
              <w:t>Finished goods</w:t>
            </w:r>
          </w:p>
        </w:tc>
        <w:tc>
          <w:tcPr>
            <w:tcW w:w="4220" w:type="dxa"/>
            <w:vAlign w:val="bottom"/>
            <w:gridSpan w:val="5"/>
          </w:tcPr>
          <w:p>
            <w:pPr>
              <w:jc w:val="right"/>
              <w:spacing w:after="0"/>
              <w:rPr>
                <w:sz w:val="20"/>
                <w:szCs w:val="20"/>
                <w:color w:val="auto"/>
              </w:rPr>
            </w:pPr>
            <w:r>
              <w:rPr>
                <w:rFonts w:ascii="Arial" w:cs="Arial" w:eastAsia="Arial" w:hAnsi="Arial"/>
                <w:sz w:val="18"/>
                <w:szCs w:val="18"/>
                <w:color w:val="auto"/>
              </w:rPr>
              <w:t>1,452,415</w:t>
            </w:r>
          </w:p>
        </w:tc>
        <w:tc>
          <w:tcPr>
            <w:tcW w:w="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1,024,437</w:t>
            </w:r>
          </w:p>
        </w:tc>
        <w:tc>
          <w:tcPr>
            <w:tcW w:w="300" w:type="dxa"/>
            <w:vAlign w:val="bottom"/>
          </w:tcPr>
          <w:p>
            <w:pPr>
              <w:spacing w:after="0"/>
              <w:rPr>
                <w:sz w:val="20"/>
                <w:szCs w:val="20"/>
                <w:color w:val="auto"/>
              </w:rPr>
            </w:pPr>
          </w:p>
        </w:tc>
      </w:tr>
      <w:tr>
        <w:trPr>
          <w:trHeight w:val="257"/>
        </w:trPr>
        <w:tc>
          <w:tcPr>
            <w:tcW w:w="300" w:type="dxa"/>
            <w:vAlign w:val="bottom"/>
          </w:tcPr>
          <w:p>
            <w:pPr>
              <w:spacing w:after="0"/>
              <w:rPr>
                <w:sz w:val="22"/>
                <w:szCs w:val="22"/>
                <w:color w:val="auto"/>
              </w:rPr>
            </w:pPr>
          </w:p>
        </w:tc>
        <w:tc>
          <w:tcPr>
            <w:tcW w:w="2580" w:type="dxa"/>
            <w:vAlign w:val="bottom"/>
            <w:tcBorders>
              <w:top w:val="single" w:sz="8" w:color="C0C0C0"/>
              <w:bottom w:val="single" w:sz="8" w:color="C0C0C0"/>
            </w:tcBorders>
            <w:shd w:val="clear" w:color="auto" w:fill="C0C0C0"/>
          </w:tcPr>
          <w:p>
            <w:pPr>
              <w:spacing w:after="0"/>
              <w:rPr>
                <w:sz w:val="22"/>
                <w:szCs w:val="22"/>
                <w:color w:val="auto"/>
              </w:rPr>
            </w:pPr>
          </w:p>
        </w:tc>
        <w:tc>
          <w:tcPr>
            <w:tcW w:w="2640" w:type="dxa"/>
            <w:vAlign w:val="bottom"/>
            <w:tcBorders>
              <w:top w:val="single" w:sz="8" w:color="C0C0C0"/>
              <w:bottom w:val="single" w:sz="8" w:color="C0C0C0"/>
            </w:tcBorders>
            <w:shd w:val="clear" w:color="auto" w:fill="C0C0C0"/>
          </w:tcPr>
          <w:p>
            <w:pPr>
              <w:spacing w:after="0"/>
              <w:rPr>
                <w:sz w:val="22"/>
                <w:szCs w:val="22"/>
                <w:color w:val="auto"/>
              </w:rPr>
            </w:pPr>
          </w:p>
        </w:tc>
        <w:tc>
          <w:tcPr>
            <w:tcW w:w="3060" w:type="dxa"/>
            <w:vAlign w:val="bottom"/>
            <w:tcBorders>
              <w:top w:val="single" w:sz="8" w:color="C0C0C0"/>
              <w:bottom w:val="single" w:sz="8" w:color="C0C0C0"/>
            </w:tcBorders>
            <w:gridSpan w:val="3"/>
            <w:shd w:val="clear" w:color="auto" w:fill="C0C0C0"/>
          </w:tcPr>
          <w:p>
            <w:pPr>
              <w:spacing w:after="0"/>
              <w:rPr>
                <w:sz w:val="22"/>
                <w:szCs w:val="22"/>
                <w:color w:val="auto"/>
              </w:rPr>
            </w:pPr>
          </w:p>
        </w:tc>
        <w:tc>
          <w:tcPr>
            <w:tcW w:w="116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$1,636,073</w:t>
            </w:r>
          </w:p>
        </w:tc>
        <w:tc>
          <w:tcPr>
            <w:tcW w:w="20" w:type="dxa"/>
            <w:vAlign w:val="bottom"/>
            <w:tcBorders>
              <w:top w:val="single" w:sz="8" w:color="C0C0C0"/>
              <w:bottom w:val="single" w:sz="8" w:color="C0C0C0"/>
            </w:tcBorders>
            <w:shd w:val="clear" w:color="auto" w:fill="C0C0C0"/>
          </w:tcPr>
          <w:p>
            <w:pPr>
              <w:spacing w:after="0"/>
              <w:rPr>
                <w:sz w:val="22"/>
                <w:szCs w:val="22"/>
                <w:color w:val="auto"/>
              </w:rPr>
            </w:pPr>
          </w:p>
        </w:tc>
        <w:tc>
          <w:tcPr>
            <w:tcW w:w="200" w:type="dxa"/>
            <w:vAlign w:val="bottom"/>
            <w:tcBorders>
              <w:top w:val="single" w:sz="8" w:color="C0C0C0"/>
              <w:bottom w:val="single" w:sz="8" w:color="C0C0C0"/>
            </w:tcBorders>
            <w:shd w:val="clear" w:color="auto" w:fill="C0C0C0"/>
          </w:tcPr>
          <w:p>
            <w:pPr>
              <w:spacing w:after="0"/>
              <w:rPr>
                <w:sz w:val="22"/>
                <w:szCs w:val="22"/>
                <w:color w:val="auto"/>
              </w:rPr>
            </w:pPr>
          </w:p>
        </w:tc>
        <w:tc>
          <w:tcPr>
            <w:tcW w:w="118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$1,377,953</w:t>
            </w:r>
          </w:p>
        </w:tc>
        <w:tc>
          <w:tcPr>
            <w:tcW w:w="300" w:type="dxa"/>
            <w:vAlign w:val="bottom"/>
          </w:tcPr>
          <w:p>
            <w:pPr>
              <w:spacing w:after="0"/>
              <w:rPr>
                <w:sz w:val="22"/>
                <w:szCs w:val="22"/>
                <w:color w:val="auto"/>
              </w:rPr>
            </w:pPr>
          </w:p>
        </w:tc>
      </w:tr>
      <w:tr>
        <w:trPr>
          <w:trHeight w:val="667"/>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5"/>
        </w:trPr>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w w:val="86"/>
              </w:rPr>
              <w:t>August 31, 2007</w:t>
            </w:r>
          </w:p>
        </w:tc>
        <w:tc>
          <w:tcPr>
            <w:tcW w:w="20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August 31, 2006</w:t>
            </w:r>
          </w:p>
        </w:tc>
      </w:tr>
      <w:tr>
        <w:trPr>
          <w:trHeight w:val="243"/>
        </w:trPr>
        <w:tc>
          <w:tcPr>
            <w:tcW w:w="300" w:type="dxa"/>
            <w:vAlign w:val="bottom"/>
          </w:tcPr>
          <w:p>
            <w:pPr>
              <w:spacing w:after="0"/>
              <w:rPr>
                <w:sz w:val="21"/>
                <w:szCs w:val="21"/>
                <w:color w:val="auto"/>
              </w:rPr>
            </w:pPr>
          </w:p>
        </w:tc>
        <w:tc>
          <w:tcPr>
            <w:tcW w:w="522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Land</w:t>
            </w:r>
          </w:p>
        </w:tc>
        <w:tc>
          <w:tcPr>
            <w:tcW w:w="3080" w:type="dxa"/>
            <w:vAlign w:val="bottom"/>
            <w:tcBorders>
              <w:top w:val="single" w:sz="8" w:color="C0C0C0"/>
            </w:tcBorders>
            <w:gridSpan w:val="4"/>
            <w:shd w:val="clear" w:color="auto" w:fill="C0C0C0"/>
          </w:tcPr>
          <w:p>
            <w:pPr>
              <w:spacing w:after="0"/>
              <w:rPr>
                <w:sz w:val="21"/>
                <w:szCs w:val="21"/>
                <w:color w:val="auto"/>
              </w:rPr>
            </w:pPr>
          </w:p>
        </w:tc>
        <w:tc>
          <w:tcPr>
            <w:tcW w:w="114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$310,365</w:t>
            </w:r>
          </w:p>
        </w:tc>
        <w:tc>
          <w:tcPr>
            <w:tcW w:w="2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gridSpan w:val="2"/>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$29,097</w:t>
            </w:r>
          </w:p>
        </w:tc>
        <w:tc>
          <w:tcPr>
            <w:tcW w:w="300" w:type="dxa"/>
            <w:vAlign w:val="bottom"/>
          </w:tcPr>
          <w:p>
            <w:pPr>
              <w:spacing w:after="0"/>
              <w:rPr>
                <w:sz w:val="21"/>
                <w:szCs w:val="21"/>
                <w:color w:val="auto"/>
              </w:rPr>
            </w:pPr>
          </w:p>
        </w:tc>
      </w:tr>
      <w:tr>
        <w:trPr>
          <w:trHeight w:val="235"/>
        </w:trPr>
        <w:tc>
          <w:tcPr>
            <w:tcW w:w="5520" w:type="dxa"/>
            <w:vAlign w:val="bottom"/>
            <w:gridSpan w:val="3"/>
          </w:tcPr>
          <w:p>
            <w:pPr>
              <w:ind w:left="300"/>
              <w:spacing w:after="0"/>
              <w:rPr>
                <w:sz w:val="20"/>
                <w:szCs w:val="20"/>
                <w:color w:val="auto"/>
              </w:rPr>
            </w:pPr>
            <w:r>
              <w:rPr>
                <w:rFonts w:ascii="Arial" w:cs="Arial" w:eastAsia="Arial" w:hAnsi="Arial"/>
                <w:sz w:val="18"/>
                <w:szCs w:val="18"/>
                <w:color w:val="auto"/>
              </w:rPr>
              <w:t>Buildings and improvements</w:t>
            </w:r>
          </w:p>
        </w:tc>
        <w:tc>
          <w:tcPr>
            <w:tcW w:w="4220" w:type="dxa"/>
            <w:vAlign w:val="bottom"/>
            <w:gridSpan w:val="5"/>
          </w:tcPr>
          <w:p>
            <w:pPr>
              <w:jc w:val="right"/>
              <w:ind w:right="12"/>
              <w:spacing w:after="0"/>
              <w:rPr>
                <w:sz w:val="20"/>
                <w:szCs w:val="20"/>
                <w:color w:val="auto"/>
              </w:rPr>
            </w:pPr>
            <w:r>
              <w:rPr>
                <w:rFonts w:ascii="Arial" w:cs="Arial" w:eastAsia="Arial" w:hAnsi="Arial"/>
                <w:sz w:val="18"/>
                <w:szCs w:val="18"/>
                <w:color w:val="auto"/>
              </w:rPr>
              <w:t>3,048,103</w:t>
            </w:r>
          </w:p>
        </w:tc>
        <w:tc>
          <w:tcPr>
            <w:tcW w:w="20" w:type="dxa"/>
            <w:vAlign w:val="bottom"/>
          </w:tcPr>
          <w:p>
            <w:pPr>
              <w:spacing w:after="0"/>
              <w:rPr>
                <w:sz w:val="20"/>
                <w:szCs w:val="20"/>
                <w:color w:val="auto"/>
              </w:rPr>
            </w:pPr>
          </w:p>
        </w:tc>
        <w:tc>
          <w:tcPr>
            <w:tcW w:w="1380" w:type="dxa"/>
            <w:vAlign w:val="bottom"/>
            <w:gridSpan w:val="3"/>
          </w:tcPr>
          <w:p>
            <w:pPr>
              <w:jc w:val="right"/>
              <w:ind w:right="52"/>
              <w:spacing w:after="0"/>
              <w:rPr>
                <w:sz w:val="20"/>
                <w:szCs w:val="20"/>
                <w:color w:val="auto"/>
              </w:rPr>
            </w:pPr>
            <w:r>
              <w:rPr>
                <w:rFonts w:ascii="Arial" w:cs="Arial" w:eastAsia="Arial" w:hAnsi="Arial"/>
                <w:sz w:val="18"/>
                <w:szCs w:val="18"/>
                <w:color w:val="auto"/>
              </w:rPr>
              <w:t>3,420,596</w:t>
            </w:r>
          </w:p>
        </w:tc>
        <w:tc>
          <w:tcPr>
            <w:tcW w:w="300" w:type="dxa"/>
            <w:vAlign w:val="bottom"/>
          </w:tcPr>
          <w:p>
            <w:pPr>
              <w:spacing w:after="0"/>
              <w:rPr>
                <w:sz w:val="20"/>
                <w:szCs w:val="20"/>
                <w:color w:val="auto"/>
              </w:rPr>
            </w:pPr>
          </w:p>
        </w:tc>
      </w:tr>
      <w:tr>
        <w:trPr>
          <w:trHeight w:val="244"/>
        </w:trPr>
        <w:tc>
          <w:tcPr>
            <w:tcW w:w="300" w:type="dxa"/>
            <w:vAlign w:val="bottom"/>
          </w:tcPr>
          <w:p>
            <w:pPr>
              <w:spacing w:after="0"/>
              <w:rPr>
                <w:sz w:val="21"/>
                <w:szCs w:val="21"/>
                <w:color w:val="auto"/>
              </w:rPr>
            </w:pPr>
          </w:p>
        </w:tc>
        <w:tc>
          <w:tcPr>
            <w:tcW w:w="52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Machinery and equipment</w:t>
            </w:r>
          </w:p>
        </w:tc>
        <w:tc>
          <w:tcPr>
            <w:tcW w:w="3080" w:type="dxa"/>
            <w:vAlign w:val="bottom"/>
            <w:gridSpan w:val="4"/>
            <w:shd w:val="clear" w:color="auto" w:fill="C0C0C0"/>
          </w:tcPr>
          <w:p>
            <w:pPr>
              <w:spacing w:after="0"/>
              <w:rPr>
                <w:sz w:val="21"/>
                <w:szCs w:val="21"/>
                <w:color w:val="auto"/>
              </w:rPr>
            </w:pPr>
          </w:p>
        </w:tc>
        <w:tc>
          <w:tcPr>
            <w:tcW w:w="11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1,274,707</w:t>
            </w:r>
          </w:p>
        </w:tc>
        <w:tc>
          <w:tcPr>
            <w:tcW w:w="20" w:type="dxa"/>
            <w:vAlign w:val="bottom"/>
            <w:tcBorders>
              <w:bottom w:val="single" w:sz="8" w:color="auto"/>
            </w:tcBorders>
            <w:shd w:val="clear" w:color="auto" w:fill="C0C0C0"/>
          </w:tcPr>
          <w:p>
            <w:pPr>
              <w:spacing w:after="0"/>
              <w:rPr>
                <w:sz w:val="21"/>
                <w:szCs w:val="21"/>
                <w:color w:val="auto"/>
              </w:rPr>
            </w:pPr>
          </w:p>
        </w:tc>
        <w:tc>
          <w:tcPr>
            <w:tcW w:w="220" w:type="dxa"/>
            <w:vAlign w:val="bottom"/>
            <w:gridSpan w:val="2"/>
            <w:shd w:val="clear" w:color="auto" w:fill="C0C0C0"/>
          </w:tcPr>
          <w:p>
            <w:pPr>
              <w:spacing w:after="0"/>
              <w:rPr>
                <w:sz w:val="21"/>
                <w:szCs w:val="21"/>
                <w:color w:val="auto"/>
              </w:rPr>
            </w:pPr>
          </w:p>
        </w:tc>
        <w:tc>
          <w:tcPr>
            <w:tcW w:w="11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1,024,024</w:t>
            </w:r>
          </w:p>
        </w:tc>
        <w:tc>
          <w:tcPr>
            <w:tcW w:w="300" w:type="dxa"/>
            <w:vAlign w:val="bottom"/>
          </w:tcPr>
          <w:p>
            <w:pPr>
              <w:spacing w:after="0"/>
              <w:rPr>
                <w:sz w:val="21"/>
                <w:szCs w:val="21"/>
                <w:color w:val="auto"/>
              </w:rPr>
            </w:pPr>
          </w:p>
        </w:tc>
      </w:tr>
      <w:tr>
        <w:trPr>
          <w:trHeight w:val="235"/>
        </w:trPr>
        <w:tc>
          <w:tcPr>
            <w:tcW w:w="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220" w:type="dxa"/>
            <w:vAlign w:val="bottom"/>
            <w:gridSpan w:val="5"/>
          </w:tcPr>
          <w:p>
            <w:pPr>
              <w:jc w:val="right"/>
              <w:ind w:right="12"/>
              <w:spacing w:after="0"/>
              <w:rPr>
                <w:sz w:val="20"/>
                <w:szCs w:val="20"/>
                <w:color w:val="auto"/>
              </w:rPr>
            </w:pPr>
            <w:r>
              <w:rPr>
                <w:rFonts w:ascii="Arial" w:cs="Arial" w:eastAsia="Arial" w:hAnsi="Arial"/>
                <w:sz w:val="18"/>
                <w:szCs w:val="18"/>
                <w:color w:val="auto"/>
              </w:rPr>
              <w:t>4,633,175</w:t>
            </w:r>
          </w:p>
        </w:tc>
        <w:tc>
          <w:tcPr>
            <w:tcW w:w="20" w:type="dxa"/>
            <w:vAlign w:val="bottom"/>
          </w:tcPr>
          <w:p>
            <w:pPr>
              <w:spacing w:after="0"/>
              <w:rPr>
                <w:sz w:val="20"/>
                <w:szCs w:val="20"/>
                <w:color w:val="auto"/>
              </w:rPr>
            </w:pPr>
          </w:p>
        </w:tc>
        <w:tc>
          <w:tcPr>
            <w:tcW w:w="1380" w:type="dxa"/>
            <w:vAlign w:val="bottom"/>
            <w:gridSpan w:val="3"/>
          </w:tcPr>
          <w:p>
            <w:pPr>
              <w:jc w:val="right"/>
              <w:ind w:right="52"/>
              <w:spacing w:after="0"/>
              <w:rPr>
                <w:sz w:val="20"/>
                <w:szCs w:val="20"/>
                <w:color w:val="auto"/>
              </w:rPr>
            </w:pPr>
            <w:r>
              <w:rPr>
                <w:rFonts w:ascii="Arial" w:cs="Arial" w:eastAsia="Arial" w:hAnsi="Arial"/>
                <w:sz w:val="18"/>
                <w:szCs w:val="18"/>
                <w:color w:val="auto"/>
              </w:rPr>
              <w:t>4,473,717</w:t>
            </w:r>
          </w:p>
        </w:tc>
        <w:tc>
          <w:tcPr>
            <w:tcW w:w="300" w:type="dxa"/>
            <w:vAlign w:val="bottom"/>
          </w:tcPr>
          <w:p>
            <w:pPr>
              <w:spacing w:after="0"/>
              <w:rPr>
                <w:sz w:val="20"/>
                <w:szCs w:val="20"/>
                <w:color w:val="auto"/>
              </w:rPr>
            </w:pPr>
          </w:p>
        </w:tc>
      </w:tr>
      <w:tr>
        <w:trPr>
          <w:trHeight w:val="172"/>
        </w:trPr>
        <w:tc>
          <w:tcPr>
            <w:tcW w:w="300" w:type="dxa"/>
            <w:vAlign w:val="bottom"/>
          </w:tcPr>
          <w:p>
            <w:pPr>
              <w:spacing w:after="0"/>
              <w:rPr>
                <w:sz w:val="14"/>
                <w:szCs w:val="14"/>
                <w:color w:val="auto"/>
              </w:rPr>
            </w:pPr>
          </w:p>
        </w:tc>
        <w:tc>
          <w:tcPr>
            <w:tcW w:w="2580" w:type="dxa"/>
            <w:vAlign w:val="bottom"/>
            <w:shd w:val="clear" w:color="auto" w:fill="C0C0C0"/>
          </w:tcPr>
          <w:p>
            <w:pPr>
              <w:spacing w:after="0"/>
              <w:rPr>
                <w:sz w:val="14"/>
                <w:szCs w:val="14"/>
                <w:color w:val="auto"/>
              </w:rPr>
            </w:pPr>
          </w:p>
        </w:tc>
        <w:tc>
          <w:tcPr>
            <w:tcW w:w="2640" w:type="dxa"/>
            <w:vAlign w:val="bottom"/>
            <w:shd w:val="clear" w:color="auto" w:fill="C0C0C0"/>
          </w:tcPr>
          <w:p>
            <w:pPr>
              <w:spacing w:after="0"/>
              <w:rPr>
                <w:sz w:val="14"/>
                <w:szCs w:val="14"/>
                <w:color w:val="auto"/>
              </w:rPr>
            </w:pPr>
          </w:p>
        </w:tc>
        <w:tc>
          <w:tcPr>
            <w:tcW w:w="26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1520" w:type="dxa"/>
            <w:vAlign w:val="bottom"/>
            <w:shd w:val="clear" w:color="auto" w:fill="C0C0C0"/>
          </w:tcPr>
          <w:p>
            <w:pPr>
              <w:spacing w:after="0"/>
              <w:rPr>
                <w:sz w:val="14"/>
                <w:szCs w:val="14"/>
                <w:color w:val="auto"/>
              </w:rPr>
            </w:pPr>
          </w:p>
        </w:tc>
        <w:tc>
          <w:tcPr>
            <w:tcW w:w="2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2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2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-3084195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-3084195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31" w:right="219" w:bottom="0" w:gutter="0" w:footer="0" w:header="0"/>
        </w:sectPr>
      </w:pPr>
    </w:p>
    <w:bookmarkStart w:id="27" w:name="page28"/>
    <w:bookmarkEnd w:id="27"/>
    <w:tbl>
      <w:tblPr>
        <w:tblLayout w:type="fixed"/>
        <w:tblInd w:w="300" w:type="dxa"/>
        <w:tblCellMar>
          <w:top w:w="0" w:type="dxa"/>
          <w:left w:w="0" w:type="dxa"/>
          <w:bottom w:w="0" w:type="dxa"/>
          <w:right w:w="0" w:type="dxa"/>
        </w:tblCellMar>
      </w:tblPr>
      <w:tr>
        <w:trPr>
          <w:trHeight w:val="243"/>
        </w:trPr>
        <w:tc>
          <w:tcPr>
            <w:tcW w:w="8300" w:type="dxa"/>
            <w:vAlign w:val="bottom"/>
            <w:shd w:val="clear" w:color="auto" w:fill="C0C0C0"/>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(840,714)</w:t>
            </w:r>
          </w:p>
        </w:tc>
        <w:tc>
          <w:tcPr>
            <w:tcW w:w="220" w:type="dxa"/>
            <w:vAlign w:val="bottom"/>
            <w:shd w:val="clear" w:color="auto" w:fill="C0C0C0"/>
          </w:tcPr>
          <w:p>
            <w:pPr>
              <w:spacing w:after="0"/>
              <w:rPr>
                <w:sz w:val="21"/>
                <w:szCs w:val="21"/>
                <w:color w:val="auto"/>
              </w:rPr>
            </w:pPr>
          </w:p>
        </w:tc>
        <w:tc>
          <w:tcPr>
            <w:tcW w:w="1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(1,043,144)</w:t>
            </w:r>
          </w:p>
        </w:tc>
      </w:tr>
      <w:tr>
        <w:trPr>
          <w:trHeight w:val="244"/>
        </w:trPr>
        <w:tc>
          <w:tcPr>
            <w:tcW w:w="8300" w:type="dxa"/>
            <w:vAlign w:val="bottom"/>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$3,792,461</w:t>
            </w:r>
          </w:p>
        </w:tc>
        <w:tc>
          <w:tcPr>
            <w:tcW w:w="220" w:type="dxa"/>
            <w:vAlign w:val="bottom"/>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$3,430,573</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 recognized a gain on the sale of land, building and equipment that previously served as its corporate headquarters of $726,295 during fiscal 2007. This was a one-time sale and no additional gain is anticipated to be recognized relating to the building in the future as the entire sale was received in cash and NTIC does not have any continued interest in the property sold.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6. INDUSTRIAL PATENTS AND TRADEMARKS, NET</w:t>
            </w: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Industrial patents and trademarks, net consisted of the following:</w:t>
            </w:r>
          </w:p>
        </w:tc>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5"/>
        </w:trPr>
        <w:tc>
          <w:tcPr>
            <w:tcW w:w="3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August 31, 2007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August 31, 2006</w:t>
            </w:r>
          </w:p>
        </w:tc>
      </w:tr>
      <w:tr>
        <w:trPr>
          <w:trHeight w:val="243"/>
        </w:trPr>
        <w:tc>
          <w:tcPr>
            <w:tcW w:w="300" w:type="dxa"/>
            <w:vAlign w:val="bottom"/>
          </w:tcPr>
          <w:p>
            <w:pPr>
              <w:spacing w:after="0"/>
              <w:rPr>
                <w:sz w:val="21"/>
                <w:szCs w:val="21"/>
                <w:color w:val="auto"/>
              </w:rPr>
            </w:pPr>
          </w:p>
        </w:tc>
        <w:tc>
          <w:tcPr>
            <w:tcW w:w="62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Patents and trademarks</w:t>
            </w:r>
          </w:p>
        </w:tc>
        <w:tc>
          <w:tcPr>
            <w:tcW w:w="2020" w:type="dxa"/>
            <w:vAlign w:val="bottom"/>
            <w:tcBorders>
              <w:top w:val="single" w:sz="8" w:color="C0C0C0"/>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$1,412,209</w:t>
            </w:r>
          </w:p>
        </w:tc>
        <w:tc>
          <w:tcPr>
            <w:tcW w:w="220" w:type="dxa"/>
            <w:vAlign w:val="bottom"/>
            <w:tcBorders>
              <w:top w:val="single" w:sz="8" w:color="C0C0C0"/>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$1,278,845</w:t>
            </w:r>
          </w:p>
        </w:tc>
      </w:tr>
      <w:tr>
        <w:trPr>
          <w:trHeight w:val="237"/>
        </w:trPr>
        <w:tc>
          <w:tcPr>
            <w:tcW w:w="6580" w:type="dxa"/>
            <w:vAlign w:val="bottom"/>
            <w:gridSpan w:val="2"/>
          </w:tcPr>
          <w:p>
            <w:pPr>
              <w:ind w:left="300"/>
              <w:spacing w:after="0"/>
              <w:rPr>
                <w:sz w:val="20"/>
                <w:szCs w:val="20"/>
                <w:color w:val="auto"/>
              </w:rPr>
            </w:pPr>
            <w:r>
              <w:rPr>
                <w:rFonts w:ascii="Arial" w:cs="Arial" w:eastAsia="Arial" w:hAnsi="Arial"/>
                <w:sz w:val="18"/>
                <w:szCs w:val="18"/>
                <w:color w:val="auto"/>
              </w:rPr>
              <w:t>Less accumulated amortization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(429,003)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(282,253)</w:t>
            </w:r>
          </w:p>
        </w:tc>
      </w:tr>
      <w:tr>
        <w:trPr>
          <w:trHeight w:val="250"/>
        </w:trPr>
        <w:tc>
          <w:tcPr>
            <w:tcW w:w="300" w:type="dxa"/>
            <w:vAlign w:val="bottom"/>
          </w:tcPr>
          <w:p>
            <w:pPr>
              <w:spacing w:after="0"/>
              <w:rPr>
                <w:sz w:val="21"/>
                <w:szCs w:val="21"/>
                <w:color w:val="auto"/>
              </w:rPr>
            </w:pPr>
          </w:p>
        </w:tc>
        <w:tc>
          <w:tcPr>
            <w:tcW w:w="6280" w:type="dxa"/>
            <w:vAlign w:val="bottom"/>
            <w:tcBorders>
              <w:top w:val="single" w:sz="8" w:color="C0C0C0"/>
              <w:bottom w:val="single" w:sz="8" w:color="C0C0C0"/>
            </w:tcBorders>
            <w:shd w:val="clear" w:color="auto" w:fill="C0C0C0"/>
          </w:tcPr>
          <w:p>
            <w:pPr>
              <w:spacing w:after="0"/>
              <w:rPr>
                <w:sz w:val="21"/>
                <w:szCs w:val="21"/>
                <w:color w:val="auto"/>
              </w:rPr>
            </w:pPr>
          </w:p>
        </w:tc>
        <w:tc>
          <w:tcPr>
            <w:tcW w:w="2020" w:type="dxa"/>
            <w:vAlign w:val="bottom"/>
            <w:tcBorders>
              <w:top w:val="single" w:sz="8" w:color="C0C0C0"/>
              <w:bottom w:val="single" w:sz="8" w:color="C0C0C0"/>
            </w:tcBorders>
            <w:shd w:val="clear" w:color="auto" w:fill="C0C0C0"/>
          </w:tcPr>
          <w:p>
            <w:pPr>
              <w:spacing w:after="0"/>
              <w:rPr>
                <w:sz w:val="21"/>
                <w:szCs w:val="21"/>
                <w:color w:val="auto"/>
              </w:rPr>
            </w:pPr>
          </w:p>
        </w:tc>
        <w:tc>
          <w:tcPr>
            <w:tcW w:w="116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$983,206</w:t>
            </w:r>
          </w:p>
        </w:tc>
        <w:tc>
          <w:tcPr>
            <w:tcW w:w="220" w:type="dxa"/>
            <w:vAlign w:val="bottom"/>
            <w:tcBorders>
              <w:top w:val="single" w:sz="8" w:color="C0C0C0"/>
              <w:bottom w:val="single" w:sz="8" w:color="C0C0C0"/>
            </w:tcBorders>
            <w:shd w:val="clear" w:color="auto" w:fill="C0C0C0"/>
          </w:tcPr>
          <w:p>
            <w:pPr>
              <w:spacing w:after="0"/>
              <w:rPr>
                <w:sz w:val="21"/>
                <w:szCs w:val="21"/>
                <w:color w:val="auto"/>
              </w:rPr>
            </w:pPr>
          </w:p>
        </w:tc>
        <w:tc>
          <w:tcPr>
            <w:tcW w:w="116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$996,592</w:t>
            </w:r>
          </w:p>
        </w:tc>
      </w:tr>
    </w:tbl>
    <w:p>
      <w:pPr>
        <w:spacing w:after="0" w:line="200" w:lineRule="exact"/>
        <w:rPr>
          <w:sz w:val="20"/>
          <w:szCs w:val="20"/>
          <w:color w:val="auto"/>
        </w:rPr>
      </w:pPr>
    </w:p>
    <w:p>
      <w:pPr>
        <w:spacing w:after="0" w:line="25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Patent and trademark costs are amortized over seven years once it is filed and approved. Amortization expense was $146,750 and $160,381, for the years ended August 31, 2007 and 2006, respectively. Amortization expense is estimated to approximate $140,000 in each of the next five fiscal years.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7. NOTES RECEIVABLE AND FOREIGN DEPOSITS</w:t>
            </w:r>
          </w:p>
        </w:tc>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w w:val="99"/>
              </w:rPr>
              <w:t>Notes receivable and foreign deposits consisted of the following:</w:t>
            </w:r>
          </w:p>
        </w:tc>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5"/>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August 31, 2007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August 31, 2006</w:t>
            </w:r>
          </w:p>
        </w:tc>
      </w:tr>
      <w:tr>
        <w:trPr>
          <w:trHeight w:val="243"/>
        </w:trPr>
        <w:tc>
          <w:tcPr>
            <w:tcW w:w="300" w:type="dxa"/>
            <w:vAlign w:val="bottom"/>
          </w:tcPr>
          <w:p>
            <w:pPr>
              <w:spacing w:after="0"/>
              <w:rPr>
                <w:sz w:val="21"/>
                <w:szCs w:val="21"/>
                <w:color w:val="auto"/>
              </w:rPr>
            </w:pPr>
          </w:p>
        </w:tc>
        <w:tc>
          <w:tcPr>
            <w:tcW w:w="4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3480" w:type="dxa"/>
            <w:vAlign w:val="bottom"/>
            <w:tcBorders>
              <w:top w:val="single" w:sz="8" w:color="C0C0C0"/>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0C0C0"/>
            </w:tcBorders>
            <w:shd w:val="clear" w:color="auto" w:fill="C0C0C0"/>
          </w:tcPr>
          <w:p>
            <w:pPr>
              <w:spacing w:after="0"/>
              <w:rPr>
                <w:sz w:val="21"/>
                <w:szCs w:val="21"/>
                <w:color w:val="auto"/>
              </w:rPr>
            </w:pPr>
          </w:p>
        </w:tc>
        <w:tc>
          <w:tcPr>
            <w:tcW w:w="11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$51,710</w:t>
            </w:r>
          </w:p>
        </w:tc>
      </w:tr>
      <w:tr>
        <w:trPr>
          <w:trHeight w:val="237"/>
        </w:trPr>
        <w:tc>
          <w:tcPr>
            <w:tcW w:w="5100" w:type="dxa"/>
            <w:vAlign w:val="bottom"/>
            <w:gridSpan w:val="2"/>
          </w:tcPr>
          <w:p>
            <w:pPr>
              <w:ind w:left="300"/>
              <w:spacing w:after="0"/>
              <w:rPr>
                <w:sz w:val="20"/>
                <w:szCs w:val="20"/>
                <w:color w:val="auto"/>
              </w:rPr>
            </w:pPr>
            <w:r>
              <w:rPr>
                <w:rFonts w:ascii="Arial" w:cs="Arial" w:eastAsia="Arial" w:hAnsi="Arial"/>
                <w:sz w:val="18"/>
                <w:szCs w:val="18"/>
                <w:color w:val="auto"/>
              </w:rPr>
              <w:t>Foreign deposits</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445,469</w:t>
            </w:r>
          </w:p>
        </w:tc>
      </w:tr>
      <w:tr>
        <w:trPr>
          <w:trHeight w:val="257"/>
        </w:trPr>
        <w:tc>
          <w:tcPr>
            <w:tcW w:w="300" w:type="dxa"/>
            <w:vAlign w:val="bottom"/>
          </w:tcPr>
          <w:p>
            <w:pPr>
              <w:spacing w:after="0"/>
              <w:rPr>
                <w:sz w:val="22"/>
                <w:szCs w:val="22"/>
                <w:color w:val="auto"/>
              </w:rPr>
            </w:pPr>
          </w:p>
        </w:tc>
        <w:tc>
          <w:tcPr>
            <w:tcW w:w="4800" w:type="dxa"/>
            <w:vAlign w:val="bottom"/>
            <w:tcBorders>
              <w:top w:val="single" w:sz="8" w:color="C0C0C0"/>
              <w:bottom w:val="single" w:sz="8" w:color="C0C0C0"/>
            </w:tcBorders>
            <w:shd w:val="clear" w:color="auto" w:fill="C0C0C0"/>
          </w:tcPr>
          <w:p>
            <w:pPr>
              <w:spacing w:after="0"/>
              <w:rPr>
                <w:sz w:val="22"/>
                <w:szCs w:val="22"/>
                <w:color w:val="auto"/>
              </w:rPr>
            </w:pPr>
          </w:p>
        </w:tc>
        <w:tc>
          <w:tcPr>
            <w:tcW w:w="3480" w:type="dxa"/>
            <w:vAlign w:val="bottom"/>
            <w:tcBorders>
              <w:top w:val="single" w:sz="8" w:color="C0C0C0"/>
              <w:bottom w:val="single" w:sz="8" w:color="C0C0C0"/>
            </w:tcBorders>
            <w:shd w:val="clear" w:color="auto" w:fill="C0C0C0"/>
          </w:tcPr>
          <w:p>
            <w:pPr>
              <w:spacing w:after="0"/>
              <w:rPr>
                <w:sz w:val="22"/>
                <w:szCs w:val="22"/>
                <w:color w:val="auto"/>
              </w:rPr>
            </w:pPr>
          </w:p>
        </w:tc>
        <w:tc>
          <w:tcPr>
            <w:tcW w:w="11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0C0C0"/>
              <w:bottom w:val="single" w:sz="8" w:color="C0C0C0"/>
            </w:tcBorders>
            <w:shd w:val="clear" w:color="auto" w:fill="C0C0C0"/>
          </w:tcPr>
          <w:p>
            <w:pPr>
              <w:spacing w:after="0"/>
              <w:rPr>
                <w:sz w:val="22"/>
                <w:szCs w:val="22"/>
                <w:color w:val="auto"/>
              </w:rPr>
            </w:pPr>
          </w:p>
        </w:tc>
        <w:tc>
          <w:tcPr>
            <w:tcW w:w="11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$497,179</w:t>
            </w:r>
          </w:p>
        </w:tc>
      </w:tr>
      <w:tr>
        <w:trPr>
          <w:trHeight w:val="667"/>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80" w:type="dxa"/>
            <w:vAlign w:val="bottom"/>
          </w:tcPr>
          <w:p>
            <w:pPr>
              <w:jc w:val="right"/>
              <w:ind w:right="2692"/>
              <w:spacing w:after="0"/>
              <w:rPr>
                <w:sz w:val="20"/>
                <w:szCs w:val="20"/>
                <w:color w:val="auto"/>
              </w:rPr>
            </w:pPr>
            <w:r>
              <w:rPr>
                <w:rFonts w:ascii="Arial" w:cs="Arial" w:eastAsia="Arial" w:hAnsi="Arial"/>
                <w:sz w:val="18"/>
                <w:szCs w:val="18"/>
                <w:color w:val="auto"/>
              </w:rPr>
              <w:t>47</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CORPORATE JOINT VENTURES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6540" w:type="dxa"/>
            <w:vAlign w:val="bottom"/>
          </w:tcPr>
          <w:p>
            <w:pPr>
              <w:spacing w:after="0"/>
              <w:rPr>
                <w:sz w:val="20"/>
                <w:szCs w:val="20"/>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August 31, 2007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August 31, 2006</w:t>
            </w:r>
          </w:p>
        </w:tc>
      </w:tr>
      <w:tr>
        <w:trPr>
          <w:trHeight w:val="243"/>
        </w:trPr>
        <w:tc>
          <w:tcPr>
            <w:tcW w:w="65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1740" w:type="dxa"/>
            <w:vAlign w:val="bottom"/>
            <w:tcBorders>
              <w:top w:val="single" w:sz="8" w:color="C0C0C0"/>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$42,767,569</w:t>
            </w:r>
          </w:p>
        </w:tc>
        <w:tc>
          <w:tcPr>
            <w:tcW w:w="220" w:type="dxa"/>
            <w:vAlign w:val="bottom"/>
            <w:tcBorders>
              <w:top w:val="single" w:sz="8" w:color="C0C0C0"/>
            </w:tcBorders>
            <w:shd w:val="clear" w:color="auto" w:fill="C0C0C0"/>
          </w:tcPr>
          <w:p>
            <w:pPr>
              <w:spacing w:after="0"/>
              <w:rPr>
                <w:sz w:val="21"/>
                <w:szCs w:val="21"/>
                <w:color w:val="auto"/>
              </w:rPr>
            </w:pPr>
          </w:p>
        </w:tc>
        <w:tc>
          <w:tcPr>
            <w:tcW w:w="11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$33,954,156</w:t>
            </w:r>
          </w:p>
        </w:tc>
      </w:tr>
      <w:tr>
        <w:trPr>
          <w:trHeight w:val="249"/>
        </w:trPr>
        <w:tc>
          <w:tcPr>
            <w:tcW w:w="6540" w:type="dxa"/>
            <w:vAlign w:val="bottom"/>
          </w:tcPr>
          <w:p>
            <w:pPr>
              <w:spacing w:after="0"/>
              <w:rPr>
                <w:sz w:val="20"/>
                <w:szCs w:val="20"/>
                <w:color w:val="auto"/>
              </w:rPr>
            </w:pPr>
            <w:r>
              <w:rPr>
                <w:rFonts w:ascii="Arial" w:cs="Arial" w:eastAsia="Arial" w:hAnsi="Arial"/>
                <w:sz w:val="18"/>
                <w:szCs w:val="18"/>
                <w:color w:val="auto"/>
              </w:rPr>
              <w:t>Total assets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49,312,491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39,030,247</w:t>
            </w:r>
          </w:p>
        </w:tc>
      </w:tr>
      <w:tr>
        <w:trPr>
          <w:trHeight w:val="251"/>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14,939,496</w:t>
            </w:r>
          </w:p>
        </w:tc>
        <w:tc>
          <w:tcPr>
            <w:tcW w:w="1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14,323,903</w:t>
            </w:r>
          </w:p>
        </w:tc>
      </w:tr>
      <w:tr>
        <w:trPr>
          <w:trHeight w:val="243"/>
        </w:trPr>
        <w:tc>
          <w:tcPr>
            <w:tcW w:w="6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Noncurrent liabilities</w:t>
            </w:r>
          </w:p>
        </w:tc>
        <w:tc>
          <w:tcPr>
            <w:tcW w:w="2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4,971,199</w:t>
            </w:r>
          </w:p>
        </w:tc>
        <w:tc>
          <w:tcPr>
            <w:tcW w:w="1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1,496,557</w:t>
            </w:r>
          </w:p>
        </w:tc>
      </w:tr>
      <w:tr>
        <w:trPr>
          <w:trHeight w:val="243"/>
        </w:trPr>
        <w:tc>
          <w:tcPr>
            <w:tcW w:w="6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Joint ventures’ equity</w:t>
            </w:r>
          </w:p>
        </w:tc>
        <w:tc>
          <w:tcPr>
            <w:tcW w:w="2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29,401,796</w:t>
            </w:r>
          </w:p>
        </w:tc>
        <w:tc>
          <w:tcPr>
            <w:tcW w:w="1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23,209,788</w:t>
            </w: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w:t>
            </w:r>
          </w:p>
        </w:tc>
        <w:tc>
          <w:tcPr>
            <w:tcW w:w="1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Corporate Joint Ventures’ equity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$13,602,842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$10,772,102</w:t>
            </w:r>
          </w:p>
        </w:tc>
      </w:tr>
      <w:tr>
        <w:trPr>
          <w:trHeight w:val="495"/>
        </w:trPr>
        <w:tc>
          <w:tcPr>
            <w:tcW w:w="6540" w:type="dxa"/>
            <w:vAlign w:val="bottom"/>
          </w:tcPr>
          <w:p>
            <w:pPr>
              <w:spacing w:after="0"/>
              <w:rPr>
                <w:sz w:val="24"/>
                <w:szCs w:val="24"/>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August 31, 2007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August 31, 2006</w:t>
            </w:r>
          </w:p>
        </w:tc>
      </w:tr>
      <w:tr>
        <w:trPr>
          <w:trHeight w:val="243"/>
        </w:trPr>
        <w:tc>
          <w:tcPr>
            <w:tcW w:w="65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sales</w:t>
            </w:r>
          </w:p>
        </w:tc>
        <w:tc>
          <w:tcPr>
            <w:tcW w:w="1740" w:type="dxa"/>
            <w:vAlign w:val="bottom"/>
            <w:tcBorders>
              <w:top w:val="single" w:sz="8" w:color="C0C0C0"/>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$80,551,700</w:t>
            </w:r>
          </w:p>
        </w:tc>
        <w:tc>
          <w:tcPr>
            <w:tcW w:w="220" w:type="dxa"/>
            <w:vAlign w:val="bottom"/>
            <w:tcBorders>
              <w:top w:val="single" w:sz="8" w:color="C0C0C0"/>
            </w:tcBorders>
            <w:shd w:val="clear" w:color="auto" w:fill="C0C0C0"/>
          </w:tcPr>
          <w:p>
            <w:pPr>
              <w:spacing w:after="0"/>
              <w:rPr>
                <w:sz w:val="21"/>
                <w:szCs w:val="21"/>
                <w:color w:val="auto"/>
              </w:rPr>
            </w:pPr>
          </w:p>
        </w:tc>
        <w:tc>
          <w:tcPr>
            <w:tcW w:w="11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$63,959,090</w:t>
            </w:r>
          </w:p>
        </w:tc>
      </w:tr>
      <w:tr>
        <w:trPr>
          <w:trHeight w:val="249"/>
        </w:trPr>
        <w:tc>
          <w:tcPr>
            <w:tcW w:w="6540" w:type="dxa"/>
            <w:vAlign w:val="bottom"/>
          </w:tcPr>
          <w:p>
            <w:pPr>
              <w:spacing w:after="0"/>
              <w:rPr>
                <w:sz w:val="20"/>
                <w:szCs w:val="20"/>
                <w:color w:val="auto"/>
              </w:rPr>
            </w:pPr>
            <w:r>
              <w:rPr>
                <w:rFonts w:ascii="Arial" w:cs="Arial" w:eastAsia="Arial" w:hAnsi="Arial"/>
                <w:sz w:val="18"/>
                <w:szCs w:val="18"/>
                <w:color w:val="auto"/>
              </w:rPr>
              <w:t>Gross profit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37,395,480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29,204,129</w:t>
            </w:r>
          </w:p>
        </w:tc>
      </w:tr>
      <w:tr>
        <w:trPr>
          <w:trHeight w:val="264"/>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6,439,108</w:t>
            </w:r>
          </w:p>
        </w:tc>
        <w:tc>
          <w:tcPr>
            <w:tcW w:w="1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5,209,499</w:t>
            </w: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equity in</w:t>
            </w:r>
          </w:p>
        </w:tc>
        <w:tc>
          <w:tcPr>
            <w:tcW w:w="1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income of Corporate Joint Ventures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$3,201,621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$2,713,096</w:t>
            </w:r>
          </w:p>
        </w:tc>
      </w:tr>
    </w:tbl>
    <w:p>
      <w:pPr>
        <w:spacing w:after="0" w:line="200" w:lineRule="exact"/>
        <w:rPr>
          <w:sz w:val="20"/>
          <w:szCs w:val="20"/>
          <w:color w:val="auto"/>
        </w:rPr>
      </w:pP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country of domicile. Amounts related to foreign joint ventures reported in the above tables and the accompanying financial statements have been adjusted to approximate US GAAP in all material respects.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2007, the Company invested in corporate joint ventures as follows: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2006, the Company invested $81,522, in a new industrial chemical corporate joint venture to develop operations in the United Arab Emirates in the oil and gas industry. The Company has a 50% ownership interest in the new entity. The new entity had no operations prior to the Company’s investment. It is anticipated that this is the first of two installments towards the Company’s 50% capitalization of an estimated $200,000 over the next 12 months. It is anticipated that the total capitalization by all owners of the joint venture will be $400,000.</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December 2006, the Company invested $143,000 to establish a new non-industrial chemical joint venture in Thailand. The Company has a 50% ownership interest in the new entity. The new entity had no operations prior to the Company’s investment. The total capitalization by both owners of the joint venture was</w:t>
      </w:r>
    </w:p>
    <w:p>
      <w:pPr>
        <w:sectPr>
          <w:pgSz w:w="11900" w:h="16838" w:orient="portrait"/>
          <w:cols w:equalWidth="0" w:num="1">
            <w:col w:w="11420"/>
          </w:cols>
          <w:pgMar w:left="240" w:top="140"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$286,000.</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February 2007, the Company invested $323,843 in its industrial chemical corporate joint venture in India for a capital intensive expansion. As result of the investment by both the Company and the other owner, the total increase in capitalization of the joint venture was $647,686.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June 2007, the Company invested $25,000, in addition to the $25,000 previously invested in June 2006 in a new industrial chemical corporate joint venture to develop operations in Ukraine. The Company has a 50% ownership interest in the new entity. The new entity had no operations prior to the Company’s initial investment. As result of the investment by both the Company and the other owner, the total increase in capitalization of the joint venture was $100,000.</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investment in the company's joint ventures include the company's share of undistributed earnings of $11,771,829 and $8,096,364 at August 31, 2007 and 2006,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both August 31, 2007 and August 31, 2006 was $304,000.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CORPORATE DEBT</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 revolving credit facility of $1,500,000 that expires on January 31, 2008. Outstanding amounts under the revolving credit facility bear interest at an annual rate based on LIBOR plus 2.25%. As of August 31, 2007, the interest rate was 7.97% and the average for the year ended August 31, 2007 and 2006 were 7.60% and 6.98%, respectively.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the maintenance of a minimum fixed charge coverage ratio of 1.0 to 1.0. The Company is in compliance with all covenants under the revolving credit facility. Outstanding balances were $0 and $610,000 as of August 31, 2007 and August 31, 2006, respectively.</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originally entered into a term loan with a principal amount of $1,275,000 that matures on May 1, 2011, bears interest at a fixed rate of 8.01% and is payable in 59 monthly payments equal to approximately $10,776 (inclusive of principal and interest). All of the remaining unpaid principal and accrued interest is due and payable on the maturity date. The Note is secured by a first lien on the Company’s Circle Pines facility pursuant to a Mortgage dated as of May 3, 2006 between Northern Technologies Holding Company LLC and National City Bank and is guaranteed by the Company. Future minimum payments on the term loan are as follows:</w:t>
      </w: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1200" w:type="dxa"/>
            <w:vAlign w:val="bottom"/>
            <w:shd w:val="clear" w:color="auto" w:fill="C0C0C0"/>
          </w:tcPr>
          <w:p>
            <w:pPr>
              <w:spacing w:after="0"/>
              <w:rPr>
                <w:sz w:val="20"/>
                <w:szCs w:val="20"/>
                <w:color w:val="auto"/>
              </w:rPr>
            </w:pPr>
            <w:r>
              <w:rPr>
                <w:rFonts w:ascii="Arial" w:cs="Arial" w:eastAsia="Arial" w:hAnsi="Arial"/>
                <w:sz w:val="18"/>
                <w:szCs w:val="18"/>
                <w:color w:val="auto"/>
              </w:rPr>
              <w:t>Fiscal 2008</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$29,319</w:t>
            </w:r>
          </w:p>
        </w:tc>
      </w:tr>
      <w:tr>
        <w:trPr>
          <w:trHeight w:val="235"/>
        </w:trPr>
        <w:tc>
          <w:tcPr>
            <w:tcW w:w="1200" w:type="dxa"/>
            <w:vAlign w:val="bottom"/>
          </w:tcPr>
          <w:p>
            <w:pPr>
              <w:spacing w:after="0"/>
              <w:rPr>
                <w:sz w:val="20"/>
                <w:szCs w:val="20"/>
                <w:color w:val="auto"/>
              </w:rPr>
            </w:pPr>
            <w:r>
              <w:rPr>
                <w:rFonts w:ascii="Arial" w:cs="Arial" w:eastAsia="Arial" w:hAnsi="Arial"/>
                <w:sz w:val="18"/>
                <w:szCs w:val="18"/>
                <w:color w:val="auto"/>
              </w:rPr>
              <w:t>Fiscal 2009</w:t>
            </w:r>
          </w:p>
        </w:tc>
        <w:tc>
          <w:tcPr>
            <w:tcW w:w="1180" w:type="dxa"/>
            <w:vAlign w:val="bottom"/>
          </w:tcPr>
          <w:p>
            <w:pPr>
              <w:jc w:val="right"/>
              <w:spacing w:after="0"/>
              <w:rPr>
                <w:sz w:val="20"/>
                <w:szCs w:val="20"/>
                <w:color w:val="auto"/>
              </w:rPr>
            </w:pPr>
            <w:r>
              <w:rPr>
                <w:rFonts w:ascii="Arial" w:cs="Arial" w:eastAsia="Arial" w:hAnsi="Arial"/>
                <w:sz w:val="18"/>
                <w:szCs w:val="18"/>
                <w:color w:val="auto"/>
              </w:rPr>
              <w:t>$31,411</w:t>
            </w:r>
          </w:p>
        </w:tc>
      </w:tr>
      <w:tr>
        <w:trPr>
          <w:trHeight w:val="251"/>
        </w:trPr>
        <w:tc>
          <w:tcPr>
            <w:tcW w:w="1200" w:type="dxa"/>
            <w:vAlign w:val="bottom"/>
            <w:shd w:val="clear" w:color="auto" w:fill="C0C0C0"/>
          </w:tcPr>
          <w:p>
            <w:pPr>
              <w:spacing w:after="0"/>
              <w:rPr>
                <w:sz w:val="20"/>
                <w:szCs w:val="20"/>
                <w:color w:val="auto"/>
              </w:rPr>
            </w:pPr>
            <w:r>
              <w:rPr>
                <w:rFonts w:ascii="Arial" w:cs="Arial" w:eastAsia="Arial" w:hAnsi="Arial"/>
                <w:sz w:val="18"/>
                <w:szCs w:val="18"/>
                <w:color w:val="auto"/>
              </w:rPr>
              <w:t>Fiscal 2010</w:t>
            </w: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$34,897</w:t>
            </w:r>
          </w:p>
        </w:tc>
      </w:tr>
      <w:tr>
        <w:trPr>
          <w:trHeight w:val="228"/>
        </w:trPr>
        <w:tc>
          <w:tcPr>
            <w:tcW w:w="1200" w:type="dxa"/>
            <w:vAlign w:val="bottom"/>
          </w:tcPr>
          <w:p>
            <w:pPr>
              <w:spacing w:after="0"/>
              <w:rPr>
                <w:sz w:val="20"/>
                <w:szCs w:val="20"/>
                <w:color w:val="auto"/>
              </w:rPr>
            </w:pPr>
            <w:r>
              <w:rPr>
                <w:rFonts w:ascii="Arial" w:cs="Arial" w:eastAsia="Arial" w:hAnsi="Arial"/>
                <w:sz w:val="18"/>
                <w:szCs w:val="18"/>
                <w:color w:val="auto"/>
              </w:rPr>
              <w:t>Fiscal 2011</w:t>
            </w:r>
          </w:p>
        </w:tc>
        <w:tc>
          <w:tcPr>
            <w:tcW w:w="1180" w:type="dxa"/>
            <w:vAlign w:val="bottom"/>
          </w:tcPr>
          <w:p>
            <w:pPr>
              <w:jc w:val="right"/>
              <w:spacing w:after="0"/>
              <w:rPr>
                <w:sz w:val="20"/>
                <w:szCs w:val="20"/>
                <w:color w:val="auto"/>
              </w:rPr>
            </w:pPr>
            <w:r>
              <w:rPr>
                <w:rFonts w:ascii="Arial" w:cs="Arial" w:eastAsia="Arial" w:hAnsi="Arial"/>
                <w:sz w:val="18"/>
                <w:szCs w:val="18"/>
                <w:color w:val="auto"/>
              </w:rPr>
              <w:t>$1,145,220</w:t>
            </w: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fiscal 2007, the Company did not purchase or retire any shares of its common stock. The following stock options to purchase shares of common stock were exercised during fiscal 2007:</w:t>
      </w:r>
    </w:p>
    <w:p>
      <w:pPr>
        <w:spacing w:after="0" w:line="199"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18"/>
          <w:szCs w:val="18"/>
          <w:color w:val="auto"/>
        </w:rPr>
        <w:t>Options</w:t>
      </w:r>
      <w:r>
        <w:rPr>
          <w:sz w:val="20"/>
          <w:szCs w:val="20"/>
          <w:color w:val="auto"/>
        </w:rPr>
        <w:tab/>
      </w:r>
      <w:r>
        <w:rPr>
          <w:rFonts w:ascii="Arial" w:cs="Arial" w:eastAsia="Arial" w:hAnsi="Arial"/>
          <w:sz w:val="18"/>
          <w:szCs w:val="18"/>
          <w:color w:val="auto"/>
        </w:rPr>
        <w:t>Exercise</w:t>
      </w:r>
    </w:p>
    <w:p>
      <w:pPr>
        <w:spacing w:after="0" w:line="36"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color w:val="auto"/>
        </w:rPr>
        <w:t>Exercised</w:t>
      </w:r>
      <w:r>
        <w:rPr>
          <w:sz w:val="20"/>
          <w:szCs w:val="20"/>
          <w:color w:val="auto"/>
        </w:rPr>
        <w:tab/>
      </w:r>
      <w:r>
        <w:rPr>
          <w:rFonts w:ascii="Arial" w:cs="Arial" w:eastAsia="Arial" w:hAnsi="Arial"/>
          <w:sz w:val="18"/>
          <w:szCs w:val="18"/>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100330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3300" cy="163195"/>
                    </a:xfrm>
                    <a:prstGeom prst="rect">
                      <a:avLst/>
                    </a:prstGeom>
                    <a:noFill/>
                  </pic:spPr>
                </pic:pic>
              </a:graphicData>
            </a:graphic>
          </wp:anchor>
        </w:drawing>
      </w:r>
    </w:p>
    <w:p>
      <w:pPr>
        <w:spacing w:after="0" w:line="30" w:lineRule="exact"/>
        <w:rPr>
          <w:sz w:val="20"/>
          <w:szCs w:val="20"/>
          <w:color w:val="auto"/>
        </w:rPr>
      </w:pPr>
    </w:p>
    <w:p>
      <w:pPr>
        <w:ind w:left="1100"/>
        <w:spacing w:after="0"/>
        <w:tabs>
          <w:tab w:leader="none" w:pos="2140" w:val="left"/>
        </w:tabs>
        <w:rPr>
          <w:sz w:val="20"/>
          <w:szCs w:val="20"/>
          <w:color w:val="auto"/>
        </w:rPr>
      </w:pPr>
      <w:r>
        <w:rPr>
          <w:rFonts w:ascii="Arial" w:cs="Arial" w:eastAsia="Arial" w:hAnsi="Arial"/>
          <w:sz w:val="18"/>
          <w:szCs w:val="18"/>
          <w:color w:val="auto"/>
        </w:rPr>
        <w:t>22,000</w:t>
      </w:r>
      <w:r>
        <w:rPr>
          <w:sz w:val="20"/>
          <w:szCs w:val="20"/>
          <w:color w:val="auto"/>
        </w:rPr>
        <w:tab/>
      </w:r>
      <w:r>
        <w:rPr>
          <w:rFonts w:ascii="Arial" w:cs="Arial" w:eastAsia="Arial" w:hAnsi="Arial"/>
          <w:sz w:val="18"/>
          <w:szCs w:val="18"/>
          <w:color w:val="auto"/>
        </w:rPr>
        <w:t>$4.56</w:t>
      </w:r>
    </w:p>
    <w:p>
      <w:pPr>
        <w:spacing w:after="0" w:line="36" w:lineRule="exact"/>
        <w:rPr>
          <w:sz w:val="20"/>
          <w:szCs w:val="20"/>
          <w:color w:val="auto"/>
        </w:rPr>
      </w:pPr>
    </w:p>
    <w:p>
      <w:pPr>
        <w:ind w:left="2160" w:hanging="954"/>
        <w:spacing w:after="0"/>
        <w:tabs>
          <w:tab w:leader="none" w:pos="2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$5.56</w:t>
      </w:r>
    </w:p>
    <w:p>
      <w:pPr>
        <w:spacing w:after="0" w:line="36" w:lineRule="exact"/>
        <w:rPr>
          <w:rFonts w:ascii="Arial" w:cs="Arial" w:eastAsia="Arial" w:hAnsi="Arial"/>
          <w:sz w:val="18"/>
          <w:szCs w:val="18"/>
          <w:color w:val="auto"/>
        </w:rPr>
      </w:pPr>
    </w:p>
    <w:p>
      <w:pPr>
        <w:ind w:left="2160" w:hanging="960"/>
        <w:spacing w:after="0"/>
        <w:tabs>
          <w:tab w:leader="none" w:pos="2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-133985</wp:posOffset>
            </wp:positionV>
            <wp:extent cx="100330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03300" cy="154305"/>
                    </a:xfrm>
                    <a:prstGeom prst="rect">
                      <a:avLst/>
                    </a:prstGeom>
                    <a:noFill/>
                  </pic:spPr>
                </pic:pic>
              </a:graphicData>
            </a:graphic>
          </wp:anchor>
        </w:drawing>
      </w:r>
    </w:p>
    <w:p>
      <w:pPr>
        <w:spacing w:after="0" w:line="1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100330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03300" cy="154305"/>
                    </a:xfrm>
                    <a:prstGeom prst="rect">
                      <a:avLst/>
                    </a:prstGeom>
                    <a:noFill/>
                  </pic:spPr>
                </pic:pic>
              </a:graphicData>
            </a:graphic>
          </wp:anchor>
        </w:drawing>
      </w:r>
    </w:p>
    <w:p>
      <w:pPr>
        <w:spacing w:after="0" w:line="1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$5.30</w:t>
      </w:r>
    </w:p>
    <w:p>
      <w:pPr>
        <w:spacing w:after="0" w:line="200" w:lineRule="exact"/>
        <w:rPr>
          <w:sz w:val="20"/>
          <w:szCs w:val="20"/>
          <w:color w:val="auto"/>
        </w:rPr>
      </w:pPr>
    </w:p>
    <w:p>
      <w:pPr>
        <w:spacing w:after="0" w:line="2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did not acquire or retire any shares of its common stock during fiscal 2006. The following stock options to purchase shares of common stock were exercised during fiscal 2006:</w:t>
      </w:r>
    </w:p>
    <w:p>
      <w:pPr>
        <w:spacing w:after="0" w:line="199"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18"/>
          <w:szCs w:val="18"/>
          <w:color w:val="auto"/>
        </w:rPr>
        <w:t>Options</w:t>
      </w:r>
      <w:r>
        <w:rPr>
          <w:sz w:val="20"/>
          <w:szCs w:val="20"/>
          <w:color w:val="auto"/>
        </w:rPr>
        <w:tab/>
      </w:r>
      <w:r>
        <w:rPr>
          <w:rFonts w:ascii="Arial" w:cs="Arial" w:eastAsia="Arial" w:hAnsi="Arial"/>
          <w:sz w:val="18"/>
          <w:szCs w:val="18"/>
          <w:color w:val="auto"/>
        </w:rPr>
        <w:t>Exercise</w:t>
      </w:r>
    </w:p>
    <w:p>
      <w:pPr>
        <w:spacing w:after="0" w:line="36"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color w:val="auto"/>
        </w:rPr>
        <w:t>Exercised</w:t>
      </w:r>
      <w:r>
        <w:rPr>
          <w:sz w:val="20"/>
          <w:szCs w:val="20"/>
          <w:color w:val="auto"/>
        </w:rPr>
        <w:tab/>
      </w:r>
      <w:r>
        <w:rPr>
          <w:rFonts w:ascii="Arial" w:cs="Arial" w:eastAsia="Arial" w:hAnsi="Arial"/>
          <w:sz w:val="18"/>
          <w:szCs w:val="18"/>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100330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03300" cy="163195"/>
                    </a:xfrm>
                    <a:prstGeom prst="rect">
                      <a:avLst/>
                    </a:prstGeom>
                    <a:noFill/>
                  </pic:spPr>
                </pic:pic>
              </a:graphicData>
            </a:graphic>
          </wp:anchor>
        </w:drawing>
      </w:r>
    </w:p>
    <w:p>
      <w:pPr>
        <w:spacing w:after="0" w:line="30" w:lineRule="exact"/>
        <w:rPr>
          <w:sz w:val="20"/>
          <w:szCs w:val="20"/>
          <w:color w:val="auto"/>
        </w:rPr>
      </w:pPr>
    </w:p>
    <w:p>
      <w:pPr>
        <w:ind w:left="1100"/>
        <w:spacing w:after="0"/>
        <w:tabs>
          <w:tab w:leader="none" w:pos="2140" w:val="left"/>
        </w:tabs>
        <w:rPr>
          <w:sz w:val="20"/>
          <w:szCs w:val="20"/>
          <w:color w:val="auto"/>
        </w:rPr>
      </w:pPr>
      <w:r>
        <w:rPr>
          <w:rFonts w:ascii="Arial" w:cs="Arial" w:eastAsia="Arial" w:hAnsi="Arial"/>
          <w:sz w:val="18"/>
          <w:szCs w:val="18"/>
          <w:color w:val="auto"/>
        </w:rPr>
        <w:t>16,000</w:t>
      </w:r>
      <w:r>
        <w:rPr>
          <w:sz w:val="20"/>
          <w:szCs w:val="20"/>
          <w:color w:val="auto"/>
        </w:rPr>
        <w:tab/>
      </w:r>
      <w:r>
        <w:rPr>
          <w:rFonts w:ascii="Arial" w:cs="Arial" w:eastAsia="Arial" w:hAnsi="Arial"/>
          <w:sz w:val="18"/>
          <w:szCs w:val="18"/>
          <w:color w:val="auto"/>
        </w:rPr>
        <w:t>$4.56</w:t>
      </w:r>
    </w:p>
    <w:p>
      <w:pPr>
        <w:spacing w:after="0" w:line="3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1,000</w:t>
      </w:r>
      <w:r>
        <w:rPr>
          <w:sz w:val="20"/>
          <w:szCs w:val="20"/>
          <w:color w:val="auto"/>
        </w:rPr>
        <w:tab/>
      </w:r>
      <w:r>
        <w:rPr>
          <w:rFonts w:ascii="Arial" w:cs="Arial" w:eastAsia="Arial" w:hAnsi="Arial"/>
          <w:sz w:val="18"/>
          <w:szCs w:val="18"/>
          <w:color w:val="auto"/>
        </w:rPr>
        <w:t>$5.50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100330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03300" cy="154305"/>
                    </a:xfrm>
                    <a:prstGeom prst="rect">
                      <a:avLst/>
                    </a:prstGeom>
                    <a:noFill/>
                  </pic:spPr>
                </pic:pic>
              </a:graphicData>
            </a:graphic>
          </wp:anchor>
        </w:drawing>
      </w:r>
    </w:p>
    <w:p>
      <w:pPr>
        <w:spacing w:after="0" w:line="1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$5.00</w:t>
      </w:r>
    </w:p>
    <w:p>
      <w:pPr>
        <w:spacing w:after="0" w:line="3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100330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03300" cy="154305"/>
                    </a:xfrm>
                    <a:prstGeom prst="rect">
                      <a:avLst/>
                    </a:prstGeom>
                    <a:noFill/>
                  </pic:spPr>
                </pic:pic>
              </a:graphicData>
            </a:graphic>
          </wp:anchor>
        </w:drawing>
      </w:r>
    </w:p>
    <w:p>
      <w:pPr>
        <w:spacing w:after="0" w:line="1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$5.00</w:t>
      </w:r>
    </w:p>
    <w:p>
      <w:pPr>
        <w:spacing w:after="0" w:line="3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100330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03300" cy="154305"/>
                    </a:xfrm>
                    <a:prstGeom prst="rect">
                      <a:avLst/>
                    </a:prstGeom>
                    <a:noFill/>
                  </pic:spPr>
                </pic:pic>
              </a:graphicData>
            </a:graphic>
          </wp:anchor>
        </w:drawing>
      </w:r>
    </w:p>
    <w:p>
      <w:pPr>
        <w:spacing w:after="0" w:line="1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$5.30</w:t>
      </w:r>
    </w:p>
    <w:p>
      <w:pPr>
        <w:spacing w:after="0" w:line="36" w:lineRule="exact"/>
        <w:rPr>
          <w:sz w:val="20"/>
          <w:szCs w:val="20"/>
          <w:color w:val="auto"/>
        </w:rPr>
      </w:pPr>
    </w:p>
    <w:p>
      <w:pPr>
        <w:ind w:left="1140"/>
        <w:spacing w:after="0"/>
        <w:tabs>
          <w:tab w:leader="none" w:pos="2140" w:val="left"/>
        </w:tabs>
        <w:rPr>
          <w:sz w:val="20"/>
          <w:szCs w:val="20"/>
          <w:color w:val="auto"/>
        </w:rPr>
      </w:pPr>
      <w:r>
        <w:rPr>
          <w:rFonts w:ascii="Arial" w:cs="Arial" w:eastAsia="Arial" w:hAnsi="Arial"/>
          <w:sz w:val="18"/>
          <w:szCs w:val="18"/>
          <w:color w:val="auto"/>
        </w:rPr>
        <w:t>2,000</w:t>
      </w:r>
      <w:r>
        <w:rPr>
          <w:sz w:val="20"/>
          <w:szCs w:val="20"/>
          <w:color w:val="auto"/>
        </w:rPr>
        <w:tab/>
      </w:r>
      <w:r>
        <w:rPr>
          <w:rFonts w:ascii="Arial" w:cs="Arial" w:eastAsia="Arial" w:hAnsi="Arial"/>
          <w:sz w:val="18"/>
          <w:szCs w:val="18"/>
          <w:color w:val="auto"/>
        </w:rPr>
        <w:t>$5.25</w:t>
      </w:r>
    </w:p>
    <w:p>
      <w:pPr>
        <w:sectPr>
          <w:pgSz w:w="11900" w:h="16838" w:orient="portrait"/>
          <w:cols w:equalWidth="0" w:num="1">
            <w:col w:w="11420"/>
          </w:cols>
          <w:pgMar w:left="240" w:top="131" w:right="2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8"/>
        </w:trPr>
        <w:tc>
          <w:tcPr>
            <w:tcW w:w="9620" w:type="dxa"/>
            <w:vAlign w:val="bottom"/>
          </w:tcPr>
          <w:p>
            <w:pPr>
              <w:spacing w:after="0"/>
              <w:rPr>
                <w:sz w:val="20"/>
                <w:szCs w:val="20"/>
                <w:color w:val="auto"/>
              </w:rPr>
            </w:pPr>
            <w:r>
              <w:rPr>
                <w:rFonts w:ascii="Arial" w:cs="Arial" w:eastAsia="Arial" w:hAnsi="Arial"/>
                <w:sz w:val="18"/>
                <w:szCs w:val="18"/>
                <w:b w:val="1"/>
                <w:bCs w:val="1"/>
                <w:color w:val="auto"/>
              </w:rPr>
              <w:t>12. TOTAL COMPREHENSIVE INCOME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32"/>
        </w:trPr>
        <w:tc>
          <w:tcPr>
            <w:tcW w:w="9620" w:type="dxa"/>
            <w:vAlign w:val="bottom"/>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5"/>
        </w:trPr>
        <w:tc>
          <w:tcPr>
            <w:tcW w:w="962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color w:val="auto"/>
              </w:rPr>
              <w:t>Years Ended</w:t>
            </w:r>
          </w:p>
        </w:tc>
      </w:tr>
      <w:tr>
        <w:trPr>
          <w:trHeight w:val="228"/>
        </w:trPr>
        <w:tc>
          <w:tcPr>
            <w:tcW w:w="96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August 31,</w:t>
            </w:r>
          </w:p>
        </w:tc>
        <w:tc>
          <w:tcPr>
            <w:tcW w:w="800" w:type="dxa"/>
            <w:vAlign w:val="bottom"/>
          </w:tcPr>
          <w:p>
            <w:pPr>
              <w:jc w:val="right"/>
              <w:spacing w:after="0"/>
              <w:rPr>
                <w:sz w:val="20"/>
                <w:szCs w:val="20"/>
                <w:color w:val="auto"/>
              </w:rPr>
            </w:pPr>
            <w:r>
              <w:rPr>
                <w:rFonts w:ascii="Arial" w:cs="Arial" w:eastAsia="Arial" w:hAnsi="Arial"/>
                <w:sz w:val="18"/>
                <w:szCs w:val="18"/>
                <w:color w:val="auto"/>
                <w:w w:val="88"/>
              </w:rPr>
              <w:t>August 31,</w:t>
            </w:r>
          </w:p>
        </w:tc>
      </w:tr>
      <w:tr>
        <w:trPr>
          <w:trHeight w:val="252"/>
        </w:trPr>
        <w:tc>
          <w:tcPr>
            <w:tcW w:w="962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2006</w:t>
            </w:r>
          </w:p>
        </w:tc>
      </w:tr>
      <w:tr>
        <w:trPr>
          <w:trHeight w:val="243"/>
        </w:trPr>
        <w:tc>
          <w:tcPr>
            <w:tcW w:w="962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$3,223,408</w:t>
            </w: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$1,719,065</w:t>
            </w:r>
          </w:p>
        </w:tc>
      </w:tr>
      <w:tr>
        <w:trPr>
          <w:trHeight w:val="237"/>
        </w:trPr>
        <w:tc>
          <w:tcPr>
            <w:tcW w:w="96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709,109</w:t>
            </w:r>
          </w:p>
        </w:tc>
        <w:tc>
          <w:tcPr>
            <w:tcW w:w="22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310,687</w:t>
            </w:r>
          </w:p>
        </w:tc>
      </w:tr>
      <w:tr>
        <w:trPr>
          <w:trHeight w:val="243"/>
        </w:trPr>
        <w:tc>
          <w:tcPr>
            <w:tcW w:w="9620" w:type="dxa"/>
            <w:vAlign w:val="bottom"/>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$3,932,517</w:t>
            </w: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$2,029,752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COMMON SHARE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August 31, 2007 and August 31, 2006, as all stock option exercise prices were less than the average market price of a share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2007, the Company’s stockholders approved the Northern Technologies International Corporation 2007 Stock Incentive Plan and the Northern Technologies International Corporation Employee Stock Purchase Plan. The Compensation Committee of the Board of Directors administers both of the plans. The 2007 plan replaced the Northern Technologies International Corporation 2000 Stock Incentive Plan, which was terminated with respect to future grants, but will continue to govern grants outstanding under such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date of the grant. Options are granted at per share exercise prices equal to the market value of the Company’s common stock on the date of grant. To date, only stock options have been granted under the 2007 plan.</w:t>
      </w:r>
    </w:p>
    <w:p>
      <w:pPr>
        <w:spacing w:after="0" w:line="17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to the 2007 Stock Incentive Plan, the Company also maintains the Northern Technologies International Corporation Employee Stock Purchase Plan (“ESPP”). The maximum number of shares of NTIC common stock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NTIC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6"/>
        </w:trPr>
        <w:tc>
          <w:tcPr>
            <w:tcW w:w="8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Weighted</w:t>
            </w:r>
          </w:p>
        </w:tc>
        <w:tc>
          <w:tcPr>
            <w:tcW w:w="1040" w:type="dxa"/>
            <w:vAlign w:val="bottom"/>
          </w:tcPr>
          <w:p>
            <w:pPr>
              <w:spacing w:after="0"/>
              <w:rPr>
                <w:sz w:val="24"/>
                <w:szCs w:val="24"/>
                <w:color w:val="auto"/>
              </w:rPr>
            </w:pPr>
          </w:p>
        </w:tc>
      </w:tr>
      <w:tr>
        <w:trPr>
          <w:trHeight w:val="243"/>
        </w:trPr>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040" w:type="dxa"/>
            <w:vAlign w:val="bottom"/>
          </w:tcPr>
          <w:p>
            <w:pPr>
              <w:spacing w:after="0"/>
              <w:rPr>
                <w:sz w:val="21"/>
                <w:szCs w:val="21"/>
                <w:color w:val="auto"/>
              </w:rPr>
            </w:pPr>
          </w:p>
        </w:tc>
      </w:tr>
      <w:tr>
        <w:trPr>
          <w:trHeight w:val="243"/>
        </w:trPr>
        <w:tc>
          <w:tcPr>
            <w:tcW w:w="848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Number of</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Exercise</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Aggregate</w:t>
            </w:r>
          </w:p>
        </w:tc>
      </w:tr>
      <w:tr>
        <w:trPr>
          <w:trHeight w:val="252"/>
        </w:trPr>
        <w:tc>
          <w:tcPr>
            <w:tcW w:w="848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Shares (#)</w:t>
            </w:r>
          </w:p>
        </w:tc>
        <w:tc>
          <w:tcPr>
            <w:tcW w:w="20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220" w:type="dxa"/>
            <w:vAlign w:val="bottom"/>
            <w:tcBorders>
              <w:bottom w:val="single" w:sz="8" w:color="C0C0C0"/>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Intrinsic Value</w:t>
            </w: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August 31, 2005</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66,334</w:t>
            </w: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$4.82</w:t>
            </w:r>
          </w:p>
        </w:tc>
        <w:tc>
          <w:tcPr>
            <w:tcW w:w="1040" w:type="dxa"/>
            <w:vAlign w:val="bottom"/>
            <w:shd w:val="clear" w:color="auto" w:fill="C0C0C0"/>
          </w:tcPr>
          <w:p>
            <w:pPr>
              <w:spacing w:after="0"/>
              <w:rPr>
                <w:sz w:val="21"/>
                <w:szCs w:val="21"/>
                <w:color w:val="auto"/>
              </w:rPr>
            </w:pPr>
          </w:p>
        </w:tc>
      </w:tr>
      <w:tr>
        <w:trPr>
          <w:trHeight w:val="249"/>
        </w:trPr>
        <w:tc>
          <w:tcPr>
            <w:tcW w:w="8480" w:type="dxa"/>
            <w:vAlign w:val="bottom"/>
          </w:tcPr>
          <w:p>
            <w:pPr>
              <w:ind w:left="60"/>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70,000</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040" w:type="dxa"/>
            <w:vAlign w:val="bottom"/>
          </w:tcPr>
          <w:p>
            <w:pPr>
              <w:spacing w:after="0"/>
              <w:rPr>
                <w:sz w:val="21"/>
                <w:szCs w:val="21"/>
                <w:color w:val="auto"/>
              </w:rPr>
            </w:pPr>
          </w:p>
        </w:tc>
      </w:tr>
      <w:tr>
        <w:trPr>
          <w:trHeight w:val="264"/>
        </w:trPr>
        <w:tc>
          <w:tcPr>
            <w:tcW w:w="8480" w:type="dxa"/>
            <w:vAlign w:val="bottom"/>
            <w:shd w:val="clear" w:color="auto" w:fill="C0C0C0"/>
          </w:tcPr>
          <w:p>
            <w:pPr>
              <w:ind w:left="60"/>
              <w:spacing w:after="0"/>
              <w:rPr>
                <w:sz w:val="20"/>
                <w:szCs w:val="20"/>
                <w:color w:val="auto"/>
              </w:rPr>
            </w:pPr>
            <w:r>
              <w:rPr>
                <w:rFonts w:ascii="Arial" w:cs="Arial" w:eastAsia="Arial" w:hAnsi="Arial"/>
                <w:sz w:val="18"/>
                <w:szCs w:val="18"/>
                <w:color w:val="auto"/>
              </w:rPr>
              <w:t>Options exercised</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(29,000)</w:t>
            </w:r>
          </w:p>
        </w:tc>
        <w:tc>
          <w:tcPr>
            <w:tcW w:w="20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4.58</w:t>
            </w:r>
          </w:p>
        </w:tc>
        <w:tc>
          <w:tcPr>
            <w:tcW w:w="1040" w:type="dxa"/>
            <w:vAlign w:val="bottom"/>
            <w:shd w:val="clear" w:color="auto" w:fill="C0C0C0"/>
          </w:tcPr>
          <w:p>
            <w:pPr>
              <w:spacing w:after="0"/>
              <w:rPr>
                <w:sz w:val="22"/>
                <w:szCs w:val="22"/>
                <w:color w:val="auto"/>
              </w:rPr>
            </w:pPr>
          </w:p>
        </w:tc>
      </w:tr>
      <w:tr>
        <w:trPr>
          <w:trHeight w:val="241"/>
        </w:trPr>
        <w:tc>
          <w:tcPr>
            <w:tcW w:w="8480" w:type="dxa"/>
            <w:vAlign w:val="bottom"/>
          </w:tcPr>
          <w:p>
            <w:pPr>
              <w:ind w:left="60"/>
              <w:spacing w:after="0"/>
              <w:rPr>
                <w:sz w:val="20"/>
                <w:szCs w:val="20"/>
                <w:color w:val="auto"/>
              </w:rPr>
            </w:pPr>
            <w:r>
              <w:rPr>
                <w:rFonts w:ascii="Arial" w:cs="Arial" w:eastAsia="Arial" w:hAnsi="Arial"/>
                <w:sz w:val="18"/>
                <w:szCs w:val="18"/>
                <w:color w:val="auto"/>
              </w:rPr>
              <w:t>Options terminated</w:t>
            </w: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040" w:type="dxa"/>
            <w:vAlign w:val="bottom"/>
          </w:tcPr>
          <w:p>
            <w:pPr>
              <w:spacing w:after="0"/>
              <w:rPr>
                <w:sz w:val="20"/>
                <w:szCs w:val="20"/>
                <w:color w:val="auto"/>
              </w:rPr>
            </w:pPr>
          </w:p>
        </w:tc>
      </w:tr>
      <w:tr>
        <w:trPr>
          <w:trHeight w:val="259"/>
        </w:trPr>
        <w:tc>
          <w:tcPr>
            <w:tcW w:w="8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August 31, 2006</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105,334</w:t>
            </w: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$5.27</w:t>
            </w:r>
          </w:p>
        </w:tc>
        <w:tc>
          <w:tcPr>
            <w:tcW w:w="1040" w:type="dxa"/>
            <w:vAlign w:val="bottom"/>
            <w:shd w:val="clear" w:color="auto" w:fill="C0C0C0"/>
          </w:tcPr>
          <w:p>
            <w:pPr>
              <w:spacing w:after="0"/>
              <w:rPr>
                <w:sz w:val="21"/>
                <w:szCs w:val="21"/>
                <w:color w:val="auto"/>
              </w:rPr>
            </w:pPr>
          </w:p>
        </w:tc>
      </w:tr>
      <w:tr>
        <w:trPr>
          <w:trHeight w:val="249"/>
        </w:trPr>
        <w:tc>
          <w:tcPr>
            <w:tcW w:w="8480" w:type="dxa"/>
            <w:vAlign w:val="bottom"/>
          </w:tcPr>
          <w:p>
            <w:pPr>
              <w:ind w:left="60"/>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15,167</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040" w:type="dxa"/>
            <w:vAlign w:val="bottom"/>
          </w:tcPr>
          <w:p>
            <w:pPr>
              <w:spacing w:after="0"/>
              <w:rPr>
                <w:sz w:val="21"/>
                <w:szCs w:val="21"/>
                <w:color w:val="auto"/>
              </w:rPr>
            </w:pPr>
          </w:p>
        </w:tc>
      </w:tr>
      <w:tr>
        <w:trPr>
          <w:trHeight w:val="264"/>
        </w:trPr>
        <w:tc>
          <w:tcPr>
            <w:tcW w:w="8480" w:type="dxa"/>
            <w:vAlign w:val="bottom"/>
            <w:shd w:val="clear" w:color="auto" w:fill="C0C0C0"/>
          </w:tcPr>
          <w:p>
            <w:pPr>
              <w:ind w:left="60"/>
              <w:spacing w:after="0"/>
              <w:rPr>
                <w:sz w:val="20"/>
                <w:szCs w:val="20"/>
                <w:color w:val="auto"/>
              </w:rPr>
            </w:pPr>
            <w:r>
              <w:rPr>
                <w:rFonts w:ascii="Arial" w:cs="Arial" w:eastAsia="Arial" w:hAnsi="Arial"/>
                <w:sz w:val="18"/>
                <w:szCs w:val="18"/>
                <w:color w:val="auto"/>
              </w:rPr>
              <w:t>Options exercised</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(26,778)</w:t>
            </w:r>
          </w:p>
        </w:tc>
        <w:tc>
          <w:tcPr>
            <w:tcW w:w="20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5.35</w:t>
            </w:r>
          </w:p>
        </w:tc>
        <w:tc>
          <w:tcPr>
            <w:tcW w:w="1040" w:type="dxa"/>
            <w:vAlign w:val="bottom"/>
            <w:shd w:val="clear" w:color="auto" w:fill="C0C0C0"/>
          </w:tcPr>
          <w:p>
            <w:pPr>
              <w:spacing w:after="0"/>
              <w:rPr>
                <w:sz w:val="22"/>
                <w:szCs w:val="22"/>
                <w:color w:val="auto"/>
              </w:rPr>
            </w:pPr>
          </w:p>
        </w:tc>
      </w:tr>
      <w:tr>
        <w:trPr>
          <w:trHeight w:val="241"/>
        </w:trPr>
        <w:tc>
          <w:tcPr>
            <w:tcW w:w="8480" w:type="dxa"/>
            <w:vAlign w:val="bottom"/>
          </w:tcPr>
          <w:p>
            <w:pPr>
              <w:ind w:left="60"/>
              <w:spacing w:after="0"/>
              <w:rPr>
                <w:sz w:val="20"/>
                <w:szCs w:val="20"/>
                <w:color w:val="auto"/>
              </w:rPr>
            </w:pPr>
            <w:r>
              <w:rPr>
                <w:rFonts w:ascii="Arial" w:cs="Arial" w:eastAsia="Arial" w:hAnsi="Arial"/>
                <w:sz w:val="18"/>
                <w:szCs w:val="18"/>
                <w:color w:val="auto"/>
              </w:rPr>
              <w:t>Options terminated</w:t>
            </w:r>
          </w:p>
        </w:tc>
        <w:tc>
          <w:tcPr>
            <w:tcW w:w="800" w:type="dxa"/>
            <w:vAlign w:val="bottom"/>
          </w:tcPr>
          <w:p>
            <w:pPr>
              <w:jc w:val="right"/>
              <w:spacing w:after="0"/>
              <w:rPr>
                <w:sz w:val="20"/>
                <w:szCs w:val="20"/>
                <w:color w:val="auto"/>
              </w:rPr>
            </w:pPr>
            <w:r>
              <w:rPr>
                <w:rFonts w:ascii="Arial" w:cs="Arial" w:eastAsia="Arial" w:hAnsi="Arial"/>
                <w:sz w:val="18"/>
                <w:szCs w:val="18"/>
                <w:color w:val="auto"/>
              </w:rPr>
              <w:t>(7,556)</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040" w:type="dxa"/>
            <w:vAlign w:val="bottom"/>
          </w:tcPr>
          <w:p>
            <w:pPr>
              <w:spacing w:after="0"/>
              <w:rPr>
                <w:sz w:val="20"/>
                <w:szCs w:val="20"/>
                <w:color w:val="auto"/>
              </w:rPr>
            </w:pPr>
          </w:p>
        </w:tc>
      </w:tr>
      <w:tr>
        <w:trPr>
          <w:trHeight w:val="259"/>
        </w:trPr>
        <w:tc>
          <w:tcPr>
            <w:tcW w:w="8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August 31, 2007</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86,167</w:t>
            </w: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$5.67</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$386,028</w:t>
            </w:r>
          </w:p>
        </w:tc>
      </w:tr>
      <w:tr>
        <w:trPr>
          <w:trHeight w:val="243"/>
        </w:trPr>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Exercisable at August 31, 2005</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49,669</w:t>
            </w: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$4.67</w:t>
            </w:r>
          </w:p>
        </w:tc>
        <w:tc>
          <w:tcPr>
            <w:tcW w:w="1040" w:type="dxa"/>
            <w:vAlign w:val="bottom"/>
            <w:shd w:val="clear" w:color="auto" w:fill="C0C0C0"/>
          </w:tcPr>
          <w:p>
            <w:pPr>
              <w:spacing w:after="0"/>
              <w:rPr>
                <w:sz w:val="21"/>
                <w:szCs w:val="21"/>
                <w:color w:val="auto"/>
              </w:rPr>
            </w:pPr>
          </w:p>
        </w:tc>
      </w:tr>
      <w:tr>
        <w:trPr>
          <w:trHeight w:val="243"/>
        </w:trPr>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Exercisable at August 31, 2006</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27,669</w:t>
            </w: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$4.74</w:t>
            </w:r>
          </w:p>
        </w:tc>
        <w:tc>
          <w:tcPr>
            <w:tcW w:w="1040" w:type="dxa"/>
            <w:vAlign w:val="bottom"/>
            <w:shd w:val="clear" w:color="auto" w:fill="C0C0C0"/>
          </w:tcPr>
          <w:p>
            <w:pPr>
              <w:spacing w:after="0"/>
              <w:rPr>
                <w:sz w:val="21"/>
                <w:szCs w:val="21"/>
                <w:color w:val="auto"/>
              </w:rPr>
            </w:pPr>
          </w:p>
        </w:tc>
      </w:tr>
      <w:tr>
        <w:trPr>
          <w:trHeight w:val="243"/>
        </w:trPr>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Exercisable at August 31, 2007</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28,672</w:t>
            </w: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$5.46</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$134,472</w:t>
            </w:r>
          </w:p>
        </w:tc>
      </w:tr>
      <w:tr>
        <w:trPr>
          <w:trHeight w:val="243"/>
        </w:trPr>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Available for future grant at August 31, 2006</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57,665</w:t>
            </w: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243"/>
        </w:trPr>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8480" w:type="dxa"/>
            <w:vAlign w:val="bottom"/>
            <w:shd w:val="clear" w:color="auto" w:fill="C0C0C0"/>
          </w:tcPr>
          <w:p>
            <w:pPr>
              <w:spacing w:after="0"/>
              <w:rPr>
                <w:sz w:val="20"/>
                <w:szCs w:val="20"/>
                <w:color w:val="auto"/>
              </w:rPr>
            </w:pPr>
            <w:r>
              <w:rPr>
                <w:rFonts w:ascii="Arial" w:cs="Arial" w:eastAsia="Arial" w:hAnsi="Arial"/>
                <w:sz w:val="18"/>
                <w:szCs w:val="18"/>
                <w:color w:val="auto"/>
              </w:rPr>
              <w:t>Available for future grant at August 31, 2007</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398,833</w:t>
            </w: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bl>
    <w:p>
      <w:pPr>
        <w:sectPr>
          <w:pgSz w:w="11900" w:h="16838" w:orient="portrait"/>
          <w:cols w:equalWidth="0" w:num="1">
            <w:col w:w="11420"/>
          </w:cols>
          <w:pgMar w:left="240" w:top="125" w:right="239" w:bottom="0" w:gutter="0" w:footer="0" w:header="0"/>
        </w:sectPr>
      </w:pPr>
    </w:p>
    <w:bookmarkStart w:id="30" w:name="page31"/>
    <w:bookmarkEnd w:id="30"/>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80" w:type="dxa"/>
            <w:vAlign w:val="bottom"/>
            <w:gridSpan w:val="5"/>
          </w:tcPr>
          <w:p>
            <w:pPr>
              <w:spacing w:after="0"/>
              <w:rPr>
                <w:sz w:val="20"/>
                <w:szCs w:val="20"/>
                <w:color w:val="auto"/>
              </w:rPr>
            </w:pPr>
            <w:r>
              <w:rPr>
                <w:rFonts w:ascii="Arial" w:cs="Arial" w:eastAsia="Arial" w:hAnsi="Arial"/>
                <w:sz w:val="18"/>
                <w:szCs w:val="18"/>
                <w:color w:val="auto"/>
                <w:w w:val="93"/>
              </w:rPr>
              <w:t>The following table summarizes information about stock options outstanding and exercisable at August 31, 2007:</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46"/>
        </w:trPr>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jc w:val="center"/>
              <w:ind w:right="652"/>
              <w:spacing w:after="0"/>
              <w:rPr>
                <w:sz w:val="20"/>
                <w:szCs w:val="20"/>
                <w:color w:val="auto"/>
              </w:rPr>
            </w:pPr>
            <w:r>
              <w:rPr>
                <w:rFonts w:ascii="Arial" w:cs="Arial" w:eastAsia="Arial" w:hAnsi="Arial"/>
                <w:sz w:val="18"/>
                <w:szCs w:val="18"/>
                <w:color w:val="auto"/>
                <w:w w:val="83"/>
              </w:rPr>
              <w:t>Per Share</w:t>
            </w:r>
          </w:p>
        </w:tc>
        <w:tc>
          <w:tcPr>
            <w:tcW w:w="2480" w:type="dxa"/>
            <w:vAlign w:val="bottom"/>
          </w:tcPr>
          <w:p>
            <w:pPr>
              <w:jc w:val="center"/>
              <w:ind w:right="472"/>
              <w:spacing w:after="0"/>
              <w:rPr>
                <w:sz w:val="20"/>
                <w:szCs w:val="20"/>
                <w:color w:val="auto"/>
              </w:rPr>
            </w:pPr>
            <w:r>
              <w:rPr>
                <w:rFonts w:ascii="Arial" w:cs="Arial" w:eastAsia="Arial" w:hAnsi="Arial"/>
                <w:sz w:val="18"/>
                <w:szCs w:val="18"/>
                <w:color w:val="auto"/>
                <w:w w:val="88"/>
              </w:rPr>
              <w:t>Remaining</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220" w:type="dxa"/>
            <w:vAlign w:val="bottom"/>
          </w:tcPr>
          <w:p>
            <w:pPr>
              <w:spacing w:after="0"/>
              <w:rPr>
                <w:sz w:val="24"/>
                <w:szCs w:val="24"/>
                <w:color w:val="auto"/>
              </w:rPr>
            </w:pP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2"/>
              </w:rPr>
              <w:t>Number of</w:t>
            </w:r>
          </w:p>
        </w:tc>
      </w:tr>
      <w:tr>
        <w:trPr>
          <w:trHeight w:val="243"/>
        </w:trPr>
        <w:tc>
          <w:tcPr>
            <w:tcW w:w="300" w:type="dxa"/>
            <w:vAlign w:val="bottom"/>
          </w:tcPr>
          <w:p>
            <w:pPr>
              <w:spacing w:after="0"/>
              <w:rPr>
                <w:sz w:val="21"/>
                <w:szCs w:val="21"/>
                <w:color w:val="auto"/>
              </w:rPr>
            </w:pPr>
          </w:p>
        </w:tc>
        <w:tc>
          <w:tcPr>
            <w:tcW w:w="2360" w:type="dxa"/>
            <w:vAlign w:val="bottom"/>
          </w:tcPr>
          <w:p>
            <w:pPr>
              <w:jc w:val="center"/>
              <w:ind w:right="952"/>
              <w:spacing w:after="0"/>
              <w:rPr>
                <w:sz w:val="20"/>
                <w:szCs w:val="20"/>
                <w:color w:val="auto"/>
              </w:rPr>
            </w:pPr>
            <w:r>
              <w:rPr>
                <w:rFonts w:ascii="Arial" w:cs="Arial" w:eastAsia="Arial" w:hAnsi="Arial"/>
                <w:sz w:val="18"/>
                <w:szCs w:val="18"/>
                <w:color w:val="auto"/>
                <w:w w:val="89"/>
              </w:rPr>
              <w:t>Option Grant</w:t>
            </w:r>
          </w:p>
        </w:tc>
        <w:tc>
          <w:tcPr>
            <w:tcW w:w="1780" w:type="dxa"/>
            <w:vAlign w:val="bottom"/>
          </w:tcPr>
          <w:p>
            <w:pPr>
              <w:jc w:val="center"/>
              <w:ind w:right="632"/>
              <w:spacing w:after="0"/>
              <w:rPr>
                <w:sz w:val="20"/>
                <w:szCs w:val="20"/>
                <w:color w:val="auto"/>
              </w:rPr>
            </w:pPr>
            <w:r>
              <w:rPr>
                <w:rFonts w:ascii="Arial" w:cs="Arial" w:eastAsia="Arial" w:hAnsi="Arial"/>
                <w:sz w:val="18"/>
                <w:szCs w:val="18"/>
                <w:color w:val="auto"/>
                <w:w w:val="89"/>
              </w:rPr>
              <w:t>Exercise</w:t>
            </w:r>
          </w:p>
        </w:tc>
        <w:tc>
          <w:tcPr>
            <w:tcW w:w="2480" w:type="dxa"/>
            <w:vAlign w:val="bottom"/>
          </w:tcPr>
          <w:p>
            <w:pPr>
              <w:jc w:val="center"/>
              <w:ind w:right="472"/>
              <w:spacing w:after="0"/>
              <w:rPr>
                <w:sz w:val="20"/>
                <w:szCs w:val="20"/>
                <w:color w:val="auto"/>
              </w:rPr>
            </w:pPr>
            <w:r>
              <w:rPr>
                <w:rFonts w:ascii="Arial" w:cs="Arial" w:eastAsia="Arial" w:hAnsi="Arial"/>
                <w:sz w:val="18"/>
                <w:szCs w:val="18"/>
                <w:color w:val="auto"/>
                <w:w w:val="91"/>
              </w:rPr>
              <w:t>Contractual Life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20" w:type="dxa"/>
            <w:vAlign w:val="bottom"/>
          </w:tcPr>
          <w:p>
            <w:pPr>
              <w:spacing w:after="0"/>
              <w:rPr>
                <w:sz w:val="21"/>
                <w:szCs w:val="21"/>
                <w:color w:val="auto"/>
              </w:rPr>
            </w:pP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0"/>
              </w:rPr>
              <w:t>Options</w:t>
            </w:r>
          </w:p>
        </w:tc>
      </w:tr>
      <w:tr>
        <w:trPr>
          <w:trHeight w:val="252"/>
        </w:trPr>
        <w:tc>
          <w:tcPr>
            <w:tcW w:w="300" w:type="dxa"/>
            <w:vAlign w:val="bottom"/>
          </w:tcPr>
          <w:p>
            <w:pPr>
              <w:spacing w:after="0"/>
              <w:rPr>
                <w:sz w:val="21"/>
                <w:szCs w:val="21"/>
                <w:color w:val="auto"/>
              </w:rPr>
            </w:pPr>
          </w:p>
        </w:tc>
        <w:tc>
          <w:tcPr>
            <w:tcW w:w="2360" w:type="dxa"/>
            <w:vAlign w:val="bottom"/>
          </w:tcPr>
          <w:p>
            <w:pPr>
              <w:jc w:val="center"/>
              <w:ind w:right="952"/>
              <w:spacing w:after="0"/>
              <w:rPr>
                <w:sz w:val="20"/>
                <w:szCs w:val="20"/>
                <w:color w:val="auto"/>
              </w:rPr>
            </w:pPr>
            <w:r>
              <w:rPr>
                <w:rFonts w:ascii="Arial" w:cs="Arial" w:eastAsia="Arial" w:hAnsi="Arial"/>
                <w:sz w:val="18"/>
                <w:szCs w:val="18"/>
                <w:color w:val="auto"/>
                <w:w w:val="84"/>
              </w:rPr>
              <w:t>Date</w:t>
            </w:r>
          </w:p>
        </w:tc>
        <w:tc>
          <w:tcPr>
            <w:tcW w:w="1780" w:type="dxa"/>
            <w:vAlign w:val="bottom"/>
          </w:tcPr>
          <w:p>
            <w:pPr>
              <w:jc w:val="center"/>
              <w:ind w:right="632"/>
              <w:spacing w:after="0"/>
              <w:rPr>
                <w:sz w:val="20"/>
                <w:szCs w:val="20"/>
                <w:color w:val="auto"/>
              </w:rPr>
            </w:pPr>
            <w:r>
              <w:rPr>
                <w:rFonts w:ascii="Arial" w:cs="Arial" w:eastAsia="Arial" w:hAnsi="Arial"/>
                <w:sz w:val="18"/>
                <w:szCs w:val="18"/>
                <w:color w:val="auto"/>
                <w:w w:val="83"/>
              </w:rPr>
              <w:t>Prices</w:t>
            </w:r>
          </w:p>
        </w:tc>
        <w:tc>
          <w:tcPr>
            <w:tcW w:w="2480" w:type="dxa"/>
            <w:vAlign w:val="bottom"/>
          </w:tcPr>
          <w:p>
            <w:pPr>
              <w:jc w:val="center"/>
              <w:ind w:right="472"/>
              <w:spacing w:after="0"/>
              <w:rPr>
                <w:sz w:val="20"/>
                <w:szCs w:val="20"/>
                <w:color w:val="auto"/>
              </w:rPr>
            </w:pPr>
            <w:r>
              <w:rPr>
                <w:rFonts w:ascii="Arial" w:cs="Arial" w:eastAsia="Arial" w:hAnsi="Arial"/>
                <w:sz w:val="18"/>
                <w:szCs w:val="18"/>
                <w:color w:val="auto"/>
                <w:w w:val="85"/>
              </w:rPr>
              <w:t>(years)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Outstanding (#)</w:t>
            </w:r>
          </w:p>
        </w:tc>
        <w:tc>
          <w:tcPr>
            <w:tcW w:w="220" w:type="dxa"/>
            <w:vAlign w:val="bottom"/>
          </w:tcPr>
          <w:p>
            <w:pPr>
              <w:spacing w:after="0"/>
              <w:rPr>
                <w:sz w:val="21"/>
                <w:szCs w:val="21"/>
                <w:color w:val="auto"/>
              </w:rPr>
            </w:pP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88"/>
              </w:rPr>
              <w:t>Exercisable (#)</w:t>
            </w:r>
          </w:p>
        </w:tc>
      </w:tr>
      <w:tr>
        <w:trPr>
          <w:trHeight w:val="243"/>
        </w:trPr>
        <w:tc>
          <w:tcPr>
            <w:tcW w:w="2660" w:type="dxa"/>
            <w:vAlign w:val="bottom"/>
            <w:tcBorders>
              <w:top w:val="single" w:sz="8" w:color="auto"/>
            </w:tcBorders>
            <w:gridSpan w:val="2"/>
            <w:shd w:val="clear" w:color="auto" w:fill="C0C0C0"/>
          </w:tcPr>
          <w:p>
            <w:pPr>
              <w:jc w:val="center"/>
              <w:ind w:right="652"/>
              <w:spacing w:after="0"/>
              <w:rPr>
                <w:sz w:val="20"/>
                <w:szCs w:val="20"/>
                <w:color w:val="auto"/>
              </w:rPr>
            </w:pPr>
            <w:r>
              <w:rPr>
                <w:rFonts w:ascii="Arial" w:cs="Arial" w:eastAsia="Arial" w:hAnsi="Arial"/>
                <w:sz w:val="18"/>
                <w:szCs w:val="18"/>
                <w:color w:val="auto"/>
                <w:w w:val="91"/>
              </w:rPr>
              <w:t>9/1/2003</w:t>
            </w:r>
          </w:p>
        </w:tc>
        <w:tc>
          <w:tcPr>
            <w:tcW w:w="1780" w:type="dxa"/>
            <w:vAlign w:val="bottom"/>
            <w:tcBorders>
              <w:top w:val="single" w:sz="8" w:color="auto"/>
            </w:tcBorders>
            <w:shd w:val="clear" w:color="auto" w:fill="C0C0C0"/>
          </w:tcPr>
          <w:p>
            <w:pPr>
              <w:jc w:val="center"/>
              <w:ind w:right="632"/>
              <w:spacing w:after="0"/>
              <w:rPr>
                <w:sz w:val="20"/>
                <w:szCs w:val="20"/>
                <w:color w:val="auto"/>
              </w:rPr>
            </w:pPr>
            <w:r>
              <w:rPr>
                <w:rFonts w:ascii="Arial" w:cs="Arial" w:eastAsia="Arial" w:hAnsi="Arial"/>
                <w:sz w:val="18"/>
                <w:szCs w:val="18"/>
                <w:color w:val="auto"/>
                <w:w w:val="84"/>
              </w:rPr>
              <w:t>$5.30</w:t>
            </w:r>
          </w:p>
        </w:tc>
        <w:tc>
          <w:tcPr>
            <w:tcW w:w="2480" w:type="dxa"/>
            <w:vAlign w:val="bottom"/>
            <w:tcBorders>
              <w:top w:val="single" w:sz="8" w:color="auto"/>
            </w:tcBorders>
            <w:shd w:val="clear" w:color="auto" w:fill="C0C0C0"/>
          </w:tcPr>
          <w:p>
            <w:pPr>
              <w:jc w:val="center"/>
              <w:ind w:right="452"/>
              <w:spacing w:after="0"/>
              <w:rPr>
                <w:sz w:val="20"/>
                <w:szCs w:val="20"/>
                <w:color w:val="auto"/>
              </w:rPr>
            </w:pPr>
            <w:r>
              <w:rPr>
                <w:rFonts w:ascii="Arial" w:cs="Arial" w:eastAsia="Arial" w:hAnsi="Arial"/>
                <w:sz w:val="18"/>
                <w:szCs w:val="18"/>
                <w:color w:val="auto"/>
                <w:w w:val="87"/>
              </w:rPr>
              <w:t>1.0</w:t>
            </w:r>
          </w:p>
        </w:tc>
        <w:tc>
          <w:tcPr>
            <w:tcW w:w="14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2,000</w:t>
            </w:r>
          </w:p>
        </w:tc>
        <w:tc>
          <w:tcPr>
            <w:tcW w:w="2460" w:type="dxa"/>
            <w:vAlign w:val="bottom"/>
            <w:tcBorders>
              <w:top w:val="single" w:sz="8" w:color="auto"/>
            </w:tcBorders>
            <w:gridSpan w:val="3"/>
            <w:shd w:val="clear" w:color="auto" w:fill="C0C0C0"/>
          </w:tcPr>
          <w:p>
            <w:pPr>
              <w:jc w:val="center"/>
              <w:ind w:left="492"/>
              <w:spacing w:after="0"/>
              <w:rPr>
                <w:sz w:val="20"/>
                <w:szCs w:val="20"/>
                <w:color w:val="auto"/>
              </w:rPr>
            </w:pPr>
            <w:r>
              <w:rPr>
                <w:rFonts w:ascii="Arial" w:cs="Arial" w:eastAsia="Arial" w:hAnsi="Arial"/>
                <w:sz w:val="18"/>
                <w:szCs w:val="18"/>
                <w:color w:val="auto"/>
                <w:w w:val="88"/>
              </w:rPr>
              <w:t>2,000</w:t>
            </w:r>
          </w:p>
        </w:tc>
        <w:tc>
          <w:tcPr>
            <w:tcW w:w="300" w:type="dxa"/>
            <w:vAlign w:val="bottom"/>
          </w:tcPr>
          <w:p>
            <w:pPr>
              <w:spacing w:after="0"/>
              <w:rPr>
                <w:sz w:val="21"/>
                <w:szCs w:val="21"/>
                <w:color w:val="auto"/>
              </w:rPr>
            </w:pPr>
          </w:p>
        </w:tc>
      </w:tr>
      <w:tr>
        <w:trPr>
          <w:trHeight w:val="235"/>
        </w:trPr>
        <w:tc>
          <w:tcPr>
            <w:tcW w:w="2660" w:type="dxa"/>
            <w:vAlign w:val="bottom"/>
            <w:gridSpan w:val="2"/>
          </w:tcPr>
          <w:p>
            <w:pPr>
              <w:jc w:val="center"/>
              <w:ind w:right="652"/>
              <w:spacing w:after="0"/>
              <w:rPr>
                <w:sz w:val="20"/>
                <w:szCs w:val="20"/>
                <w:color w:val="auto"/>
              </w:rPr>
            </w:pPr>
            <w:r>
              <w:rPr>
                <w:rFonts w:ascii="Arial" w:cs="Arial" w:eastAsia="Arial" w:hAnsi="Arial"/>
                <w:sz w:val="18"/>
                <w:szCs w:val="18"/>
                <w:color w:val="auto"/>
                <w:w w:val="91"/>
              </w:rPr>
              <w:t>9/1/2004</w:t>
            </w:r>
          </w:p>
        </w:tc>
        <w:tc>
          <w:tcPr>
            <w:tcW w:w="1780" w:type="dxa"/>
            <w:vAlign w:val="bottom"/>
          </w:tcPr>
          <w:p>
            <w:pPr>
              <w:jc w:val="center"/>
              <w:ind w:right="632"/>
              <w:spacing w:after="0"/>
              <w:rPr>
                <w:sz w:val="20"/>
                <w:szCs w:val="20"/>
                <w:color w:val="auto"/>
              </w:rPr>
            </w:pPr>
            <w:r>
              <w:rPr>
                <w:rFonts w:ascii="Arial" w:cs="Arial" w:eastAsia="Arial" w:hAnsi="Arial"/>
                <w:sz w:val="18"/>
                <w:szCs w:val="18"/>
                <w:color w:val="auto"/>
                <w:w w:val="84"/>
              </w:rPr>
              <w:t>$5.25</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7"/>
              </w:rPr>
              <w:t>2.0</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2,668</w:t>
            </w:r>
          </w:p>
        </w:tc>
        <w:tc>
          <w:tcPr>
            <w:tcW w:w="300" w:type="dxa"/>
            <w:vAlign w:val="bottom"/>
          </w:tcPr>
          <w:p>
            <w:pPr>
              <w:spacing w:after="0"/>
              <w:rPr>
                <w:sz w:val="20"/>
                <w:szCs w:val="20"/>
                <w:color w:val="auto"/>
              </w:rPr>
            </w:pPr>
          </w:p>
        </w:tc>
      </w:tr>
      <w:tr>
        <w:trPr>
          <w:trHeight w:val="251"/>
        </w:trPr>
        <w:tc>
          <w:tcPr>
            <w:tcW w:w="2660" w:type="dxa"/>
            <w:vAlign w:val="bottom"/>
            <w:gridSpan w:val="2"/>
            <w:shd w:val="clear" w:color="auto" w:fill="C0C0C0"/>
          </w:tcPr>
          <w:p>
            <w:pPr>
              <w:jc w:val="center"/>
              <w:ind w:right="652"/>
              <w:spacing w:after="0"/>
              <w:rPr>
                <w:sz w:val="20"/>
                <w:szCs w:val="20"/>
                <w:color w:val="auto"/>
              </w:rPr>
            </w:pPr>
            <w:r>
              <w:rPr>
                <w:rFonts w:ascii="Arial" w:cs="Arial" w:eastAsia="Arial" w:hAnsi="Arial"/>
                <w:sz w:val="18"/>
                <w:szCs w:val="18"/>
                <w:color w:val="auto"/>
                <w:w w:val="88"/>
              </w:rPr>
              <w:t>11/12/2004</w:t>
            </w:r>
          </w:p>
        </w:tc>
        <w:tc>
          <w:tcPr>
            <w:tcW w:w="1780" w:type="dxa"/>
            <w:vAlign w:val="bottom"/>
            <w:shd w:val="clear" w:color="auto" w:fill="C0C0C0"/>
          </w:tcPr>
          <w:p>
            <w:pPr>
              <w:jc w:val="center"/>
              <w:ind w:right="632"/>
              <w:spacing w:after="0"/>
              <w:rPr>
                <w:sz w:val="20"/>
                <w:szCs w:val="20"/>
                <w:color w:val="auto"/>
              </w:rPr>
            </w:pPr>
            <w:r>
              <w:rPr>
                <w:rFonts w:ascii="Arial" w:cs="Arial" w:eastAsia="Arial" w:hAnsi="Arial"/>
                <w:sz w:val="18"/>
                <w:szCs w:val="18"/>
                <w:color w:val="auto"/>
                <w:w w:val="84"/>
              </w:rPr>
              <w:t>$6.15</w:t>
            </w:r>
          </w:p>
        </w:tc>
        <w:tc>
          <w:tcPr>
            <w:tcW w:w="2480" w:type="dxa"/>
            <w:vAlign w:val="bottom"/>
            <w:shd w:val="clear" w:color="auto" w:fill="C0C0C0"/>
          </w:tcPr>
          <w:p>
            <w:pPr>
              <w:jc w:val="center"/>
              <w:ind w:right="452"/>
              <w:spacing w:after="0"/>
              <w:rPr>
                <w:sz w:val="20"/>
                <w:szCs w:val="20"/>
                <w:color w:val="auto"/>
              </w:rPr>
            </w:pPr>
            <w:r>
              <w:rPr>
                <w:rFonts w:ascii="Arial" w:cs="Arial" w:eastAsia="Arial" w:hAnsi="Arial"/>
                <w:sz w:val="18"/>
                <w:szCs w:val="18"/>
                <w:color w:val="auto"/>
                <w:w w:val="87"/>
              </w:rPr>
              <w:t>2.2</w:t>
            </w:r>
          </w:p>
        </w:tc>
        <w:tc>
          <w:tcPr>
            <w:tcW w:w="14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3,000</w:t>
            </w:r>
          </w:p>
        </w:tc>
        <w:tc>
          <w:tcPr>
            <w:tcW w:w="2460" w:type="dxa"/>
            <w:vAlign w:val="bottom"/>
            <w:gridSpan w:val="3"/>
            <w:shd w:val="clear" w:color="auto" w:fill="C0C0C0"/>
          </w:tcPr>
          <w:p>
            <w:pPr>
              <w:jc w:val="center"/>
              <w:ind w:left="492"/>
              <w:spacing w:after="0"/>
              <w:rPr>
                <w:sz w:val="20"/>
                <w:szCs w:val="20"/>
                <w:color w:val="auto"/>
              </w:rPr>
            </w:pPr>
            <w:r>
              <w:rPr>
                <w:rFonts w:ascii="Arial" w:cs="Arial" w:eastAsia="Arial" w:hAnsi="Arial"/>
                <w:sz w:val="18"/>
                <w:szCs w:val="18"/>
                <w:color w:val="auto"/>
                <w:w w:val="88"/>
              </w:rPr>
              <w:t>2,000</w:t>
            </w:r>
          </w:p>
        </w:tc>
        <w:tc>
          <w:tcPr>
            <w:tcW w:w="300" w:type="dxa"/>
            <w:vAlign w:val="bottom"/>
          </w:tcPr>
          <w:p>
            <w:pPr>
              <w:spacing w:after="0"/>
              <w:rPr>
                <w:sz w:val="21"/>
                <w:szCs w:val="21"/>
                <w:color w:val="auto"/>
              </w:rPr>
            </w:pPr>
          </w:p>
        </w:tc>
      </w:tr>
      <w:tr>
        <w:trPr>
          <w:trHeight w:val="235"/>
        </w:trPr>
        <w:tc>
          <w:tcPr>
            <w:tcW w:w="2660" w:type="dxa"/>
            <w:vAlign w:val="bottom"/>
            <w:gridSpan w:val="2"/>
          </w:tcPr>
          <w:p>
            <w:pPr>
              <w:jc w:val="center"/>
              <w:ind w:right="652"/>
              <w:spacing w:after="0"/>
              <w:rPr>
                <w:sz w:val="20"/>
                <w:szCs w:val="20"/>
                <w:color w:val="auto"/>
              </w:rPr>
            </w:pPr>
            <w:r>
              <w:rPr>
                <w:rFonts w:ascii="Arial" w:cs="Arial" w:eastAsia="Arial" w:hAnsi="Arial"/>
                <w:sz w:val="18"/>
                <w:szCs w:val="18"/>
                <w:color w:val="auto"/>
                <w:w w:val="91"/>
              </w:rPr>
              <w:t>9/1/2005</w:t>
            </w:r>
          </w:p>
        </w:tc>
        <w:tc>
          <w:tcPr>
            <w:tcW w:w="1780" w:type="dxa"/>
            <w:vAlign w:val="bottom"/>
          </w:tcPr>
          <w:p>
            <w:pPr>
              <w:jc w:val="center"/>
              <w:ind w:right="632"/>
              <w:spacing w:after="0"/>
              <w:rPr>
                <w:sz w:val="20"/>
                <w:szCs w:val="20"/>
                <w:color w:val="auto"/>
              </w:rPr>
            </w:pPr>
            <w:r>
              <w:rPr>
                <w:rFonts w:ascii="Arial" w:cs="Arial" w:eastAsia="Arial" w:hAnsi="Arial"/>
                <w:sz w:val="18"/>
                <w:szCs w:val="18"/>
                <w:color w:val="auto"/>
                <w:w w:val="84"/>
              </w:rPr>
              <w:t>$5.75</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7"/>
              </w:rPr>
              <w:t>3.0</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8"/>
              </w:rPr>
              <w:t>3,335</w:t>
            </w:r>
          </w:p>
        </w:tc>
        <w:tc>
          <w:tcPr>
            <w:tcW w:w="300" w:type="dxa"/>
            <w:vAlign w:val="bottom"/>
          </w:tcPr>
          <w:p>
            <w:pPr>
              <w:spacing w:after="0"/>
              <w:rPr>
                <w:sz w:val="20"/>
                <w:szCs w:val="20"/>
                <w:color w:val="auto"/>
              </w:rPr>
            </w:pPr>
          </w:p>
        </w:tc>
      </w:tr>
      <w:tr>
        <w:trPr>
          <w:trHeight w:val="251"/>
        </w:trPr>
        <w:tc>
          <w:tcPr>
            <w:tcW w:w="2660" w:type="dxa"/>
            <w:vAlign w:val="bottom"/>
            <w:gridSpan w:val="2"/>
            <w:shd w:val="clear" w:color="auto" w:fill="C0C0C0"/>
          </w:tcPr>
          <w:p>
            <w:pPr>
              <w:jc w:val="center"/>
              <w:ind w:right="652"/>
              <w:spacing w:after="0"/>
              <w:rPr>
                <w:sz w:val="20"/>
                <w:szCs w:val="20"/>
                <w:color w:val="auto"/>
              </w:rPr>
            </w:pPr>
            <w:r>
              <w:rPr>
                <w:rFonts w:ascii="Arial" w:cs="Arial" w:eastAsia="Arial" w:hAnsi="Arial"/>
                <w:sz w:val="18"/>
                <w:szCs w:val="18"/>
                <w:color w:val="auto"/>
                <w:w w:val="89"/>
              </w:rPr>
              <w:t>11/4/2005</w:t>
            </w:r>
          </w:p>
        </w:tc>
        <w:tc>
          <w:tcPr>
            <w:tcW w:w="1780" w:type="dxa"/>
            <w:vAlign w:val="bottom"/>
            <w:shd w:val="clear" w:color="auto" w:fill="C0C0C0"/>
          </w:tcPr>
          <w:p>
            <w:pPr>
              <w:jc w:val="center"/>
              <w:ind w:right="632"/>
              <w:spacing w:after="0"/>
              <w:rPr>
                <w:sz w:val="20"/>
                <w:szCs w:val="20"/>
                <w:color w:val="auto"/>
              </w:rPr>
            </w:pPr>
            <w:r>
              <w:rPr>
                <w:rFonts w:ascii="Arial" w:cs="Arial" w:eastAsia="Arial" w:hAnsi="Arial"/>
                <w:sz w:val="18"/>
                <w:szCs w:val="18"/>
                <w:color w:val="auto"/>
                <w:w w:val="84"/>
              </w:rPr>
              <w:t>$5.38</w:t>
            </w:r>
          </w:p>
        </w:tc>
        <w:tc>
          <w:tcPr>
            <w:tcW w:w="2480" w:type="dxa"/>
            <w:vAlign w:val="bottom"/>
            <w:shd w:val="clear" w:color="auto" w:fill="C0C0C0"/>
          </w:tcPr>
          <w:p>
            <w:pPr>
              <w:jc w:val="center"/>
              <w:ind w:right="452"/>
              <w:spacing w:after="0"/>
              <w:rPr>
                <w:sz w:val="20"/>
                <w:szCs w:val="20"/>
                <w:color w:val="auto"/>
              </w:rPr>
            </w:pPr>
            <w:r>
              <w:rPr>
                <w:rFonts w:ascii="Arial" w:cs="Arial" w:eastAsia="Arial" w:hAnsi="Arial"/>
                <w:sz w:val="18"/>
                <w:szCs w:val="18"/>
                <w:color w:val="auto"/>
                <w:w w:val="87"/>
              </w:rPr>
              <w:t>3.2</w:t>
            </w:r>
          </w:p>
        </w:tc>
        <w:tc>
          <w:tcPr>
            <w:tcW w:w="14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56,000</w:t>
            </w:r>
          </w:p>
        </w:tc>
        <w:tc>
          <w:tcPr>
            <w:tcW w:w="2460" w:type="dxa"/>
            <w:vAlign w:val="bottom"/>
            <w:gridSpan w:val="3"/>
            <w:shd w:val="clear" w:color="auto" w:fill="C0C0C0"/>
          </w:tcPr>
          <w:p>
            <w:pPr>
              <w:jc w:val="center"/>
              <w:ind w:left="492"/>
              <w:spacing w:after="0"/>
              <w:rPr>
                <w:sz w:val="20"/>
                <w:szCs w:val="20"/>
                <w:color w:val="auto"/>
              </w:rPr>
            </w:pPr>
            <w:r>
              <w:rPr>
                <w:rFonts w:ascii="Arial" w:cs="Arial" w:eastAsia="Arial" w:hAnsi="Arial"/>
                <w:sz w:val="18"/>
                <w:szCs w:val="18"/>
                <w:color w:val="auto"/>
                <w:w w:val="87"/>
              </w:rPr>
              <w:t>18,669</w:t>
            </w:r>
          </w:p>
        </w:tc>
        <w:tc>
          <w:tcPr>
            <w:tcW w:w="300" w:type="dxa"/>
            <w:vAlign w:val="bottom"/>
          </w:tcPr>
          <w:p>
            <w:pPr>
              <w:spacing w:after="0"/>
              <w:rPr>
                <w:sz w:val="21"/>
                <w:szCs w:val="21"/>
                <w:color w:val="auto"/>
              </w:rPr>
            </w:pPr>
          </w:p>
        </w:tc>
      </w:tr>
      <w:tr>
        <w:trPr>
          <w:trHeight w:val="235"/>
        </w:trPr>
        <w:tc>
          <w:tcPr>
            <w:tcW w:w="2660" w:type="dxa"/>
            <w:vAlign w:val="bottom"/>
            <w:gridSpan w:val="2"/>
          </w:tcPr>
          <w:p>
            <w:pPr>
              <w:jc w:val="center"/>
              <w:ind w:right="652"/>
              <w:spacing w:after="0"/>
              <w:rPr>
                <w:sz w:val="20"/>
                <w:szCs w:val="20"/>
                <w:color w:val="auto"/>
              </w:rPr>
            </w:pPr>
            <w:r>
              <w:rPr>
                <w:rFonts w:ascii="Arial" w:cs="Arial" w:eastAsia="Arial" w:hAnsi="Arial"/>
                <w:sz w:val="18"/>
                <w:szCs w:val="18"/>
                <w:color w:val="auto"/>
                <w:w w:val="91"/>
              </w:rPr>
              <w:t>9/1/2006</w:t>
            </w:r>
          </w:p>
        </w:tc>
        <w:tc>
          <w:tcPr>
            <w:tcW w:w="1780" w:type="dxa"/>
            <w:vAlign w:val="bottom"/>
          </w:tcPr>
          <w:p>
            <w:pPr>
              <w:jc w:val="center"/>
              <w:ind w:right="632"/>
              <w:spacing w:after="0"/>
              <w:rPr>
                <w:sz w:val="20"/>
                <w:szCs w:val="20"/>
                <w:color w:val="auto"/>
              </w:rPr>
            </w:pPr>
            <w:r>
              <w:rPr>
                <w:rFonts w:ascii="Arial" w:cs="Arial" w:eastAsia="Arial" w:hAnsi="Arial"/>
                <w:sz w:val="18"/>
                <w:szCs w:val="18"/>
                <w:color w:val="auto"/>
                <w:w w:val="84"/>
              </w:rPr>
              <w:t>$8.01</w:t>
            </w:r>
          </w:p>
        </w:tc>
        <w:tc>
          <w:tcPr>
            <w:tcW w:w="2480" w:type="dxa"/>
            <w:vAlign w:val="bottom"/>
          </w:tcPr>
          <w:p>
            <w:pPr>
              <w:jc w:val="center"/>
              <w:ind w:right="452"/>
              <w:spacing w:after="0"/>
              <w:rPr>
                <w:sz w:val="20"/>
                <w:szCs w:val="20"/>
                <w:color w:val="auto"/>
              </w:rPr>
            </w:pPr>
            <w:r>
              <w:rPr>
                <w:rFonts w:ascii="Arial" w:cs="Arial" w:eastAsia="Arial" w:hAnsi="Arial"/>
                <w:sz w:val="18"/>
                <w:szCs w:val="18"/>
                <w:color w:val="auto"/>
                <w:w w:val="87"/>
              </w:rPr>
              <w:t>4.0</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jc w:val="center"/>
              <w:ind w:right="732"/>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0"/>
                <w:szCs w:val="20"/>
                <w:color w:val="auto"/>
              </w:rPr>
            </w:pPr>
          </w:p>
        </w:tc>
      </w:tr>
      <w:tr>
        <w:trPr>
          <w:trHeight w:val="258"/>
        </w:trPr>
        <w:tc>
          <w:tcPr>
            <w:tcW w:w="2660" w:type="dxa"/>
            <w:vAlign w:val="bottom"/>
            <w:tcBorders>
              <w:bottom w:val="single" w:sz="8" w:color="auto"/>
            </w:tcBorders>
            <w:gridSpan w:val="2"/>
            <w:shd w:val="clear" w:color="auto" w:fill="C0C0C0"/>
          </w:tcPr>
          <w:p>
            <w:pPr>
              <w:jc w:val="center"/>
              <w:ind w:right="652"/>
              <w:spacing w:after="0"/>
              <w:rPr>
                <w:sz w:val="20"/>
                <w:szCs w:val="20"/>
                <w:color w:val="auto"/>
              </w:rPr>
            </w:pPr>
            <w:r>
              <w:rPr>
                <w:rFonts w:ascii="Arial" w:cs="Arial" w:eastAsia="Arial" w:hAnsi="Arial"/>
                <w:sz w:val="18"/>
                <w:szCs w:val="18"/>
                <w:color w:val="auto"/>
                <w:w w:val="86"/>
              </w:rPr>
              <w:t>1/23/07</w:t>
            </w:r>
          </w:p>
        </w:tc>
        <w:tc>
          <w:tcPr>
            <w:tcW w:w="1780" w:type="dxa"/>
            <w:vAlign w:val="bottom"/>
            <w:tcBorders>
              <w:bottom w:val="single" w:sz="8" w:color="auto"/>
            </w:tcBorders>
            <w:shd w:val="clear" w:color="auto" w:fill="C0C0C0"/>
          </w:tcPr>
          <w:p>
            <w:pPr>
              <w:jc w:val="center"/>
              <w:ind w:right="632"/>
              <w:spacing w:after="0"/>
              <w:rPr>
                <w:sz w:val="20"/>
                <w:szCs w:val="20"/>
                <w:color w:val="auto"/>
              </w:rPr>
            </w:pPr>
            <w:r>
              <w:rPr>
                <w:rFonts w:ascii="Arial" w:cs="Arial" w:eastAsia="Arial" w:hAnsi="Arial"/>
                <w:sz w:val="18"/>
                <w:szCs w:val="18"/>
                <w:color w:val="auto"/>
                <w:w w:val="84"/>
              </w:rPr>
              <w:t>$7.51</w:t>
            </w:r>
          </w:p>
        </w:tc>
        <w:tc>
          <w:tcPr>
            <w:tcW w:w="2480" w:type="dxa"/>
            <w:vAlign w:val="bottom"/>
            <w:tcBorders>
              <w:bottom w:val="single" w:sz="8" w:color="auto"/>
            </w:tcBorders>
            <w:shd w:val="clear" w:color="auto" w:fill="C0C0C0"/>
          </w:tcPr>
          <w:p>
            <w:pPr>
              <w:jc w:val="center"/>
              <w:ind w:right="452"/>
              <w:spacing w:after="0"/>
              <w:rPr>
                <w:sz w:val="20"/>
                <w:szCs w:val="20"/>
                <w:color w:val="auto"/>
              </w:rPr>
            </w:pPr>
            <w:r>
              <w:rPr>
                <w:rFonts w:ascii="Arial" w:cs="Arial" w:eastAsia="Arial" w:hAnsi="Arial"/>
                <w:sz w:val="18"/>
                <w:szCs w:val="18"/>
                <w:color w:val="auto"/>
                <w:w w:val="87"/>
              </w:rPr>
              <w:t>4.4</w:t>
            </w:r>
          </w:p>
        </w:tc>
        <w:tc>
          <w:tcPr>
            <w:tcW w:w="14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1,167</w:t>
            </w:r>
          </w:p>
        </w:tc>
        <w:tc>
          <w:tcPr>
            <w:tcW w:w="220" w:type="dxa"/>
            <w:vAlign w:val="bottom"/>
            <w:tcBorders>
              <w:bottom w:val="single" w:sz="8" w:color="auto"/>
            </w:tcBorders>
            <w:shd w:val="clear" w:color="auto" w:fill="C0C0C0"/>
          </w:tcPr>
          <w:p>
            <w:pPr>
              <w:spacing w:after="0"/>
              <w:rPr>
                <w:sz w:val="22"/>
                <w:szCs w:val="22"/>
                <w:color w:val="auto"/>
              </w:rPr>
            </w:pPr>
          </w:p>
        </w:tc>
        <w:tc>
          <w:tcPr>
            <w:tcW w:w="1200" w:type="dxa"/>
            <w:vAlign w:val="bottom"/>
            <w:tcBorders>
              <w:bottom w:val="single" w:sz="8" w:color="auto"/>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jc w:val="center"/>
              <w:ind w:right="732"/>
              <w:spacing w:after="0"/>
              <w:rPr>
                <w:sz w:val="20"/>
                <w:szCs w:val="20"/>
                <w:color w:val="auto"/>
              </w:rPr>
            </w:pPr>
            <w:r>
              <w:rPr>
                <w:rFonts w:ascii="Arial" w:cs="Arial" w:eastAsia="Arial" w:hAnsi="Arial"/>
                <w:sz w:val="18"/>
                <w:szCs w:val="18"/>
                <w:color w:val="auto"/>
                <w:w w:val="99"/>
              </w:rPr>
              <w:t>0</w:t>
            </w:r>
          </w:p>
        </w:tc>
        <w:tc>
          <w:tcPr>
            <w:tcW w:w="300" w:type="dxa"/>
            <w:vAlign w:val="bottom"/>
          </w:tcPr>
          <w:p>
            <w:pPr>
              <w:spacing w:after="0"/>
              <w:rPr>
                <w:sz w:val="22"/>
                <w:szCs w:val="22"/>
                <w:color w:val="auto"/>
              </w:rPr>
            </w:pPr>
          </w:p>
        </w:tc>
      </w:tr>
      <w:tr>
        <w:trPr>
          <w:trHeight w:val="228"/>
        </w:trPr>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86,167</w:t>
            </w:r>
          </w:p>
        </w:tc>
        <w:tc>
          <w:tcPr>
            <w:tcW w:w="2460" w:type="dxa"/>
            <w:vAlign w:val="bottom"/>
            <w:gridSpan w:val="3"/>
          </w:tcPr>
          <w:p>
            <w:pPr>
              <w:jc w:val="center"/>
              <w:ind w:left="492"/>
              <w:spacing w:after="0"/>
              <w:rPr>
                <w:sz w:val="20"/>
                <w:szCs w:val="20"/>
                <w:color w:val="auto"/>
              </w:rPr>
            </w:pPr>
            <w:r>
              <w:rPr>
                <w:rFonts w:ascii="Arial" w:cs="Arial" w:eastAsia="Arial" w:hAnsi="Arial"/>
                <w:sz w:val="18"/>
                <w:szCs w:val="18"/>
                <w:color w:val="auto"/>
                <w:w w:val="87"/>
              </w:rPr>
              <w:t>28,672</w:t>
            </w:r>
          </w:p>
        </w:tc>
        <w:tc>
          <w:tcPr>
            <w:tcW w:w="300" w:type="dxa"/>
            <w:vAlign w:val="bottom"/>
          </w:tcPr>
          <w:p>
            <w:pPr>
              <w:spacing w:after="0"/>
              <w:rPr>
                <w:sz w:val="19"/>
                <w:szCs w:val="19"/>
                <w:color w:val="auto"/>
              </w:rPr>
            </w:pPr>
          </w:p>
        </w:tc>
      </w:tr>
      <w:tr>
        <w:trPr>
          <w:trHeight w:val="689"/>
        </w:trPr>
        <w:tc>
          <w:tcPr>
            <w:tcW w:w="8380" w:type="dxa"/>
            <w:vAlign w:val="bottom"/>
            <w:gridSpan w:val="5"/>
          </w:tcPr>
          <w:p>
            <w:pPr>
              <w:spacing w:after="0"/>
              <w:rPr>
                <w:sz w:val="20"/>
                <w:szCs w:val="20"/>
                <w:color w:val="auto"/>
              </w:rPr>
            </w:pPr>
            <w:r>
              <w:rPr>
                <w:rFonts w:ascii="Arial" w:cs="Arial" w:eastAsia="Arial" w:hAnsi="Arial"/>
                <w:sz w:val="18"/>
                <w:szCs w:val="18"/>
                <w:color w:val="auto"/>
                <w:w w:val="91"/>
              </w:rPr>
              <w:t>The weighted average fair value of options granted during fiscal 2007 and 2006 was $2.95 and $2.00, respectively.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15. SEGMENT INFORMATION</w:t>
            </w:r>
          </w:p>
        </w:tc>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6920" w:type="dxa"/>
            <w:vAlign w:val="bottom"/>
            <w:gridSpan w:val="4"/>
          </w:tcPr>
          <w:p>
            <w:pPr>
              <w:spacing w:after="0"/>
              <w:rPr>
                <w:sz w:val="20"/>
                <w:szCs w:val="20"/>
                <w:color w:val="auto"/>
              </w:rPr>
            </w:pPr>
            <w:r>
              <w:rPr>
                <w:rFonts w:ascii="Arial" w:cs="Arial" w:eastAsia="Arial" w:hAnsi="Arial"/>
                <w:sz w:val="18"/>
                <w:szCs w:val="18"/>
                <w:color w:val="auto"/>
                <w:w w:val="89"/>
              </w:rPr>
              <w:t>Net sales by geographic location as a percentage of total consolidated net sales were as follows:</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5"/>
        </w:trPr>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August 31, 2007</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w w:val="88"/>
              </w:rPr>
              <w:t>August 31, 2006</w:t>
            </w:r>
          </w:p>
        </w:tc>
      </w:tr>
      <w:tr>
        <w:trPr>
          <w:trHeight w:val="243"/>
        </w:trPr>
        <w:tc>
          <w:tcPr>
            <w:tcW w:w="300" w:type="dxa"/>
            <w:vAlign w:val="bottom"/>
          </w:tcPr>
          <w:p>
            <w:pPr>
              <w:spacing w:after="0"/>
              <w:rPr>
                <w:sz w:val="21"/>
                <w:szCs w:val="21"/>
                <w:color w:val="auto"/>
              </w:rPr>
            </w:pPr>
          </w:p>
        </w:tc>
        <w:tc>
          <w:tcPr>
            <w:tcW w:w="414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Inside the U.S.A. to unaffiliated customers</w:t>
            </w:r>
          </w:p>
        </w:tc>
        <w:tc>
          <w:tcPr>
            <w:tcW w:w="2480" w:type="dxa"/>
            <w:vAlign w:val="bottom"/>
            <w:tcBorders>
              <w:top w:val="single" w:sz="8" w:color="C0C0C0"/>
            </w:tcBorders>
            <w:shd w:val="clear" w:color="auto" w:fill="C0C0C0"/>
          </w:tcPr>
          <w:p>
            <w:pPr>
              <w:spacing w:after="0"/>
              <w:rPr>
                <w:sz w:val="21"/>
                <w:szCs w:val="21"/>
                <w:color w:val="auto"/>
              </w:rPr>
            </w:pPr>
          </w:p>
        </w:tc>
        <w:tc>
          <w:tcPr>
            <w:tcW w:w="1460" w:type="dxa"/>
            <w:vAlign w:val="bottom"/>
            <w:tcBorders>
              <w:top w:val="single" w:sz="8" w:color="C0C0C0"/>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200" w:type="dxa"/>
            <w:vAlign w:val="bottom"/>
            <w:tcBorders>
              <w:top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79.2%</w:t>
            </w:r>
          </w:p>
        </w:tc>
        <w:tc>
          <w:tcPr>
            <w:tcW w:w="10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Borders>
              <w:top w:val="single" w:sz="8" w:color="auto"/>
            </w:tcBorders>
            <w:shd w:val="clear" w:color="auto" w:fill="C0C0C0"/>
          </w:tcPr>
          <w:p>
            <w:pPr>
              <w:spacing w:after="0"/>
              <w:rPr>
                <w:sz w:val="21"/>
                <w:szCs w:val="21"/>
                <w:color w:val="auto"/>
              </w:rPr>
            </w:pPr>
          </w:p>
        </w:tc>
      </w:tr>
      <w:tr>
        <w:trPr>
          <w:trHeight w:val="235"/>
        </w:trPr>
        <w:tc>
          <w:tcPr>
            <w:tcW w:w="2660" w:type="dxa"/>
            <w:vAlign w:val="bottom"/>
            <w:gridSpan w:val="2"/>
          </w:tcPr>
          <w:p>
            <w:pPr>
              <w:ind w:left="300"/>
              <w:spacing w:after="0"/>
              <w:rPr>
                <w:sz w:val="20"/>
                <w:szCs w:val="20"/>
                <w:color w:val="auto"/>
              </w:rPr>
            </w:pPr>
            <w:r>
              <w:rPr>
                <w:rFonts w:ascii="Arial" w:cs="Arial" w:eastAsia="Arial" w:hAnsi="Arial"/>
                <w:sz w:val="18"/>
                <w:szCs w:val="18"/>
                <w:color w:val="auto"/>
              </w:rPr>
              <w:t>Outside the U.S.A. to:</w:t>
            </w:r>
          </w:p>
        </w:tc>
        <w:tc>
          <w:tcPr>
            <w:tcW w:w="1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35"/>
        </w:trPr>
        <w:tc>
          <w:tcPr>
            <w:tcW w:w="300" w:type="dxa"/>
            <w:vAlign w:val="bottom"/>
          </w:tcPr>
          <w:p>
            <w:pPr>
              <w:spacing w:after="0"/>
              <w:rPr>
                <w:sz w:val="20"/>
                <w:szCs w:val="20"/>
                <w:color w:val="auto"/>
              </w:rPr>
            </w:pPr>
          </w:p>
        </w:tc>
        <w:tc>
          <w:tcPr>
            <w:tcW w:w="41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w w:val="97"/>
              </w:rPr>
              <w:t>Corporate Joint Ventures in which the Company is</w:t>
            </w:r>
          </w:p>
        </w:tc>
        <w:tc>
          <w:tcPr>
            <w:tcW w:w="2480" w:type="dxa"/>
            <w:vAlign w:val="bottom"/>
            <w:shd w:val="clear" w:color="auto" w:fill="C0C0C0"/>
          </w:tcPr>
          <w:p>
            <w:pPr>
              <w:spacing w:after="0"/>
              <w:rPr>
                <w:sz w:val="20"/>
                <w:szCs w:val="20"/>
                <w:color w:val="auto"/>
              </w:rPr>
            </w:pPr>
          </w:p>
        </w:tc>
        <w:tc>
          <w:tcPr>
            <w:tcW w:w="14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r>
      <w:tr>
        <w:trPr>
          <w:trHeight w:val="259"/>
        </w:trPr>
        <w:tc>
          <w:tcPr>
            <w:tcW w:w="300" w:type="dxa"/>
            <w:vAlign w:val="bottom"/>
          </w:tcPr>
          <w:p>
            <w:pPr>
              <w:spacing w:after="0"/>
              <w:rPr>
                <w:sz w:val="22"/>
                <w:szCs w:val="22"/>
                <w:color w:val="auto"/>
              </w:rPr>
            </w:pPr>
          </w:p>
        </w:tc>
        <w:tc>
          <w:tcPr>
            <w:tcW w:w="4140" w:type="dxa"/>
            <w:vAlign w:val="bottom"/>
            <w:gridSpan w:val="2"/>
            <w:shd w:val="clear" w:color="auto" w:fill="C0C0C0"/>
          </w:tcPr>
          <w:p>
            <w:pPr>
              <w:ind w:left="440"/>
              <w:spacing w:after="0"/>
              <w:rPr>
                <w:sz w:val="20"/>
                <w:szCs w:val="20"/>
                <w:color w:val="auto"/>
              </w:rPr>
            </w:pPr>
            <w:r>
              <w:rPr>
                <w:rFonts w:ascii="Arial" w:cs="Arial" w:eastAsia="Arial" w:hAnsi="Arial"/>
                <w:sz w:val="18"/>
                <w:szCs w:val="18"/>
                <w:color w:val="auto"/>
              </w:rPr>
              <w:t>a shareholder directly and indirectly</w:t>
            </w:r>
          </w:p>
        </w:tc>
        <w:tc>
          <w:tcPr>
            <w:tcW w:w="2480" w:type="dxa"/>
            <w:vAlign w:val="bottom"/>
            <w:shd w:val="clear" w:color="auto" w:fill="C0C0C0"/>
          </w:tcPr>
          <w:p>
            <w:pPr>
              <w:spacing w:after="0"/>
              <w:rPr>
                <w:sz w:val="22"/>
                <w:szCs w:val="22"/>
                <w:color w:val="auto"/>
              </w:rPr>
            </w:pPr>
          </w:p>
        </w:tc>
        <w:tc>
          <w:tcPr>
            <w:tcW w:w="1460" w:type="dxa"/>
            <w:vAlign w:val="bottom"/>
            <w:shd w:val="clear" w:color="auto" w:fill="C0C0C0"/>
          </w:tcPr>
          <w:p>
            <w:pPr>
              <w:spacing w:after="0"/>
              <w:rPr>
                <w:sz w:val="22"/>
                <w:szCs w:val="22"/>
                <w:color w:val="auto"/>
              </w:rPr>
            </w:pPr>
          </w:p>
        </w:tc>
        <w:tc>
          <w:tcPr>
            <w:tcW w:w="1420" w:type="dxa"/>
            <w:vAlign w:val="bottom"/>
            <w:gridSpan w:val="2"/>
            <w:shd w:val="clear" w:color="auto" w:fill="C0C0C0"/>
          </w:tcPr>
          <w:p>
            <w:pPr>
              <w:jc w:val="right"/>
              <w:ind w:right="412"/>
              <w:spacing w:after="0"/>
              <w:rPr>
                <w:sz w:val="20"/>
                <w:szCs w:val="20"/>
                <w:color w:val="auto"/>
              </w:rPr>
            </w:pPr>
            <w:r>
              <w:rPr>
                <w:rFonts w:ascii="Arial" w:cs="Arial" w:eastAsia="Arial" w:hAnsi="Arial"/>
                <w:sz w:val="18"/>
                <w:szCs w:val="18"/>
                <w:color w:val="auto"/>
              </w:rPr>
              <w:t>12.8</w:t>
            </w:r>
          </w:p>
        </w:tc>
        <w:tc>
          <w:tcPr>
            <w:tcW w:w="10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0C0C0"/>
          </w:tcPr>
          <w:p>
            <w:pPr>
              <w:spacing w:after="0"/>
              <w:rPr>
                <w:sz w:val="22"/>
                <w:szCs w:val="22"/>
                <w:color w:val="auto"/>
              </w:rPr>
            </w:pPr>
          </w:p>
        </w:tc>
      </w:tr>
      <w:tr>
        <w:trPr>
          <w:trHeight w:val="237"/>
        </w:trPr>
        <w:tc>
          <w:tcPr>
            <w:tcW w:w="300" w:type="dxa"/>
            <w:vAlign w:val="bottom"/>
          </w:tcPr>
          <w:p>
            <w:pPr>
              <w:spacing w:after="0"/>
              <w:rPr>
                <w:sz w:val="20"/>
                <w:szCs w:val="20"/>
                <w:color w:val="auto"/>
              </w:rPr>
            </w:pPr>
          </w:p>
        </w:tc>
        <w:tc>
          <w:tcPr>
            <w:tcW w:w="2360" w:type="dxa"/>
            <w:vAlign w:val="bottom"/>
            <w:tcBorders>
              <w:bottom w:val="single" w:sz="8" w:color="C0C0C0"/>
            </w:tcBorders>
          </w:tcPr>
          <w:p>
            <w:pPr>
              <w:ind w:left="220"/>
              <w:spacing w:after="0"/>
              <w:rPr>
                <w:sz w:val="20"/>
                <w:szCs w:val="20"/>
                <w:color w:val="auto"/>
              </w:rPr>
            </w:pPr>
            <w:r>
              <w:rPr>
                <w:rFonts w:ascii="Arial" w:cs="Arial" w:eastAsia="Arial" w:hAnsi="Arial"/>
                <w:sz w:val="18"/>
                <w:szCs w:val="18"/>
                <w:color w:val="auto"/>
              </w:rPr>
              <w:t>Unaffiliated customers</w:t>
            </w:r>
          </w:p>
        </w:tc>
        <w:tc>
          <w:tcPr>
            <w:tcW w:w="1780" w:type="dxa"/>
            <w:vAlign w:val="bottom"/>
            <w:tcBorders>
              <w:bottom w:val="single" w:sz="8" w:color="C0C0C0"/>
            </w:tcBorders>
          </w:tcPr>
          <w:p>
            <w:pPr>
              <w:spacing w:after="0"/>
              <w:rPr>
                <w:sz w:val="20"/>
                <w:szCs w:val="20"/>
                <w:color w:val="auto"/>
              </w:rPr>
            </w:pPr>
          </w:p>
        </w:tc>
        <w:tc>
          <w:tcPr>
            <w:tcW w:w="2480" w:type="dxa"/>
            <w:vAlign w:val="bottom"/>
            <w:tcBorders>
              <w:bottom w:val="single" w:sz="8" w:color="C0C0C0"/>
            </w:tcBorders>
          </w:tcPr>
          <w:p>
            <w:pPr>
              <w:spacing w:after="0"/>
              <w:rPr>
                <w:sz w:val="20"/>
                <w:szCs w:val="20"/>
                <w:color w:val="auto"/>
              </w:rPr>
            </w:pPr>
          </w:p>
        </w:tc>
        <w:tc>
          <w:tcPr>
            <w:tcW w:w="14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8.0</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auto"/>
            </w:tcBorders>
          </w:tcPr>
          <w:p>
            <w:pPr>
              <w:spacing w:after="0"/>
              <w:rPr>
                <w:sz w:val="20"/>
                <w:szCs w:val="20"/>
                <w:color w:val="auto"/>
              </w:rPr>
            </w:pPr>
          </w:p>
        </w:tc>
      </w:tr>
      <w:tr>
        <w:trPr>
          <w:trHeight w:val="250"/>
        </w:trPr>
        <w:tc>
          <w:tcPr>
            <w:tcW w:w="300" w:type="dxa"/>
            <w:vAlign w:val="bottom"/>
          </w:tcPr>
          <w:p>
            <w:pPr>
              <w:spacing w:after="0"/>
              <w:rPr>
                <w:sz w:val="21"/>
                <w:szCs w:val="21"/>
                <w:color w:val="auto"/>
              </w:rPr>
            </w:pPr>
          </w:p>
        </w:tc>
        <w:tc>
          <w:tcPr>
            <w:tcW w:w="2360" w:type="dxa"/>
            <w:vAlign w:val="bottom"/>
            <w:tcBorders>
              <w:bottom w:val="single" w:sz="8" w:color="C0C0C0"/>
            </w:tcBorders>
            <w:shd w:val="clear" w:color="auto" w:fill="C0C0C0"/>
          </w:tcPr>
          <w:p>
            <w:pPr>
              <w:spacing w:after="0"/>
              <w:rPr>
                <w:sz w:val="21"/>
                <w:szCs w:val="21"/>
                <w:color w:val="auto"/>
              </w:rPr>
            </w:pPr>
          </w:p>
        </w:tc>
        <w:tc>
          <w:tcPr>
            <w:tcW w:w="1780" w:type="dxa"/>
            <w:vAlign w:val="bottom"/>
            <w:tcBorders>
              <w:bottom w:val="single" w:sz="8" w:color="C0C0C0"/>
            </w:tcBorders>
            <w:shd w:val="clear" w:color="auto" w:fill="C0C0C0"/>
          </w:tcPr>
          <w:p>
            <w:pPr>
              <w:spacing w:after="0"/>
              <w:rPr>
                <w:sz w:val="21"/>
                <w:szCs w:val="21"/>
                <w:color w:val="auto"/>
              </w:rPr>
            </w:pPr>
          </w:p>
        </w:tc>
        <w:tc>
          <w:tcPr>
            <w:tcW w:w="2480" w:type="dxa"/>
            <w:vAlign w:val="bottom"/>
            <w:tcBorders>
              <w:bottom w:val="single" w:sz="8" w:color="C0C0C0"/>
            </w:tcBorders>
            <w:shd w:val="clear" w:color="auto" w:fill="C0C0C0"/>
          </w:tcPr>
          <w:p>
            <w:pPr>
              <w:spacing w:after="0"/>
              <w:rPr>
                <w:sz w:val="21"/>
                <w:szCs w:val="21"/>
                <w:color w:val="auto"/>
              </w:rPr>
            </w:pPr>
          </w:p>
        </w:tc>
        <w:tc>
          <w:tcPr>
            <w:tcW w:w="146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0C0C0"/>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 customer of NTIC’s React-NTI, LLC joint venture accounted for, in the aggregate, approximately 28.0% and 26.6% of NTIC’s consolidated net sales for the fiscal years ended August 31, 2007 and 2006 respectively, and $144,999 and $207,630 of NTIC’s receivables at August 31, 2007 and 2006,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$100,124 and $103,544, for the fiscal years ended August 31, 2007 and 2006,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18, 2006, the Company and Emeritushnic Facilities Company, Inc. (“EFC”), an entity owned by the Company’s former Chairman of the Board and Chief Executive Officer and current Chairman Emeritus, Philip M. Lynch, and certain of his family members, excluding G. Patrick Lynch, the Company’s current President and Chief Executive Officer, entered into a Consulting Agreement, effective as of May 1, 2006. Pursuant to the Consulting Agreement, the Company has engaged EFC to perform certain consulting services to the Company, including maintaining communications and relations between the Company and its joint venture partners. In consideration for such services, the Company paid EFC consulting fees totaling $300,000 in fiscal 2007, and reimbursed EFC for out-of-pocket expenses reasonably incurred in the course of providing such services in an aggregate amount of $180,000 during fiscal 2007. The Consulting Agreement provides for fees of $25,000 per month and up to $180,000 in expense reimbursement in a given fiscal year. Additionally, it may be terminated by either party for any reason upon at least 90 days prior written notice to the other party and may be terminated upon the occurrence of other certain events, as set forth in the Consulting Agreement. The Consulting Agreement also contains other standard and customary terms, including provisions regarding confidentiality, non-competition and non-solicitation.</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 2006, the Company and Inter Alia Holding Co. (“Inter Alia”) entered into a termination agreement pursuant to which they mutually agreed to terminate that certain Manufacturer’s Representative Agreement dated as of October 1, 1976 and as subsequently amended thereafter. Inter Alia beneficially owns approximately 24.9% of the Company’s outstanding common stock, and Philip M. Lynch, the Company’s former Chairman of the Board and Chief Executive Officer and current Chairman Emeritus, and G. Patrick Lynch, the Company’s current President and Chief Executive Officer, are shareholders of Inter Alia. Prior to terminating the agreement, the Company reimbursed Inter Alia for travel and related expenses in the aggregate amount of $320,000 during fiscal 2006. The Company paid Inter Alia commissions on royalties paid by corporate joint ventures and net proceeds of sales of the Company’s products of approximately $65,000 during fiscal 2006. In addition, the Company paid health insurance premiums of $6,623 during fiscal 2006, related to policies that insure Philip M. Lynch, the Company’s former Chairman of the Board and Chief Executive Officer and current Chairman Emeritus.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made consulting payments to Bioplastic Polymers LLC which is owned by Dr. Ramani Narayan, a director of the Company, of $25,000 on each of November 8, 2005, February 1, 2006, May 1, 2006, August 1, 2006, November 2, 2006, February 1, 2007, May 1, 2007 and August 2007. The consulting services rendered by Bioplastic Polymers LLC are related to research and development associated with various new technologies and are contracted on a quarter to quarter basis cancellable by the Company at anytime.</w:t>
      </w:r>
    </w:p>
    <w:p>
      <w:pPr>
        <w:sectPr>
          <w:pgSz w:w="11900" w:h="16840" w:orient="portrait"/>
          <w:cols w:equalWidth="0" w:num="1">
            <w:col w:w="11420"/>
          </w:cols>
          <w:pgMar w:left="240" w:top="590" w:right="239" w:bottom="0" w:gutter="0" w:footer="0" w:header="0"/>
        </w:sectPr>
      </w:pPr>
    </w:p>
    <w:bookmarkStart w:id="31" w:name="page32"/>
    <w:bookmarkEnd w:id="31"/>
    <w:p>
      <w:pPr>
        <w:spacing w:after="0" w:line="6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made consulting payments to Dr. Sunggyu Lee, a director of the Company, of $25,000 on each of November 8, 2005, February 1, 2006, May 1, 2006, August 1, 2006, November 28, 2006 and February 1, 2007. The consulting services rendered by Dr. Lee related to research and development associated with various new technologies and are contracted on a quarter to quarter basis cancellable by the Company at anytime. In May 2007, the consulting arrangement between the Company and Dr. Lee was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gridSpan w:val="2"/>
          </w:tcPr>
          <w:p>
            <w:pPr>
              <w:jc w:val="right"/>
              <w:ind w:right="1432"/>
              <w:spacing w:after="0"/>
              <w:rPr>
                <w:sz w:val="20"/>
                <w:szCs w:val="20"/>
                <w:color w:val="auto"/>
              </w:rPr>
            </w:pPr>
            <w:r>
              <w:rPr>
                <w:rFonts w:ascii="Arial" w:cs="Arial" w:eastAsia="Arial" w:hAnsi="Arial"/>
                <w:sz w:val="18"/>
                <w:szCs w:val="18"/>
                <w:color w:val="auto"/>
              </w:rPr>
              <w:t>53</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r>
      <w:tr>
        <w:trPr>
          <w:trHeight w:val="42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18. INCOME TAXES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The provision for income taxes for the fiscal years ended August 31 consist of the following:</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55"/>
        </w:trPr>
        <w:tc>
          <w:tcPr>
            <w:tcW w:w="2300" w:type="dxa"/>
            <w:vAlign w:val="bottom"/>
          </w:tcPr>
          <w:p>
            <w:pPr>
              <w:spacing w:after="0"/>
              <w:rPr>
                <w:sz w:val="24"/>
                <w:szCs w:val="24"/>
                <w:color w:val="auto"/>
              </w:rPr>
            </w:pPr>
          </w:p>
        </w:tc>
        <w:tc>
          <w:tcPr>
            <w:tcW w:w="5020" w:type="dxa"/>
            <w:vAlign w:val="bottom"/>
            <w:tcBorders>
              <w:bottom w:val="single" w:sz="8" w:color="C0C0C0"/>
            </w:tcBorders>
          </w:tcPr>
          <w:p>
            <w:pPr>
              <w:spacing w:after="0"/>
              <w:rPr>
                <w:sz w:val="24"/>
                <w:szCs w:val="24"/>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4"/>
                <w:szCs w:val="24"/>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2006</w:t>
            </w:r>
          </w:p>
        </w:tc>
        <w:tc>
          <w:tcPr>
            <w:tcW w:w="2300" w:type="dxa"/>
            <w:vAlign w:val="bottom"/>
          </w:tcPr>
          <w:p>
            <w:pPr>
              <w:spacing w:after="0"/>
              <w:rPr>
                <w:sz w:val="24"/>
                <w:szCs w:val="24"/>
                <w:color w:val="auto"/>
              </w:rPr>
            </w:pPr>
          </w:p>
        </w:tc>
      </w:tr>
      <w:tr>
        <w:trPr>
          <w:trHeight w:val="230"/>
        </w:trPr>
        <w:tc>
          <w:tcPr>
            <w:tcW w:w="2300" w:type="dxa"/>
            <w:vAlign w:val="bottom"/>
          </w:tcPr>
          <w:p>
            <w:pPr>
              <w:spacing w:after="0"/>
              <w:rPr>
                <w:sz w:val="19"/>
                <w:szCs w:val="19"/>
                <w:color w:val="auto"/>
              </w:rPr>
            </w:pPr>
          </w:p>
        </w:tc>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Current:</w:t>
            </w:r>
          </w:p>
        </w:tc>
        <w:tc>
          <w:tcPr>
            <w:tcW w:w="8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300" w:type="dxa"/>
            <w:vAlign w:val="bottom"/>
          </w:tcPr>
          <w:p>
            <w:pPr>
              <w:spacing w:after="0"/>
              <w:rPr>
                <w:sz w:val="19"/>
                <w:szCs w:val="19"/>
                <w:color w:val="auto"/>
              </w:rPr>
            </w:pPr>
          </w:p>
        </w:tc>
      </w:tr>
      <w:tr>
        <w:trPr>
          <w:trHeight w:val="235"/>
        </w:trPr>
        <w:tc>
          <w:tcPr>
            <w:tcW w:w="230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Federal</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$622,800</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$560,000</w:t>
            </w:r>
          </w:p>
        </w:tc>
        <w:tc>
          <w:tcPr>
            <w:tcW w:w="2300" w:type="dxa"/>
            <w:vAlign w:val="bottom"/>
          </w:tcPr>
          <w:p>
            <w:pPr>
              <w:spacing w:after="0"/>
              <w:rPr>
                <w:sz w:val="20"/>
                <w:szCs w:val="20"/>
                <w:color w:val="auto"/>
              </w:rPr>
            </w:pPr>
          </w:p>
        </w:tc>
      </w:tr>
      <w:tr>
        <w:trPr>
          <w:trHeight w:val="244"/>
        </w:trPr>
        <w:tc>
          <w:tcPr>
            <w:tcW w:w="2300" w:type="dxa"/>
            <w:vAlign w:val="bottom"/>
          </w:tcPr>
          <w:p>
            <w:pPr>
              <w:spacing w:after="0"/>
              <w:rPr>
                <w:sz w:val="21"/>
                <w:szCs w:val="21"/>
                <w:color w:val="auto"/>
              </w:rPr>
            </w:pPr>
          </w:p>
        </w:tc>
        <w:tc>
          <w:tcPr>
            <w:tcW w:w="50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State</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39,200</w:t>
            </w:r>
          </w:p>
        </w:tc>
        <w:tc>
          <w:tcPr>
            <w:tcW w:w="22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35,000</w:t>
            </w:r>
          </w:p>
        </w:tc>
        <w:tc>
          <w:tcPr>
            <w:tcW w:w="2300" w:type="dxa"/>
            <w:vAlign w:val="bottom"/>
          </w:tcPr>
          <w:p>
            <w:pPr>
              <w:spacing w:after="0"/>
              <w:rPr>
                <w:sz w:val="21"/>
                <w:szCs w:val="21"/>
                <w:color w:val="auto"/>
              </w:rPr>
            </w:pPr>
          </w:p>
        </w:tc>
      </w:tr>
      <w:tr>
        <w:trPr>
          <w:trHeight w:val="228"/>
        </w:trPr>
        <w:tc>
          <w:tcPr>
            <w:tcW w:w="23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$662,000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$595,000</w:t>
            </w:r>
          </w:p>
        </w:tc>
        <w:tc>
          <w:tcPr>
            <w:tcW w:w="2300" w:type="dxa"/>
            <w:vAlign w:val="bottom"/>
          </w:tcPr>
          <w:p>
            <w:pPr>
              <w:spacing w:after="0"/>
              <w:rPr>
                <w:sz w:val="19"/>
                <w:szCs w:val="19"/>
                <w:color w:val="auto"/>
              </w:rPr>
            </w:pPr>
          </w:p>
        </w:tc>
      </w:tr>
      <w:tr>
        <w:trPr>
          <w:trHeight w:val="259"/>
        </w:trPr>
        <w:tc>
          <w:tcPr>
            <w:tcW w:w="732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43"/>
        </w:trPr>
        <w:tc>
          <w:tcPr>
            <w:tcW w:w="2300" w:type="dxa"/>
            <w:vAlign w:val="bottom"/>
          </w:tcPr>
          <w:p>
            <w:pPr>
              <w:spacing w:after="0"/>
              <w:rPr>
                <w:sz w:val="21"/>
                <w:szCs w:val="21"/>
                <w:color w:val="auto"/>
              </w:rPr>
            </w:pPr>
          </w:p>
        </w:tc>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Deferred:</w:t>
            </w:r>
          </w:p>
        </w:tc>
        <w:tc>
          <w:tcPr>
            <w:tcW w:w="8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300" w:type="dxa"/>
            <w:vAlign w:val="bottom"/>
          </w:tcPr>
          <w:p>
            <w:pPr>
              <w:spacing w:after="0"/>
              <w:rPr>
                <w:sz w:val="21"/>
                <w:szCs w:val="21"/>
                <w:color w:val="auto"/>
              </w:rPr>
            </w:pPr>
          </w:p>
        </w:tc>
      </w:tr>
      <w:tr>
        <w:trPr>
          <w:trHeight w:val="235"/>
        </w:trPr>
        <w:tc>
          <w:tcPr>
            <w:tcW w:w="2300" w:type="dxa"/>
            <w:vAlign w:val="bottom"/>
          </w:tcPr>
          <w:p>
            <w:pPr>
              <w:spacing w:after="0"/>
              <w:rPr>
                <w:sz w:val="20"/>
                <w:szCs w:val="20"/>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Federal</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$(465,600)</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$(321,000)</w:t>
            </w:r>
          </w:p>
        </w:tc>
        <w:tc>
          <w:tcPr>
            <w:tcW w:w="2300" w:type="dxa"/>
            <w:vAlign w:val="bottom"/>
          </w:tcPr>
          <w:p>
            <w:pPr>
              <w:spacing w:after="0"/>
              <w:rPr>
                <w:sz w:val="20"/>
                <w:szCs w:val="20"/>
                <w:color w:val="auto"/>
              </w:rPr>
            </w:pPr>
          </w:p>
        </w:tc>
      </w:tr>
      <w:tr>
        <w:trPr>
          <w:trHeight w:val="244"/>
        </w:trPr>
        <w:tc>
          <w:tcPr>
            <w:tcW w:w="2300" w:type="dxa"/>
            <w:vAlign w:val="bottom"/>
          </w:tcPr>
          <w:p>
            <w:pPr>
              <w:spacing w:after="0"/>
              <w:rPr>
                <w:sz w:val="21"/>
                <w:szCs w:val="21"/>
                <w:color w:val="auto"/>
              </w:rPr>
            </w:pPr>
          </w:p>
        </w:tc>
        <w:tc>
          <w:tcPr>
            <w:tcW w:w="50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State</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(10,400)</w:t>
            </w:r>
          </w:p>
        </w:tc>
        <w:tc>
          <w:tcPr>
            <w:tcW w:w="22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(20,000)</w:t>
            </w:r>
          </w:p>
        </w:tc>
        <w:tc>
          <w:tcPr>
            <w:tcW w:w="2300" w:type="dxa"/>
            <w:vAlign w:val="bottom"/>
          </w:tcPr>
          <w:p>
            <w:pPr>
              <w:spacing w:after="0"/>
              <w:rPr>
                <w:sz w:val="21"/>
                <w:szCs w:val="21"/>
                <w:color w:val="auto"/>
              </w:rPr>
            </w:pPr>
          </w:p>
        </w:tc>
      </w:tr>
      <w:tr>
        <w:trPr>
          <w:trHeight w:val="237"/>
        </w:trPr>
        <w:tc>
          <w:tcPr>
            <w:tcW w:w="2300" w:type="dxa"/>
            <w:vAlign w:val="bottom"/>
          </w:tcPr>
          <w:p>
            <w:pPr>
              <w:spacing w:after="0"/>
              <w:rPr>
                <w:sz w:val="20"/>
                <w:szCs w:val="20"/>
                <w:color w:val="auto"/>
              </w:rPr>
            </w:pPr>
          </w:p>
        </w:tc>
        <w:tc>
          <w:tcPr>
            <w:tcW w:w="502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(476,000)</w:t>
            </w:r>
          </w:p>
        </w:tc>
        <w:tc>
          <w:tcPr>
            <w:tcW w:w="22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(341,000)</w:t>
            </w:r>
          </w:p>
        </w:tc>
        <w:tc>
          <w:tcPr>
            <w:tcW w:w="2300" w:type="dxa"/>
            <w:vAlign w:val="bottom"/>
          </w:tcPr>
          <w:p>
            <w:pPr>
              <w:spacing w:after="0"/>
              <w:rPr>
                <w:sz w:val="20"/>
                <w:szCs w:val="20"/>
                <w:color w:val="auto"/>
              </w:rPr>
            </w:pPr>
          </w:p>
        </w:tc>
      </w:tr>
      <w:tr>
        <w:trPr>
          <w:trHeight w:val="250"/>
        </w:trPr>
        <w:tc>
          <w:tcPr>
            <w:tcW w:w="2300" w:type="dxa"/>
            <w:vAlign w:val="bottom"/>
          </w:tcPr>
          <w:p>
            <w:pPr>
              <w:spacing w:after="0"/>
              <w:rPr>
                <w:sz w:val="21"/>
                <w:szCs w:val="21"/>
                <w:color w:val="auto"/>
              </w:rPr>
            </w:pPr>
          </w:p>
        </w:tc>
        <w:tc>
          <w:tcPr>
            <w:tcW w:w="502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$186,000</w:t>
            </w:r>
          </w:p>
        </w:tc>
        <w:tc>
          <w:tcPr>
            <w:tcW w:w="22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$254,000</w:t>
            </w:r>
          </w:p>
        </w:tc>
        <w:tc>
          <w:tcPr>
            <w:tcW w:w="2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-2439035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-2439035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expected federal income tax at the statutory rate with the provisions for income taxes for the fiscal years ended August 31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520" w:type="dxa"/>
            <w:vAlign w:val="bottom"/>
            <w:tcBorders>
              <w:bottom w:val="single" w:sz="8" w:color="C0C0C0"/>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2006</w:t>
            </w:r>
          </w:p>
        </w:tc>
      </w:tr>
      <w:tr>
        <w:trPr>
          <w:trHeight w:val="243"/>
        </w:trPr>
        <w:tc>
          <w:tcPr>
            <w:tcW w:w="9520" w:type="dxa"/>
            <w:vAlign w:val="bottom"/>
            <w:shd w:val="clear" w:color="auto" w:fill="C0C0C0"/>
          </w:tcPr>
          <w:p>
            <w:pPr>
              <w:spacing w:after="0"/>
              <w:rPr>
                <w:sz w:val="20"/>
                <w:szCs w:val="20"/>
                <w:color w:val="auto"/>
              </w:rPr>
            </w:pPr>
            <w:r>
              <w:rPr>
                <w:rFonts w:ascii="Arial" w:cs="Arial" w:eastAsia="Arial" w:hAnsi="Arial"/>
                <w:sz w:val="18"/>
                <w:szCs w:val="18"/>
                <w:color w:val="auto"/>
              </w:rPr>
              <w:t>Tax computed at statutory rates</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6"/>
              </w:rPr>
              <w:t>$1,184,000</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5"/>
              </w:rPr>
              <w:t>$689,000</w:t>
            </w:r>
          </w:p>
        </w:tc>
      </w:tr>
      <w:tr>
        <w:trPr>
          <w:trHeight w:val="235"/>
        </w:trPr>
        <w:tc>
          <w:tcPr>
            <w:tcW w:w="952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74,000</w:t>
            </w:r>
          </w:p>
        </w:tc>
        <w:tc>
          <w:tcPr>
            <w:tcW w:w="2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43,400</w:t>
            </w:r>
          </w:p>
        </w:tc>
      </w:tr>
      <w:tr>
        <w:trPr>
          <w:trHeight w:val="251"/>
        </w:trPr>
        <w:tc>
          <w:tcPr>
            <w:tcW w:w="9520" w:type="dxa"/>
            <w:vAlign w:val="bottom"/>
            <w:shd w:val="clear" w:color="auto" w:fill="C0C0C0"/>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(850,000)</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(732,000)</w:t>
            </w:r>
          </w:p>
        </w:tc>
      </w:tr>
      <w:tr>
        <w:trPr>
          <w:trHeight w:val="235"/>
        </w:trPr>
        <w:tc>
          <w:tcPr>
            <w:tcW w:w="9520" w:type="dxa"/>
            <w:vAlign w:val="bottom"/>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409,000</w:t>
            </w:r>
          </w:p>
        </w:tc>
        <w:tc>
          <w:tcPr>
            <w:tcW w:w="2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229,000</w:t>
            </w:r>
          </w:p>
        </w:tc>
      </w:tr>
      <w:tr>
        <w:trPr>
          <w:trHeight w:val="251"/>
        </w:trPr>
        <w:tc>
          <w:tcPr>
            <w:tcW w:w="9520" w:type="dxa"/>
            <w:vAlign w:val="bottom"/>
            <w:shd w:val="clear" w:color="auto" w:fill="C0C0C0"/>
          </w:tcPr>
          <w:p>
            <w:pPr>
              <w:spacing w:after="0"/>
              <w:rPr>
                <w:sz w:val="20"/>
                <w:szCs w:val="20"/>
                <w:color w:val="auto"/>
              </w:rPr>
            </w:pPr>
            <w:r>
              <w:rPr>
                <w:rFonts w:ascii="Arial" w:cs="Arial" w:eastAsia="Arial" w:hAnsi="Arial"/>
                <w:sz w:val="18"/>
                <w:szCs w:val="18"/>
                <w:color w:val="auto"/>
              </w:rPr>
              <w:t>Foreign Tax Credit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(776,000)</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95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920" w:type="dxa"/>
            <w:vAlign w:val="bottom"/>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51"/>
        </w:trPr>
        <w:tc>
          <w:tcPr>
            <w:tcW w:w="9520" w:type="dxa"/>
            <w:vAlign w:val="bottom"/>
            <w:shd w:val="clear" w:color="auto" w:fill="C0C0C0"/>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w:t>
            </w:r>
          </w:p>
        </w:tc>
      </w:tr>
      <w:tr>
        <w:trPr>
          <w:trHeight w:val="237"/>
        </w:trPr>
        <w:tc>
          <w:tcPr>
            <w:tcW w:w="95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44,600</w:t>
            </w:r>
          </w:p>
        </w:tc>
      </w:tr>
      <w:tr>
        <w:trPr>
          <w:trHeight w:val="250"/>
        </w:trPr>
        <w:tc>
          <w:tcPr>
            <w:tcW w:w="9520" w:type="dxa"/>
            <w:vAlign w:val="bottom"/>
            <w:tcBorders>
              <w:bottom w:val="single" w:sz="8" w:color="C0C0C0"/>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$186,000</w:t>
            </w:r>
          </w:p>
        </w:tc>
        <w:tc>
          <w:tcPr>
            <w:tcW w:w="22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85"/>
              </w:rPr>
              <w:t>$254,000</w:t>
            </w:r>
          </w:p>
        </w:tc>
      </w:tr>
    </w:tbl>
    <w:p>
      <w:pPr>
        <w:spacing w:after="0" w:line="200" w:lineRule="exact"/>
        <w:rPr>
          <w:sz w:val="20"/>
          <w:szCs w:val="20"/>
          <w:color w:val="auto"/>
        </w:rPr>
      </w:pPr>
    </w:p>
    <w:p>
      <w:pPr>
        <w:spacing w:after="0" w:line="2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 has not recognized a deferred tax liability relating to cumulative undistributed earnings of Corporate Joint Ventures and holding companies that are essentially permanent in duration of $4,254,000 and $2,926,000 at August 31, 2007 and 2006, respectively. If some or all of the undistributed earnings of the Corporate Joint Ventures and holding companies are remitted to the Company in the future, income taxes, if any, after the application of foreign tax credits will be provided at that time.</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August 31, 2007 the Company had foreign tax credit carryforwards of approximately $1,898,000 which begin to expire in 2010. The Company established a valuation allowance of $1,898,000 with respect to the foreign tax credit carryforwards.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tax effect of the temporary differences and tax carry forwards comprising the net deferred taxes shown on the balance sheets at August 31 are as follows:</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902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2007</w:t>
            </w:r>
          </w:p>
        </w:tc>
        <w:tc>
          <w:tcPr>
            <w:tcW w:w="980" w:type="dxa"/>
            <w:vAlign w:val="bottom"/>
            <w:gridSpan w:val="2"/>
          </w:tcPr>
          <w:p>
            <w:pPr>
              <w:jc w:val="right"/>
              <w:ind w:right="132"/>
              <w:spacing w:after="0"/>
              <w:rPr>
                <w:sz w:val="20"/>
                <w:szCs w:val="20"/>
                <w:color w:val="auto"/>
              </w:rPr>
            </w:pPr>
            <w:r>
              <w:rPr>
                <w:rFonts w:ascii="Arial" w:cs="Arial" w:eastAsia="Arial" w:hAnsi="Arial"/>
                <w:sz w:val="18"/>
                <w:szCs w:val="18"/>
                <w:color w:val="auto"/>
              </w:rPr>
              <w:t>2006</w:t>
            </w:r>
          </w:p>
        </w:tc>
      </w:tr>
      <w:tr>
        <w:trPr>
          <w:trHeight w:val="230"/>
        </w:trPr>
        <w:tc>
          <w:tcPr>
            <w:tcW w:w="90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Current:</w:t>
            </w:r>
          </w:p>
        </w:tc>
        <w:tc>
          <w:tcPr>
            <w:tcW w:w="840" w:type="dxa"/>
            <w:vAlign w:val="bottom"/>
            <w:tcBorders>
              <w:top w:val="single" w:sz="8" w:color="auto"/>
            </w:tcBorders>
            <w:shd w:val="clear" w:color="auto" w:fill="C0C0C0"/>
          </w:tcPr>
          <w:p>
            <w:pPr>
              <w:spacing w:after="0"/>
              <w:rPr>
                <w:sz w:val="19"/>
                <w:szCs w:val="19"/>
                <w:color w:val="auto"/>
              </w:rPr>
            </w:pPr>
          </w:p>
        </w:tc>
        <w:tc>
          <w:tcPr>
            <w:tcW w:w="200" w:type="dxa"/>
            <w:vAlign w:val="bottom"/>
            <w:tcBorders>
              <w:top w:val="single" w:sz="8" w:color="C0C0C0"/>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$7,200</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$3,600</w:t>
            </w:r>
          </w:p>
        </w:tc>
      </w:tr>
      <w:tr>
        <w:trPr>
          <w:trHeight w:val="251"/>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Inventory costs</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5,300</w:t>
            </w:r>
          </w:p>
        </w:tc>
        <w:tc>
          <w:tcPr>
            <w:tcW w:w="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16,788</w:t>
            </w: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275,700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(50,900)</w:t>
            </w:r>
          </w:p>
        </w:tc>
      </w:tr>
      <w:tr>
        <w:trPr>
          <w:trHeight w:val="251"/>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Accrued expenses</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(18,800)</w:t>
            </w:r>
          </w:p>
        </w:tc>
        <w:tc>
          <w:tcPr>
            <w:tcW w:w="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41,700</w:t>
            </w:r>
          </w:p>
        </w:tc>
      </w:tr>
      <w:tr>
        <w:trPr>
          <w:trHeight w:val="237"/>
        </w:trPr>
        <w:tc>
          <w:tcPr>
            <w:tcW w:w="9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Accrued bonus</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292,600</w:t>
            </w:r>
          </w:p>
        </w:tc>
        <w:tc>
          <w:tcPr>
            <w:tcW w:w="20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225,900</w:t>
            </w:r>
          </w:p>
        </w:tc>
      </w:tr>
      <w:tr>
        <w:trPr>
          <w:trHeight w:val="250"/>
        </w:trPr>
        <w:tc>
          <w:tcPr>
            <w:tcW w:w="90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Total current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3"/>
              </w:rPr>
              <w:t>$562,000</w:t>
            </w:r>
          </w:p>
        </w:tc>
        <w:tc>
          <w:tcPr>
            <w:tcW w:w="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$237,088</w:t>
            </w:r>
          </w:p>
        </w:tc>
      </w:tr>
      <w:tr>
        <w:trPr>
          <w:trHeight w:val="230"/>
        </w:trPr>
        <w:tc>
          <w:tcPr>
            <w:tcW w:w="9020" w:type="dxa"/>
            <w:vAlign w:val="bottom"/>
            <w:tcBorders>
              <w:top w:val="single" w:sz="8" w:color="C0C0C0"/>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43"/>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Noncurrent:</w:t>
            </w:r>
          </w:p>
        </w:tc>
        <w:tc>
          <w:tcPr>
            <w:tcW w:w="8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r>
      <w:tr>
        <w:trPr>
          <w:trHeight w:val="235"/>
        </w:trPr>
        <w:tc>
          <w:tcPr>
            <w:tcW w:w="9020" w:type="dxa"/>
            <w:vAlign w:val="bottom"/>
          </w:tcPr>
          <w:p>
            <w:pPr>
              <w:spacing w:after="0"/>
              <w:rPr>
                <w:sz w:val="20"/>
                <w:szCs w:val="20"/>
                <w:color w:val="auto"/>
              </w:rPr>
            </w:pPr>
            <w:r>
              <w:rPr>
                <w:rFonts w:ascii="Arial" w:cs="Arial" w:eastAsia="Arial" w:hAnsi="Arial"/>
                <w:sz w:val="18"/>
                <w:szCs w:val="18"/>
                <w:color w:val="auto"/>
              </w:rPr>
              <w:t>Excess of book over tax depreciation</w:t>
            </w:r>
          </w:p>
        </w:tc>
        <w:tc>
          <w:tcPr>
            <w:tcW w:w="840" w:type="dxa"/>
            <w:vAlign w:val="bottom"/>
          </w:tcPr>
          <w:p>
            <w:pPr>
              <w:jc w:val="right"/>
              <w:spacing w:after="0"/>
              <w:rPr>
                <w:sz w:val="20"/>
                <w:szCs w:val="20"/>
                <w:color w:val="auto"/>
              </w:rPr>
            </w:pPr>
            <w:r>
              <w:rPr>
                <w:rFonts w:ascii="Arial" w:cs="Arial" w:eastAsia="Arial" w:hAnsi="Arial"/>
                <w:sz w:val="18"/>
                <w:szCs w:val="18"/>
                <w:color w:val="auto"/>
                <w:w w:val="87"/>
              </w:rPr>
              <w:t>$(204,300)</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$49,000</w:t>
            </w:r>
          </w:p>
        </w:tc>
      </w:tr>
      <w:tr>
        <w:trPr>
          <w:trHeight w:val="251"/>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Asset valuation reserves</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491,800</w:t>
            </w:r>
          </w:p>
        </w:tc>
        <w:tc>
          <w:tcPr>
            <w:tcW w:w="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206,500</w:t>
            </w:r>
          </w:p>
        </w:tc>
      </w:tr>
      <w:tr>
        <w:trPr>
          <w:trHeight w:val="228"/>
        </w:trPr>
        <w:tc>
          <w:tcPr>
            <w:tcW w:w="9020" w:type="dxa"/>
            <w:vAlign w:val="bottom"/>
          </w:tcPr>
          <w:p>
            <w:pPr>
              <w:spacing w:after="0"/>
              <w:rPr>
                <w:sz w:val="20"/>
                <w:szCs w:val="20"/>
                <w:color w:val="auto"/>
              </w:rPr>
            </w:pPr>
            <w:r>
              <w:rPr>
                <w:rFonts w:ascii="Arial" w:cs="Arial" w:eastAsia="Arial" w:hAnsi="Arial"/>
                <w:sz w:val="18"/>
                <w:szCs w:val="18"/>
                <w:color w:val="auto"/>
              </w:rPr>
              <w:t>Foreign tax credits, net of a valuation</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1"/>
        </w:trPr>
        <w:tc>
          <w:tcPr>
            <w:tcW w:w="9020" w:type="dxa"/>
            <w:vAlign w:val="bottom"/>
          </w:tcPr>
          <w:p>
            <w:pPr>
              <w:ind w:left="140"/>
              <w:spacing w:after="0"/>
              <w:rPr>
                <w:sz w:val="20"/>
                <w:szCs w:val="20"/>
                <w:color w:val="auto"/>
              </w:rPr>
            </w:pPr>
            <w:r>
              <w:rPr>
                <w:rFonts w:ascii="Arial" w:cs="Arial" w:eastAsia="Arial" w:hAnsi="Arial"/>
                <w:sz w:val="18"/>
                <w:szCs w:val="18"/>
                <w:color w:val="auto"/>
              </w:rPr>
              <w:t>allowance at August 31, 2007</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250,000</w:t>
            </w:r>
          </w:p>
        </w:tc>
      </w:tr>
      <w:tr>
        <w:trPr>
          <w:trHeight w:val="251"/>
        </w:trPr>
        <w:tc>
          <w:tcPr>
            <w:tcW w:w="9020" w:type="dxa"/>
            <w:vAlign w:val="bottom"/>
            <w:shd w:val="clear" w:color="auto" w:fill="C0C0C0"/>
          </w:tcPr>
          <w:p>
            <w:pPr>
              <w:spacing w:after="0"/>
              <w:rPr>
                <w:sz w:val="20"/>
                <w:szCs w:val="20"/>
                <w:color w:val="auto"/>
              </w:rPr>
            </w:pPr>
            <w:r>
              <w:rPr>
                <w:rFonts w:ascii="Arial" w:cs="Arial" w:eastAsia="Arial" w:hAnsi="Arial"/>
                <w:sz w:val="18"/>
                <w:szCs w:val="18"/>
                <w:color w:val="auto"/>
              </w:rPr>
              <w:t>Federal Net Operating Loss</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138,000</w:t>
            </w:r>
          </w:p>
        </w:tc>
        <w:tc>
          <w:tcPr>
            <w:tcW w:w="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68,500</w:t>
            </w:r>
          </w:p>
        </w:tc>
      </w:tr>
      <w:tr>
        <w:trPr>
          <w:trHeight w:val="237"/>
        </w:trPr>
        <w:tc>
          <w:tcPr>
            <w:tcW w:w="90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354,000</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54,000</w:t>
            </w:r>
          </w:p>
        </w:tc>
      </w:tr>
      <w:tr>
        <w:trPr>
          <w:trHeight w:val="165"/>
        </w:trPr>
        <w:tc>
          <w:tcPr>
            <w:tcW w:w="9020" w:type="dxa"/>
            <w:vAlign w:val="bottom"/>
            <w:tcBorders>
              <w:top w:val="single" w:sz="8" w:color="C0C0C0"/>
            </w:tcBorders>
            <w:shd w:val="clear" w:color="auto" w:fill="C0C0C0"/>
          </w:tcPr>
          <w:p>
            <w:pPr>
              <w:spacing w:after="0"/>
              <w:rPr>
                <w:sz w:val="14"/>
                <w:szCs w:val="14"/>
                <w:color w:val="auto"/>
              </w:rPr>
            </w:pPr>
          </w:p>
        </w:tc>
        <w:tc>
          <w:tcPr>
            <w:tcW w:w="840" w:type="dxa"/>
            <w:vAlign w:val="bottom"/>
            <w:tcBorders>
              <w:top w:val="single" w:sz="8" w:color="auto"/>
            </w:tcBorders>
            <w:shd w:val="clear" w:color="auto" w:fill="C0C0C0"/>
          </w:tcPr>
          <w:p>
            <w:pPr>
              <w:spacing w:after="0"/>
              <w:rPr>
                <w:sz w:val="14"/>
                <w:szCs w:val="14"/>
                <w:color w:val="auto"/>
              </w:rPr>
            </w:pPr>
          </w:p>
        </w:tc>
        <w:tc>
          <w:tcPr>
            <w:tcW w:w="200" w:type="dxa"/>
            <w:vAlign w:val="bottom"/>
            <w:tcBorders>
              <w:top w:val="single" w:sz="8" w:color="C0C0C0"/>
            </w:tcBorders>
            <w:shd w:val="clear" w:color="auto" w:fill="C0C0C0"/>
          </w:tcPr>
          <w:p>
            <w:pPr>
              <w:spacing w:after="0"/>
              <w:rPr>
                <w:sz w:val="14"/>
                <w:szCs w:val="14"/>
                <w:color w:val="auto"/>
              </w:rPr>
            </w:pPr>
          </w:p>
        </w:tc>
        <w:tc>
          <w:tcPr>
            <w:tcW w:w="780" w:type="dxa"/>
            <w:vAlign w:val="bottom"/>
            <w:tcBorders>
              <w:top w:val="single" w:sz="8" w:color="auto"/>
            </w:tcBorders>
            <w:shd w:val="clear" w:color="auto" w:fill="C0C0C0"/>
          </w:tcPr>
          <w:p>
            <w:pPr>
              <w:spacing w:after="0"/>
              <w:rPr>
                <w:sz w:val="14"/>
                <w:szCs w:val="14"/>
                <w:color w:val="auto"/>
              </w:rPr>
            </w:pPr>
          </w:p>
        </w:tc>
      </w:tr>
    </w:tbl>
    <w:p>
      <w:pPr>
        <w:sectPr>
          <w:pgSz w:w="11900" w:h="16900" w:orient="portrait"/>
          <w:cols w:equalWidth="0" w:num="1">
            <w:col w:w="11440"/>
          </w:cols>
          <w:pgMar w:left="240" w:top="131" w:right="219" w:bottom="0" w:gutter="0" w:footer="0" w:header="0"/>
        </w:sectPr>
      </w:pPr>
    </w:p>
    <w:bookmarkStart w:id="32" w:name="page33"/>
    <w:bookmarkEnd w:id="32"/>
    <w:p>
      <w:pPr>
        <w:spacing w:after="0" w:line="89" w:lineRule="exact"/>
        <w:rPr>
          <w:sz w:val="20"/>
          <w:szCs w:val="20"/>
          <w:color w:val="auto"/>
        </w:rPr>
      </w:pPr>
    </w:p>
    <w:tbl>
      <w:tblPr>
        <w:tblLayout w:type="fixed"/>
        <w:tblInd w:w="300" w:type="dxa"/>
        <w:tblCellMar>
          <w:top w:w="0" w:type="dxa"/>
          <w:left w:w="0" w:type="dxa"/>
          <w:bottom w:w="0" w:type="dxa"/>
          <w:right w:w="0" w:type="dxa"/>
        </w:tblCellMar>
      </w:tblPr>
      <w:tr>
        <w:trPr>
          <w:trHeight w:val="250"/>
        </w:trPr>
        <w:tc>
          <w:tcPr>
            <w:tcW w:w="9020" w:type="dxa"/>
            <w:vAlign w:val="bottom"/>
            <w:tcBorders>
              <w:bottom w:val="single" w:sz="8" w:color="C0C0C0"/>
            </w:tcBorders>
            <w:shd w:val="clear" w:color="auto" w:fill="C0C0C0"/>
          </w:tcPr>
          <w:p>
            <w:pPr>
              <w:ind w:left="440"/>
              <w:spacing w:after="0"/>
              <w:rPr>
                <w:sz w:val="20"/>
                <w:szCs w:val="20"/>
                <w:color w:val="auto"/>
              </w:rPr>
            </w:pPr>
            <w:r>
              <w:rPr>
                <w:rFonts w:ascii="Arial" w:cs="Arial" w:eastAsia="Arial" w:hAnsi="Arial"/>
                <w:sz w:val="18"/>
                <w:szCs w:val="18"/>
                <w:color w:val="auto"/>
              </w:rPr>
              <w:t>Total noncurrent</w:t>
            </w: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3"/>
              </w:rPr>
              <w:t>$779,500</w:t>
            </w:r>
          </w:p>
        </w:tc>
        <w:tc>
          <w:tcPr>
            <w:tcW w:w="20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85"/>
              </w:rPr>
              <w:t>$628,000</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net operating loss carryforwards for Federal tax purposes of approximately $382,000 that begin to expire in 2025.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2007, the Company was under audit by the Internal Revenue Service for tax years ended August 31, 2004 and 2005. To date, the Company has agreed on a portion of the adjustments and has included these adjustments in the current year income tax calculation. These adjustments are not deemed to have a material impact on the Company’s consolidated financial statements.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July 2006, the Financial Accounting Standards Board (“FASB”) issued FASB Interpretation No. 48, </w:t>
      </w:r>
      <w:r>
        <w:rPr>
          <w:rFonts w:ascii="Arial" w:cs="Arial" w:eastAsia="Arial" w:hAnsi="Arial"/>
          <w:sz w:val="18"/>
          <w:szCs w:val="18"/>
          <w:i w:val="1"/>
          <w:iCs w:val="1"/>
          <w:color w:val="auto"/>
        </w:rPr>
        <w:t>Accounting for Uncertainty in Income Taxes–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Statement No. 109 </w:t>
      </w:r>
      <w:r>
        <w:rPr>
          <w:rFonts w:ascii="Arial" w:cs="Arial" w:eastAsia="Arial" w:hAnsi="Arial"/>
          <w:sz w:val="18"/>
          <w:szCs w:val="18"/>
          <w:color w:val="auto"/>
        </w:rPr>
        <w:t>(“FIN 48”)</w:t>
      </w:r>
      <w:r>
        <w:rPr>
          <w:rFonts w:ascii="Arial" w:cs="Arial" w:eastAsia="Arial" w:hAnsi="Arial"/>
          <w:sz w:val="18"/>
          <w:szCs w:val="18"/>
          <w:i w:val="1"/>
          <w:iCs w:val="1"/>
          <w:color w:val="auto"/>
        </w:rPr>
        <w:t xml:space="preserve">, </w:t>
      </w:r>
      <w:r>
        <w:rPr>
          <w:rFonts w:ascii="Arial" w:cs="Arial" w:eastAsia="Arial" w:hAnsi="Arial"/>
          <w:sz w:val="18"/>
          <w:szCs w:val="18"/>
          <w:color w:val="auto"/>
        </w:rPr>
        <w:t>which clarifies the accounting for uncertainty in tax positions. FIN 48 requires that the Company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in its consolidated financial statements, the impact of a tax position, if that position is more likely than not of being sustained on audit, based on the technical merits of the position. The provisions of FIN 48 are effective as of the beginning of the Company’s 2008 fiscal year, with the cumulative effect of the change in accounting principle recorded as an adjustment to opening retained earnings. The Company is currently evaluating the impact of adopting FIN 48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April 2007, REACT-NTI, LLC (“React LLC”), a company that is 75% owned by the Company, was served with a summons and complaint that was filed by Shamrock Technologies, Inc.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React LLC acknowledges that React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is presently stayed, and the parties will attempt mediation. If the mediation is unsuccessful, React LLC will both defend against Shamrock's allegations and pursue counterclaims against Shamrock for breach of the license agreement and for tortious interference. Because this matter is in the early stage, the Company cannot estimate the possible loss or range of loss, if any, associated with its resolution. However, there can be no assurance that the ultimate resolution of the matter will not result in a material adverse effect on the Company’s business, financial condition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2007, the Company was named as a defendant in a lawsuit brought by Evelyna Cantwell and Jack Cantwell, individually, and also doing business as the principals of Byrd-Walsh International, LLC, in United States Federal District Court for the Southern District of Florida against the Company and its former Chairman of the Board and Chief Executive Officer and current Chairman Emeritus, Philip M. Lynch. The lawsuit alleges causes of action for breach of contract, breach of implied contract, quasi contract, promissory estoppel, equitable estoppel, negligence, wrongful conversion, fraud, constructive fraud, misappropriation and violation of the Uniform Trade Secrets Act. The suit seeks unspecified injunctive relief as well as compensatory and punitive damages in an unspecified amount which, based on the allegations of the Complaint, may be claimed by plaintiffs to be in an amount in excess of $45 million. Based on the allegations in the Complaint and the Company’s understanding of relevant facts and circumstances, the Company believes that the claims made by the Cantwells and Byrd-Walsh in this lawsuit are without merit and the Company intends to vigorously defend against them. Because this matter is in the early stage, the Company cannot estimate the possible loss or range of loss, if any, associated with its resolution. The amounts claimed in this lawsuit are substantial, however, and, there can be no assurance that the ultimate resolution of the matter will not result in a material adverse effect on the Company’s business, financial condition or results of operations.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involved in a legal action in Finland whereby the Company sued a Finnish company for trademark infringement. The Company won the initial case, but has subsequently lost on appeal. The Company is currently appealing the latest court decision. The outcome of the appeal is unknown and any potential loss cannot be estimated at this time; however, the potential judgment or settlement resulting from the case could have a material impact on the financial position or results of operations of the Company. The Company has obtained a $600,000 stand-by letter of credit to potentially fund the Company’s obligations related to the courts in Finland against the defendant’s products that were seized as contraband pending the outcome of the lawsuit.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 Because the Company believes that it has valid legal grounds for appeal, it has determined that a loss is not probably at this time as defined by SFAS 5, “Accounting for Contingencies.” However, there can be no assurance that the ultimate resolution of the matter will not result in a material adverse effect on the Company’s business, financial condition or results of operations.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are no other legal actions arising in the ordinary course of business that management is of the opinion that any judgment or settlement therefrom would have a material adverse effect on the financial position or results of operations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2007, the U.S. Internal Revenue Service concluded its audit of the Company’s U.S. federal income tax returns for fiscal 2004 and 2005. As a result of such audit, the Company paid the IRS approximately $25,000 in additional payroll taxes. The Company also agreed in principle with the IRS to adjustments that will result in the additional payment of approximately $60,000 in income tax and interest. As a result of the audit, the IRS has also taken the position that the Company failed to withhold approximately $505,000 of payroll taxes and individual income taxes on travel and other expense reimbursements made to Philip M. Lynch, the Company’s former Chairman of the Board and Chief Executive Officer and current Chairman Emeritus, and commissions payments made to Inter Alia Holding Co. under that certain former Manufacturer’s Representative Agreement dated as of October 1, 1976 and as subsequently amended thereafter between the Company and Inter Alia, which agreement has since been terminated. Inter Alia beneficially owns approximately 24.9% of the Company’s outstanding common stock, and Philip M. Lynch, the Company’s former Chairman of the Board and Chief Executive Officer and current Chairman Emeritus, and G. Patrick Lynch, the Company’s current President and Chief Executive Officer, are shareholders of Inter Alia. The Company disagrees with the IRS’ position on withholding and is in the process of appealing the matter. Because the Company believes that it has valid legal grounds for appeal, it has determined that a loss is not probable at this time as defined by SFAS 5, “Accounting for Contingencies.” However, there can be no assurance that the ultimate resolution of the matter will not result in a material adverse effect on the Company’s business, financial condition or results of operations.</w:t>
      </w:r>
    </w:p>
    <w:p>
      <w:pPr>
        <w:sectPr>
          <w:pgSz w:w="11900" w:h="16927" w:orient="portrait"/>
          <w:cols w:equalWidth="0" w:num="1">
            <w:col w:w="11420"/>
          </w:cols>
          <w:pgMar w:left="240" w:top="140" w:right="239" w:bottom="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and entered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 The property has an approximate value of $2,205,000, based upon the cash-to-mortgage acquisition price of the property paid in fiscal 2000. The Company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interest in Omni-Northern Ltd., NTI Facilities Inc. is entitled to one-third of the operating profits (losses) of Omni-Northern Ltd. Omni-Northern has leased the remaining 50% of the net rental space to other third parties.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November 16, 2007, the Company’s Board of Directors, upon recommendation of the Compensation Committee, approved the material terms of an annual bonus plan for executive officers and certain employees of the Company for fiscal year ending August 31, 2008,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right="20"/>
        <w:spacing w:after="0" w:line="281" w:lineRule="auto"/>
        <w:rPr>
          <w:sz w:val="20"/>
          <w:szCs w:val="20"/>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99" w:lineRule="auto"/>
        <w:rPr>
          <w:sz w:val="20"/>
          <w:szCs w:val="20"/>
          <w:color w:val="auto"/>
        </w:rPr>
      </w:pPr>
      <w:r>
        <w:rPr>
          <w:rFonts w:ascii="Arial" w:cs="Arial" w:eastAsia="Arial" w:hAnsi="Arial"/>
          <w:sz w:val="18"/>
          <w:szCs w:val="18"/>
          <w:color w:val="auto"/>
        </w:rPr>
        <w:t>The payment of bonuses under the plan will be made in both cash and stock, the exact amount and percentages of which will be determined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STATEMENTS OF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for the fiscal years ended August 31, 2007 and 2006 consist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2007</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2006</w:t>
            </w: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Cash received (paid) during the year for income taxes</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$119,229</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$(35,305)</w:t>
            </w:r>
          </w:p>
        </w:tc>
      </w:tr>
      <w:tr>
        <w:trPr>
          <w:trHeight w:val="243"/>
        </w:trPr>
        <w:tc>
          <w:tcPr>
            <w:tcW w:w="6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Cash paid during the year for interest</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164,372</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94,751</w:t>
            </w:r>
          </w:p>
        </w:tc>
      </w:tr>
      <w:tr>
        <w:trPr>
          <w:trHeight w:val="243"/>
        </w:trPr>
        <w:tc>
          <w:tcPr>
            <w:tcW w:w="6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Common stock issued in lieu of accrued payroll (37,245 shares)</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298,330</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8"/>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Increase in the Company’s investment in Corporate Joint</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Ventures and accumulated other comprehensive loss due to</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59"/>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changes in exchange rates</w:t>
            </w:r>
          </w:p>
        </w:tc>
        <w:tc>
          <w:tcPr>
            <w:tcW w:w="22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709,109</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310,687</w:t>
            </w:r>
          </w:p>
        </w:tc>
      </w:tr>
      <w:tr>
        <w:trPr>
          <w:trHeight w:val="673"/>
        </w:trPr>
        <w:tc>
          <w:tcPr>
            <w:tcW w:w="6900" w:type="dxa"/>
            <w:vAlign w:val="bottom"/>
          </w:tcPr>
          <w:p>
            <w:pPr>
              <w:spacing w:after="0"/>
              <w:rPr>
                <w:sz w:val="20"/>
                <w:szCs w:val="20"/>
                <w:color w:val="auto"/>
              </w:rPr>
            </w:pPr>
            <w:r>
              <w:rPr>
                <w:rFonts w:ascii="Arial" w:cs="Arial" w:eastAsia="Arial" w:hAnsi="Arial"/>
                <w:sz w:val="18"/>
                <w:szCs w:val="18"/>
                <w:b w:val="1"/>
                <w:bCs w:val="1"/>
                <w:color w:val="auto"/>
              </w:rPr>
              <w:t>21. QUARTERLY INFORMATION (UNAUDITED)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5"/>
        </w:trPr>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color w:val="auto"/>
              </w:rPr>
              <w:t>Quarter Ended</w:t>
            </w:r>
          </w:p>
        </w:tc>
        <w:tc>
          <w:tcPr>
            <w:tcW w:w="920" w:type="dxa"/>
            <w:vAlign w:val="bottom"/>
            <w:tcBorders>
              <w:bottom w:val="single" w:sz="8" w:color="auto"/>
            </w:tcBorders>
          </w:tcPr>
          <w:p>
            <w:pPr>
              <w:spacing w:after="0"/>
              <w:rPr>
                <w:sz w:val="24"/>
                <w:szCs w:val="24"/>
                <w:color w:val="auto"/>
              </w:rPr>
            </w:pPr>
          </w:p>
        </w:tc>
      </w:tr>
      <w:tr>
        <w:trPr>
          <w:trHeight w:val="235"/>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w w:val="88"/>
              </w:rPr>
              <w:t>November 30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w w:val="98"/>
              </w:rPr>
              <w:t>February 28</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May 31</w:t>
            </w:r>
          </w:p>
        </w:tc>
        <w:tc>
          <w:tcPr>
            <w:tcW w:w="920" w:type="dxa"/>
            <w:vAlign w:val="bottom"/>
          </w:tcPr>
          <w:p>
            <w:pPr>
              <w:jc w:val="right"/>
              <w:spacing w:after="0"/>
              <w:rPr>
                <w:sz w:val="20"/>
                <w:szCs w:val="20"/>
                <w:color w:val="auto"/>
              </w:rPr>
            </w:pPr>
            <w:r>
              <w:rPr>
                <w:rFonts w:ascii="Arial" w:cs="Arial" w:eastAsia="Arial" w:hAnsi="Arial"/>
                <w:sz w:val="18"/>
                <w:szCs w:val="18"/>
                <w:color w:val="auto"/>
              </w:rPr>
              <w:t>August 31</w:t>
            </w:r>
          </w:p>
        </w:tc>
      </w:tr>
      <w:tr>
        <w:trPr>
          <w:trHeight w:val="251"/>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Fiscal year 2007:</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90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$4,617,374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$3,884,895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w w:val="99"/>
              </w:rPr>
              <w:t>$4,407,798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$3,918,963</w:t>
            </w:r>
          </w:p>
        </w:tc>
      </w:tr>
      <w:tr>
        <w:trPr>
          <w:trHeight w:val="251"/>
        </w:trPr>
        <w:tc>
          <w:tcPr>
            <w:tcW w:w="6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Gross profit</w:t>
            </w:r>
          </w:p>
        </w:tc>
        <w:tc>
          <w:tcPr>
            <w:tcW w:w="1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1,672,319</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1,425,831</w:t>
            </w:r>
          </w:p>
        </w:tc>
        <w:tc>
          <w:tcPr>
            <w:tcW w:w="1220" w:type="dxa"/>
            <w:vAlign w:val="bottom"/>
            <w:gridSpan w:val="2"/>
            <w:shd w:val="clear" w:color="auto" w:fill="C0C0C0"/>
          </w:tcPr>
          <w:p>
            <w:pPr>
              <w:jc w:val="right"/>
              <w:ind w:right="212"/>
              <w:spacing w:after="0"/>
              <w:rPr>
                <w:sz w:val="20"/>
                <w:szCs w:val="20"/>
                <w:color w:val="auto"/>
              </w:rPr>
            </w:pPr>
            <w:r>
              <w:rPr>
                <w:rFonts w:ascii="Arial" w:cs="Arial" w:eastAsia="Arial" w:hAnsi="Arial"/>
                <w:sz w:val="18"/>
                <w:szCs w:val="18"/>
                <w:color w:val="auto"/>
              </w:rPr>
              <w:t>1,531,786</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1,399,914</w:t>
            </w:r>
          </w:p>
        </w:tc>
      </w:tr>
      <w:tr>
        <w:trPr>
          <w:trHeight w:val="235"/>
        </w:trPr>
        <w:tc>
          <w:tcPr>
            <w:tcW w:w="690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1,122,224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596,203</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718,800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972,181</w:t>
            </w:r>
          </w:p>
        </w:tc>
      </w:tr>
      <w:tr>
        <w:trPr>
          <w:trHeight w:val="251"/>
        </w:trPr>
        <w:tc>
          <w:tcPr>
            <w:tcW w:w="6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Income taxes</w:t>
            </w:r>
          </w:p>
        </w:tc>
        <w:tc>
          <w:tcPr>
            <w:tcW w:w="1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132,000</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148,000</w:t>
            </w:r>
          </w:p>
        </w:tc>
        <w:tc>
          <w:tcPr>
            <w:tcW w:w="1220" w:type="dxa"/>
            <w:vAlign w:val="bottom"/>
            <w:gridSpan w:val="2"/>
            <w:shd w:val="clear" w:color="auto" w:fill="C0C0C0"/>
          </w:tcPr>
          <w:p>
            <w:pPr>
              <w:jc w:val="right"/>
              <w:ind w:right="212"/>
              <w:spacing w:after="0"/>
              <w:rPr>
                <w:sz w:val="20"/>
                <w:szCs w:val="20"/>
                <w:color w:val="auto"/>
              </w:rPr>
            </w:pPr>
            <w:r>
              <w:rPr>
                <w:rFonts w:ascii="Arial" w:cs="Arial" w:eastAsia="Arial" w:hAnsi="Arial"/>
                <w:sz w:val="18"/>
                <w:szCs w:val="18"/>
                <w:color w:val="auto"/>
              </w:rPr>
              <w:t>91,000</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(185,000)</w:t>
            </w:r>
          </w:p>
        </w:tc>
      </w:tr>
      <w:tr>
        <w:trPr>
          <w:trHeight w:val="228"/>
        </w:trPr>
        <w:tc>
          <w:tcPr>
            <w:tcW w:w="69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990,224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448,203</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627,800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1,157,181</w:t>
            </w:r>
          </w:p>
        </w:tc>
      </w:tr>
      <w:tr>
        <w:trPr>
          <w:trHeight w:val="259"/>
        </w:trPr>
        <w:tc>
          <w:tcPr>
            <w:tcW w:w="6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900" w:type="dxa"/>
            <w:vAlign w:val="bottom"/>
          </w:tcPr>
          <w:p>
            <w:pPr>
              <w:ind w:left="28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$0.27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$0.17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$0.32</w:t>
            </w:r>
          </w:p>
        </w:tc>
      </w:tr>
      <w:tr>
        <w:trPr>
          <w:trHeight w:val="251"/>
        </w:trPr>
        <w:tc>
          <w:tcPr>
            <w:tcW w:w="6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$0.27</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$0.12</w:t>
            </w:r>
          </w:p>
        </w:tc>
        <w:tc>
          <w:tcPr>
            <w:tcW w:w="1220" w:type="dxa"/>
            <w:vAlign w:val="bottom"/>
            <w:gridSpan w:val="2"/>
            <w:shd w:val="clear" w:color="auto" w:fill="C0C0C0"/>
          </w:tcPr>
          <w:p>
            <w:pPr>
              <w:jc w:val="right"/>
              <w:ind w:right="212"/>
              <w:spacing w:after="0"/>
              <w:rPr>
                <w:sz w:val="20"/>
                <w:szCs w:val="20"/>
                <w:color w:val="auto"/>
              </w:rPr>
            </w:pPr>
            <w:r>
              <w:rPr>
                <w:rFonts w:ascii="Arial" w:cs="Arial" w:eastAsia="Arial" w:hAnsi="Arial"/>
                <w:sz w:val="18"/>
                <w:szCs w:val="18"/>
                <w:color w:val="auto"/>
              </w:rPr>
              <w:t>$0.17</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$0.31</w:t>
            </w:r>
          </w:p>
        </w:tc>
      </w:tr>
      <w:tr>
        <w:trPr>
          <w:trHeight w:val="243"/>
        </w:trPr>
        <w:tc>
          <w:tcPr>
            <w:tcW w:w="6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8"/>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common</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r>
      <w:tr>
        <w:trPr>
          <w:trHeight w:val="259"/>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shares assumed outstanding:</w:t>
            </w:r>
          </w:p>
        </w:tc>
        <w:tc>
          <w:tcPr>
            <w:tcW w:w="22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920" w:type="dxa"/>
            <w:vAlign w:val="bottom"/>
            <w:shd w:val="clear" w:color="auto" w:fill="C0C0C0"/>
          </w:tcPr>
          <w:p>
            <w:pPr>
              <w:spacing w:after="0"/>
              <w:rPr>
                <w:sz w:val="22"/>
                <w:szCs w:val="22"/>
                <w:color w:val="auto"/>
              </w:rPr>
            </w:pPr>
          </w:p>
        </w:tc>
      </w:tr>
      <w:tr>
        <w:trPr>
          <w:trHeight w:val="235"/>
        </w:trPr>
        <w:tc>
          <w:tcPr>
            <w:tcW w:w="6900" w:type="dxa"/>
            <w:vAlign w:val="bottom"/>
          </w:tcPr>
          <w:p>
            <w:pPr>
              <w:ind w:left="28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3,624,314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3,664,248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3,679,016</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3,679,412</w:t>
            </w:r>
          </w:p>
        </w:tc>
      </w:tr>
      <w:tr>
        <w:trPr>
          <w:trHeight w:val="251"/>
        </w:trPr>
        <w:tc>
          <w:tcPr>
            <w:tcW w:w="6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3,665,677</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3,690,260</w:t>
            </w:r>
          </w:p>
        </w:tc>
        <w:tc>
          <w:tcPr>
            <w:tcW w:w="1220" w:type="dxa"/>
            <w:vAlign w:val="bottom"/>
            <w:gridSpan w:val="2"/>
            <w:shd w:val="clear" w:color="auto" w:fill="C0C0C0"/>
          </w:tcPr>
          <w:p>
            <w:pPr>
              <w:jc w:val="right"/>
              <w:ind w:right="212"/>
              <w:spacing w:after="0"/>
              <w:rPr>
                <w:sz w:val="20"/>
                <w:szCs w:val="20"/>
                <w:color w:val="auto"/>
              </w:rPr>
            </w:pPr>
            <w:r>
              <w:rPr>
                <w:rFonts w:ascii="Arial" w:cs="Arial" w:eastAsia="Arial" w:hAnsi="Arial"/>
                <w:sz w:val="18"/>
                <w:szCs w:val="18"/>
                <w:color w:val="auto"/>
              </w:rPr>
              <w:t>3,708,626</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3,713,366</w:t>
            </w:r>
          </w:p>
        </w:tc>
      </w:tr>
      <w:tr>
        <w:trPr>
          <w:trHeight w:val="480"/>
        </w:trPr>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color w:val="auto"/>
              </w:rPr>
              <w:t>Quarter Ended</w:t>
            </w:r>
          </w:p>
        </w:tc>
        <w:tc>
          <w:tcPr>
            <w:tcW w:w="920" w:type="dxa"/>
            <w:vAlign w:val="bottom"/>
            <w:tcBorders>
              <w:bottom w:val="single" w:sz="8" w:color="auto"/>
            </w:tcBorders>
          </w:tcPr>
          <w:p>
            <w:pPr>
              <w:spacing w:after="0"/>
              <w:rPr>
                <w:sz w:val="24"/>
                <w:szCs w:val="24"/>
                <w:color w:val="auto"/>
              </w:rPr>
            </w:pPr>
          </w:p>
        </w:tc>
      </w:tr>
      <w:tr>
        <w:trPr>
          <w:trHeight w:val="235"/>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w w:val="88"/>
              </w:rPr>
              <w:t>November 30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w w:val="98"/>
              </w:rPr>
              <w:t>February 28</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May 31</w:t>
            </w:r>
          </w:p>
        </w:tc>
        <w:tc>
          <w:tcPr>
            <w:tcW w:w="920" w:type="dxa"/>
            <w:vAlign w:val="bottom"/>
          </w:tcPr>
          <w:p>
            <w:pPr>
              <w:jc w:val="right"/>
              <w:spacing w:after="0"/>
              <w:rPr>
                <w:sz w:val="20"/>
                <w:szCs w:val="20"/>
                <w:color w:val="auto"/>
              </w:rPr>
            </w:pPr>
            <w:r>
              <w:rPr>
                <w:rFonts w:ascii="Arial" w:cs="Arial" w:eastAsia="Arial" w:hAnsi="Arial"/>
                <w:sz w:val="18"/>
                <w:szCs w:val="18"/>
                <w:color w:val="auto"/>
              </w:rPr>
              <w:t>August 31</w:t>
            </w:r>
          </w:p>
        </w:tc>
      </w:tr>
      <w:tr>
        <w:trPr>
          <w:trHeight w:val="251"/>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Fiscal year 2006:</w:t>
            </w:r>
          </w:p>
        </w:tc>
        <w:tc>
          <w:tcPr>
            <w:tcW w:w="22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r>
      <w:tr>
        <w:trPr>
          <w:trHeight w:val="235"/>
        </w:trPr>
        <w:tc>
          <w:tcPr>
            <w:tcW w:w="690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$4,403,630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$3,775,693</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w w:val="99"/>
              </w:rPr>
              <w:t>$4,320,371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$4,105,270</w:t>
            </w:r>
          </w:p>
        </w:tc>
      </w:tr>
      <w:tr>
        <w:trPr>
          <w:trHeight w:val="251"/>
        </w:trPr>
        <w:tc>
          <w:tcPr>
            <w:tcW w:w="6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Gross profit</w:t>
            </w:r>
          </w:p>
        </w:tc>
        <w:tc>
          <w:tcPr>
            <w:tcW w:w="1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1,674,519</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1,460,448</w:t>
            </w:r>
          </w:p>
        </w:tc>
        <w:tc>
          <w:tcPr>
            <w:tcW w:w="1220" w:type="dxa"/>
            <w:vAlign w:val="bottom"/>
            <w:gridSpan w:val="2"/>
            <w:shd w:val="clear" w:color="auto" w:fill="C0C0C0"/>
          </w:tcPr>
          <w:p>
            <w:pPr>
              <w:jc w:val="right"/>
              <w:ind w:right="212"/>
              <w:spacing w:after="0"/>
              <w:rPr>
                <w:sz w:val="20"/>
                <w:szCs w:val="20"/>
                <w:color w:val="auto"/>
              </w:rPr>
            </w:pPr>
            <w:r>
              <w:rPr>
                <w:rFonts w:ascii="Arial" w:cs="Arial" w:eastAsia="Arial" w:hAnsi="Arial"/>
                <w:sz w:val="18"/>
                <w:szCs w:val="18"/>
                <w:color w:val="auto"/>
              </w:rPr>
              <w:t>1,561,011</w:t>
            </w:r>
          </w:p>
        </w:tc>
        <w:tc>
          <w:tcPr>
            <w:tcW w:w="9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1,562,549</w:t>
            </w:r>
          </w:p>
        </w:tc>
      </w:tr>
      <w:tr>
        <w:trPr>
          <w:trHeight w:val="235"/>
        </w:trPr>
        <w:tc>
          <w:tcPr>
            <w:tcW w:w="690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905,985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235,730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687,963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143,387</w:t>
            </w:r>
          </w:p>
        </w:tc>
      </w:tr>
      <w:tr>
        <w:trPr>
          <w:trHeight w:val="251"/>
        </w:trPr>
        <w:tc>
          <w:tcPr>
            <w:tcW w:w="6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Income taxes</w:t>
            </w:r>
          </w:p>
        </w:tc>
        <w:tc>
          <w:tcPr>
            <w:tcW w:w="1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272,000</w:t>
            </w:r>
          </w:p>
        </w:tc>
        <w:tc>
          <w:tcPr>
            <w:tcW w:w="10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31,000</w:t>
            </w:r>
          </w:p>
        </w:tc>
        <w:tc>
          <w:tcPr>
            <w:tcW w:w="1220" w:type="dxa"/>
            <w:vAlign w:val="bottom"/>
            <w:gridSpan w:val="2"/>
            <w:shd w:val="clear" w:color="auto" w:fill="C0C0C0"/>
          </w:tcPr>
          <w:p>
            <w:pPr>
              <w:jc w:val="right"/>
              <w:ind w:right="172"/>
              <w:spacing w:after="0"/>
              <w:rPr>
                <w:sz w:val="20"/>
                <w:szCs w:val="20"/>
                <w:color w:val="auto"/>
              </w:rPr>
            </w:pPr>
            <w:r>
              <w:rPr>
                <w:rFonts w:ascii="Arial" w:cs="Arial" w:eastAsia="Arial" w:hAnsi="Arial"/>
                <w:sz w:val="18"/>
                <w:szCs w:val="18"/>
                <w:color w:val="auto"/>
              </w:rPr>
              <w:t>(30,000)</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(19,000)</w:t>
            </w:r>
          </w:p>
        </w:tc>
      </w:tr>
      <w:tr>
        <w:trPr>
          <w:trHeight w:val="228"/>
        </w:trPr>
        <w:tc>
          <w:tcPr>
            <w:tcW w:w="69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633,985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204,730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717,963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162,387</w:t>
            </w:r>
          </w:p>
        </w:tc>
      </w:tr>
    </w:tbl>
    <w:p>
      <w:pPr>
        <w:sectPr>
          <w:pgSz w:w="11900" w:h="16838" w:orient="portrait"/>
          <w:cols w:equalWidth="0" w:num="1">
            <w:col w:w="11420"/>
          </w:cols>
          <w:pgMar w:left="240" w:top="131" w:right="239" w:bottom="0" w:gutter="0" w:footer="0" w:header="0"/>
        </w:sectPr>
      </w:pPr>
    </w:p>
    <w:bookmarkStart w:id="34" w:name="page35"/>
    <w:bookmarkEnd w:id="34"/>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Net income per share:</w:t>
            </w:r>
          </w:p>
        </w:tc>
        <w:tc>
          <w:tcPr>
            <w:tcW w:w="44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r>
      <w:tr>
        <w:trPr>
          <w:trHeight w:val="235"/>
        </w:trPr>
        <w:tc>
          <w:tcPr>
            <w:tcW w:w="3820" w:type="dxa"/>
            <w:vAlign w:val="bottom"/>
          </w:tcPr>
          <w:p>
            <w:pPr>
              <w:ind w:left="280"/>
              <w:spacing w:after="0"/>
              <w:rPr>
                <w:sz w:val="20"/>
                <w:szCs w:val="20"/>
                <w:color w:val="auto"/>
              </w:rPr>
            </w:pPr>
            <w:r>
              <w:rPr>
                <w:rFonts w:ascii="Arial" w:cs="Arial" w:eastAsia="Arial" w:hAnsi="Arial"/>
                <w:sz w:val="18"/>
                <w:szCs w:val="18"/>
                <w:color w:val="auto"/>
              </w:rPr>
              <w:t>Basic</w:t>
            </w:r>
          </w:p>
        </w:tc>
        <w:tc>
          <w:tcPr>
            <w:tcW w:w="4460" w:type="dxa"/>
            <w:vAlign w:val="bottom"/>
          </w:tcPr>
          <w:p>
            <w:pPr>
              <w:jc w:val="right"/>
              <w:ind w:right="92"/>
              <w:spacing w:after="0"/>
              <w:rPr>
                <w:sz w:val="20"/>
                <w:szCs w:val="20"/>
                <w:color w:val="auto"/>
              </w:rPr>
            </w:pPr>
            <w:r>
              <w:rPr>
                <w:rFonts w:ascii="Arial" w:cs="Arial" w:eastAsia="Arial" w:hAnsi="Arial"/>
                <w:sz w:val="18"/>
                <w:szCs w:val="18"/>
                <w:color w:val="auto"/>
              </w:rPr>
              <w:t>$0.18</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$0.06</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$0.20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$0.04</w:t>
            </w:r>
          </w:p>
        </w:tc>
      </w:tr>
      <w:tr>
        <w:trPr>
          <w:trHeight w:val="251"/>
        </w:trPr>
        <w:tc>
          <w:tcPr>
            <w:tcW w:w="3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Diluted</w:t>
            </w:r>
          </w:p>
        </w:tc>
        <w:tc>
          <w:tcPr>
            <w:tcW w:w="44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$0.18</w:t>
            </w:r>
          </w:p>
        </w:tc>
        <w:tc>
          <w:tcPr>
            <w:tcW w:w="10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$0.06</w:t>
            </w: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$0.20</w:t>
            </w: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$0.04</w:t>
            </w:r>
          </w:p>
        </w:tc>
      </w:tr>
      <w:tr>
        <w:trPr>
          <w:trHeight w:val="243"/>
        </w:trPr>
        <w:tc>
          <w:tcPr>
            <w:tcW w:w="38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8"/>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common</w:t>
            </w:r>
          </w:p>
        </w:tc>
        <w:tc>
          <w:tcPr>
            <w:tcW w:w="446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1060" w:type="dxa"/>
            <w:vAlign w:val="bottom"/>
            <w:shd w:val="clear" w:color="auto" w:fill="C0C0C0"/>
          </w:tcPr>
          <w:p>
            <w:pPr>
              <w:spacing w:after="0"/>
              <w:rPr>
                <w:sz w:val="19"/>
                <w:szCs w:val="19"/>
                <w:color w:val="auto"/>
              </w:rPr>
            </w:pPr>
          </w:p>
        </w:tc>
        <w:tc>
          <w:tcPr>
            <w:tcW w:w="1020" w:type="dxa"/>
            <w:vAlign w:val="bottom"/>
            <w:shd w:val="clear" w:color="auto" w:fill="C0C0C0"/>
          </w:tcPr>
          <w:p>
            <w:pPr>
              <w:spacing w:after="0"/>
              <w:rPr>
                <w:sz w:val="19"/>
                <w:szCs w:val="19"/>
                <w:color w:val="auto"/>
              </w:rPr>
            </w:pPr>
          </w:p>
        </w:tc>
      </w:tr>
      <w:tr>
        <w:trPr>
          <w:trHeight w:val="259"/>
        </w:trPr>
        <w:tc>
          <w:tcPr>
            <w:tcW w:w="3820" w:type="dxa"/>
            <w:vAlign w:val="bottom"/>
            <w:shd w:val="clear" w:color="auto" w:fill="C0C0C0"/>
          </w:tcPr>
          <w:p>
            <w:pPr>
              <w:spacing w:after="0"/>
              <w:rPr>
                <w:sz w:val="20"/>
                <w:szCs w:val="20"/>
                <w:color w:val="auto"/>
              </w:rPr>
            </w:pPr>
            <w:r>
              <w:rPr>
                <w:rFonts w:ascii="Arial" w:cs="Arial" w:eastAsia="Arial" w:hAnsi="Arial"/>
                <w:sz w:val="18"/>
                <w:szCs w:val="18"/>
                <w:color w:val="auto"/>
              </w:rPr>
              <w:t>shares assumed outstanding:</w:t>
            </w:r>
          </w:p>
        </w:tc>
        <w:tc>
          <w:tcPr>
            <w:tcW w:w="446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1020" w:type="dxa"/>
            <w:vAlign w:val="bottom"/>
            <w:shd w:val="clear" w:color="auto" w:fill="C0C0C0"/>
          </w:tcPr>
          <w:p>
            <w:pPr>
              <w:spacing w:after="0"/>
              <w:rPr>
                <w:sz w:val="22"/>
                <w:szCs w:val="22"/>
                <w:color w:val="auto"/>
              </w:rPr>
            </w:pPr>
          </w:p>
        </w:tc>
      </w:tr>
      <w:tr>
        <w:trPr>
          <w:trHeight w:val="235"/>
        </w:trPr>
        <w:tc>
          <w:tcPr>
            <w:tcW w:w="3820" w:type="dxa"/>
            <w:vAlign w:val="bottom"/>
          </w:tcPr>
          <w:p>
            <w:pPr>
              <w:ind w:left="280"/>
              <w:spacing w:after="0"/>
              <w:rPr>
                <w:sz w:val="20"/>
                <w:szCs w:val="20"/>
                <w:color w:val="auto"/>
              </w:rPr>
            </w:pPr>
            <w:r>
              <w:rPr>
                <w:rFonts w:ascii="Arial" w:cs="Arial" w:eastAsia="Arial" w:hAnsi="Arial"/>
                <w:sz w:val="18"/>
                <w:szCs w:val="18"/>
                <w:color w:val="auto"/>
              </w:rPr>
              <w:t>Basic</w:t>
            </w:r>
          </w:p>
        </w:tc>
        <w:tc>
          <w:tcPr>
            <w:tcW w:w="4460" w:type="dxa"/>
            <w:vAlign w:val="bottom"/>
          </w:tcPr>
          <w:p>
            <w:pPr>
              <w:jc w:val="right"/>
              <w:ind w:right="92"/>
              <w:spacing w:after="0"/>
              <w:rPr>
                <w:sz w:val="20"/>
                <w:szCs w:val="20"/>
                <w:color w:val="auto"/>
              </w:rPr>
            </w:pPr>
            <w:r>
              <w:rPr>
                <w:rFonts w:ascii="Arial" w:cs="Arial" w:eastAsia="Arial" w:hAnsi="Arial"/>
                <w:sz w:val="18"/>
                <w:szCs w:val="18"/>
                <w:color w:val="auto"/>
              </w:rPr>
              <w:t>3,589,993</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3,597,815</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3,610,993</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3,614,246</w:t>
            </w:r>
          </w:p>
        </w:tc>
      </w:tr>
      <w:tr>
        <w:trPr>
          <w:trHeight w:val="251"/>
        </w:trPr>
        <w:tc>
          <w:tcPr>
            <w:tcW w:w="38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Diluted</w:t>
            </w:r>
          </w:p>
        </w:tc>
        <w:tc>
          <w:tcPr>
            <w:tcW w:w="446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3,607,564</w:t>
            </w:r>
          </w:p>
        </w:tc>
        <w:tc>
          <w:tcPr>
            <w:tcW w:w="10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3,628,594</w:t>
            </w: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3,638,795</w:t>
            </w: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3,647,439</w:t>
            </w:r>
          </w:p>
        </w:tc>
      </w:tr>
      <w:tr>
        <w:trPr>
          <w:trHeight w:val="673"/>
        </w:trPr>
        <w:tc>
          <w:tcPr>
            <w:tcW w:w="3820" w:type="dxa"/>
            <w:vAlign w:val="bottom"/>
          </w:tcPr>
          <w:p>
            <w:pPr>
              <w:spacing w:after="0"/>
              <w:rPr>
                <w:sz w:val="24"/>
                <w:szCs w:val="24"/>
                <w:color w:val="auto"/>
              </w:rPr>
            </w:pPr>
          </w:p>
        </w:tc>
        <w:tc>
          <w:tcPr>
            <w:tcW w:w="4460" w:type="dxa"/>
            <w:vAlign w:val="bottom"/>
          </w:tcPr>
          <w:p>
            <w:pPr>
              <w:jc w:val="right"/>
              <w:ind w:right="2392"/>
              <w:spacing w:after="0"/>
              <w:rPr>
                <w:sz w:val="20"/>
                <w:szCs w:val="20"/>
                <w:color w:val="auto"/>
              </w:rPr>
            </w:pPr>
            <w:r>
              <w:rPr>
                <w:rFonts w:ascii="Arial" w:cs="Arial" w:eastAsia="Arial" w:hAnsi="Arial"/>
                <w:sz w:val="18"/>
                <w:szCs w:val="18"/>
                <w:color w:val="auto"/>
              </w:rPr>
              <w:t>58</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2007 that has materially affected, or is reasonably likely to materially affect NTIC’s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8B. OTHER INFORMATION.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16, 2007, NTIC’s Board of Directors, upon recommendation of the Compensation Committee of the Board, approved annual performance bonuses for NTIC’s executive officers, to be paid in cash and NTIC common stock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22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Name of Executive</w:t>
            </w:r>
          </w:p>
        </w:tc>
        <w:tc>
          <w:tcPr>
            <w:tcW w:w="3280" w:type="dxa"/>
            <w:vAlign w:val="bottom"/>
            <w:tcBorders>
              <w:top w:val="single" w:sz="8" w:color="auto"/>
            </w:tcBorders>
            <w:shd w:val="clear" w:color="auto" w:fill="C0C0C0"/>
          </w:tcPr>
          <w:p>
            <w:pPr>
              <w:spacing w:after="0"/>
              <w:rPr>
                <w:sz w:val="21"/>
                <w:szCs w:val="21"/>
                <w:color w:val="auto"/>
              </w:rPr>
            </w:pPr>
          </w:p>
        </w:tc>
        <w:tc>
          <w:tcPr>
            <w:tcW w:w="3840" w:type="dxa"/>
            <w:vAlign w:val="bottom"/>
            <w:tcBorders>
              <w:top w:val="single" w:sz="8" w:color="auto"/>
              <w:right w:val="single" w:sz="8" w:color="auto"/>
            </w:tcBorders>
            <w:shd w:val="clear" w:color="auto" w:fill="C0C0C0"/>
          </w:tcPr>
          <w:p>
            <w:pPr>
              <w:spacing w:after="0"/>
              <w:rPr>
                <w:sz w:val="21"/>
                <w:szCs w:val="21"/>
                <w:color w:val="auto"/>
              </w:rPr>
            </w:pPr>
          </w:p>
        </w:tc>
        <w:tc>
          <w:tcPr>
            <w:tcW w:w="7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Cash</w:t>
            </w:r>
          </w:p>
        </w:tc>
        <w:tc>
          <w:tcPr>
            <w:tcW w:w="13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NTIC Common</w:t>
            </w:r>
          </w:p>
        </w:tc>
      </w:tr>
      <w:tr>
        <w:trPr>
          <w:trHeight w:val="251"/>
        </w:trPr>
        <w:tc>
          <w:tcPr>
            <w:tcW w:w="222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Officer</w:t>
            </w:r>
          </w:p>
        </w:tc>
        <w:tc>
          <w:tcPr>
            <w:tcW w:w="3280" w:type="dxa"/>
            <w:vAlign w:val="bottom"/>
            <w:tcBorders>
              <w:bottom w:val="single" w:sz="8" w:color="auto"/>
            </w:tcBorders>
            <w:shd w:val="clear" w:color="auto" w:fill="C0C0C0"/>
          </w:tcPr>
          <w:p>
            <w:pPr>
              <w:spacing w:after="0"/>
              <w:rPr>
                <w:sz w:val="21"/>
                <w:szCs w:val="21"/>
                <w:color w:val="auto"/>
              </w:rPr>
            </w:pPr>
          </w:p>
        </w:tc>
        <w:tc>
          <w:tcPr>
            <w:tcW w:w="3840" w:type="dxa"/>
            <w:vAlign w:val="bottom"/>
            <w:tcBorders>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Title</w:t>
            </w:r>
          </w:p>
        </w:tc>
        <w:tc>
          <w:tcPr>
            <w:tcW w:w="740" w:type="dxa"/>
            <w:vAlign w:val="bottom"/>
            <w:tcBorders>
              <w:bottom w:val="single" w:sz="8" w:color="auto"/>
              <w:right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90"/>
              </w:rPr>
              <w:t>Bonus ($</w:t>
            </w:r>
          </w:p>
        </w:tc>
        <w:tc>
          <w:tcPr>
            <w:tcW w:w="13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2"/>
              </w:rPr>
              <w:t>)Stock (Shares) (1)</w:t>
            </w:r>
          </w:p>
        </w:tc>
      </w:tr>
      <w:tr>
        <w:trPr>
          <w:trHeight w:val="237"/>
        </w:trPr>
        <w:tc>
          <w:tcPr>
            <w:tcW w:w="2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 Patrick Lynch</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c>
          <w:tcPr>
            <w:tcW w:w="3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$61,827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6,214</w:t>
            </w:r>
          </w:p>
        </w:tc>
      </w:tr>
      <w:tr>
        <w:trPr>
          <w:trHeight w:val="237"/>
        </w:trPr>
        <w:tc>
          <w:tcPr>
            <w:tcW w:w="2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 Donald Kubik</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Vice Chairman and Chief Technology Officer</w:t>
            </w:r>
          </w:p>
        </w:tc>
        <w:tc>
          <w:tcPr>
            <w:tcW w:w="3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$35,883</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3,606</w:t>
            </w:r>
          </w:p>
        </w:tc>
      </w:tr>
      <w:tr>
        <w:trPr>
          <w:trHeight w:val="237"/>
        </w:trPr>
        <w:tc>
          <w:tcPr>
            <w:tcW w:w="2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Matthew C. Wolsfeld</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 and Secretary</w:t>
            </w:r>
          </w:p>
        </w:tc>
        <w:tc>
          <w:tcPr>
            <w:tcW w:w="38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$47,184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4,742</w:t>
            </w:r>
          </w:p>
        </w:tc>
      </w:tr>
    </w:tbl>
    <w:p>
      <w:pPr>
        <w:spacing w:after="0" w:line="235" w:lineRule="exact"/>
        <w:rPr>
          <w:sz w:val="20"/>
          <w:szCs w:val="20"/>
          <w:color w:val="auto"/>
        </w:rPr>
      </w:pPr>
    </w:p>
    <w:p>
      <w:pPr>
        <w:ind w:left="500" w:hanging="492"/>
        <w:spacing w:after="0" w:line="33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shares of NTIC common stock were determined based on the dollar amount of the bonus to be paid in NTIC common stock divided by $9.98, which represents the closing sale price of a share of NTIC common stock on November 16, 2007, as reported by The American Stock Exchange.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20" w:hanging="620"/>
        <w:spacing w:after="0" w:line="275" w:lineRule="auto"/>
        <w:rPr>
          <w:sz w:val="20"/>
          <w:szCs w:val="20"/>
          <w:color w:val="auto"/>
        </w:rPr>
      </w:pPr>
      <w:r>
        <w:rPr>
          <w:rFonts w:ascii="Arial" w:cs="Arial" w:eastAsia="Arial" w:hAnsi="Arial"/>
          <w:sz w:val="18"/>
          <w:szCs w:val="18"/>
          <w:b w:val="1"/>
          <w:bCs w:val="1"/>
          <w:color w:val="auto"/>
        </w:rPr>
        <w:t>Item 9. DIRECTORS, EXECUTIVE OFFICERS, PROMOTERS, CONTROL PERSONS AND CORPORATE GOVERNANCE; COMPLIANCE WITH SECTION 16(a) OF THE EXCHANGE ACT.</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under Item 9 of Part III of this report is to be contained under the headings “Proposal One – Election of Directors — Information About Current Directors and Nominees,” “Proposal One – Election of Directors — Other Information About Current Directors and Nominees,” “Corporate Governance</w:t>
      </w:r>
    </w:p>
    <w:p>
      <w:pPr>
        <w:jc w:val="both"/>
        <w:spacing w:after="0" w:line="323" w:lineRule="auto"/>
        <w:rPr>
          <w:sz w:val="20"/>
          <w:szCs w:val="20"/>
          <w:color w:val="auto"/>
        </w:rPr>
      </w:pPr>
      <w:r>
        <w:rPr>
          <w:rFonts w:ascii="Arial" w:cs="Arial" w:eastAsia="Arial" w:hAnsi="Arial"/>
          <w:sz w:val="16"/>
          <w:szCs w:val="16"/>
          <w:color w:val="auto"/>
        </w:rPr>
        <w:t>— Board of Directors and Committees of the Board,” “Corporate Governance,” “Other Matters – Section 16(a) Beneficial Ownership Reporting Compliance” and “Other Matters – Director Nominations” in NTIC’s definitive proxy statement to be filed with the SEC with respect to its next annual meeting of</w:t>
      </w:r>
    </w:p>
    <w:p>
      <w:pPr>
        <w:sectPr>
          <w:pgSz w:w="11900" w:h="16945" w:orient="portrait"/>
          <w:cols w:equalWidth="0" w:num="1">
            <w:col w:w="11420"/>
          </w:cols>
          <w:pgMar w:left="240" w:top="140" w:right="239" w:bottom="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concerning NTIC’s executive officers and officers is included under Item 4A of Part I of this report under the heading “Executive Officers of Registrant” and is incorporated herein by reference.</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fourth quarter of fiscal 2006, NTIC made no material changes to the procedures by which stockholders may recommend nominees to NTIC’s Board of Directors, as described in NTIC’s most recent proxy statement.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American Stock Exchange. A copy of NTIC’s Code of Ethics is filed as an exhibit to this report. NTIC intends to disclose any amendments to any waivers from a provision of NTIC’s code of ethics on a Form 8-K filed with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EXECUTIVE COMPENSATION.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information required under Item 10 of Part III of this report is to be contained under the headings “Director Compensation” and “Executive Compensation”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SECURITY OWNERSHIP OF CERTAIN BENEFICIAL OWNERS AND MANAGEMENT AND RELATED STOCKHOLDER MATTERS.</w:t>
      </w:r>
    </w:p>
    <w:p>
      <w:pPr>
        <w:spacing w:after="0" w:line="28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information required under Item 11 of Part III of this report is to be contained under the heading “Security Ownership of Principal Stockholders and Management”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following table summarizes outstanding options under NTIC’s equity compensation plans as of August 31, 2007. NTIC’s equity compensation plans as of August 31, 2007 were the Northern Technologies International Corporation 2007 Stock Incentive Plan, the Northern Technologies International Corporation 2000 Stock Incentive Plan, the Northern Technologies International Corporation 1994 Stock Incentive Plan and the Northern Technologies International Corporation Employee Stock Purchase Plan. No future options or other incentive awards will be granted under the Northern Technologies International Corporation 1994 Stock Incentive Plan and Northern Technologies International Corporation 2000 Stock Incentive Plan.</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Except as otherwise stated below, options granted in the future under the Northern Technologies International Corporation 2007 Stock Incentive Plan are within the discretion of the Board of Directors and the Compensation Committee of the Board of Directors and therefore cannot be ascertained at this time.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1"/>
              </w:rPr>
              <w:t>(c)</w:t>
            </w: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 Available for</w:t>
            </w: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Number of Securities to</w:t>
            </w: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Weighted-Average</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Future Issuance Under</w:t>
            </w: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be Issued Upon Exercise</w:t>
            </w: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 of</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Equity Compensation Plans</w:t>
            </w: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Outstanding Options,</w:t>
            </w: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Options,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5"/>
              </w:rPr>
              <w:t>(excluding securities</w:t>
            </w:r>
          </w:p>
        </w:tc>
      </w:tr>
      <w:tr>
        <w:trPr>
          <w:trHeight w:val="252"/>
        </w:trPr>
        <w:tc>
          <w:tcPr>
            <w:tcW w:w="2740" w:type="dxa"/>
            <w:vAlign w:val="bottom"/>
          </w:tcPr>
          <w:p>
            <w:pPr>
              <w:ind w:left="840"/>
              <w:spacing w:after="0"/>
              <w:rPr>
                <w:sz w:val="20"/>
                <w:szCs w:val="20"/>
                <w:color w:val="auto"/>
              </w:rPr>
            </w:pPr>
            <w:r>
              <w:rPr>
                <w:rFonts w:ascii="Arial" w:cs="Arial" w:eastAsia="Arial" w:hAnsi="Arial"/>
                <w:sz w:val="18"/>
                <w:szCs w:val="18"/>
                <w:b w:val="1"/>
                <w:bCs w:val="1"/>
                <w:color w:val="auto"/>
              </w:rPr>
              <w:t>Plan Category</w:t>
            </w:r>
          </w:p>
        </w:tc>
        <w:tc>
          <w:tcPr>
            <w:tcW w:w="220" w:type="dxa"/>
            <w:vAlign w:val="bottom"/>
          </w:tcPr>
          <w:p>
            <w:pPr>
              <w:spacing w:after="0"/>
              <w:rPr>
                <w:sz w:val="21"/>
                <w:szCs w:val="21"/>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Warrants and Rights</w:t>
            </w:r>
          </w:p>
        </w:tc>
        <w:tc>
          <w:tcPr>
            <w:tcW w:w="2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Warrants and Rights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reflected in column (a))</w:t>
            </w:r>
          </w:p>
        </w:tc>
      </w:tr>
      <w:tr>
        <w:trPr>
          <w:trHeight w:val="228"/>
        </w:trPr>
        <w:tc>
          <w:tcPr>
            <w:tcW w:w="27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Equity compensation plans</w:t>
            </w:r>
          </w:p>
        </w:tc>
        <w:tc>
          <w:tcPr>
            <w:tcW w:w="220" w:type="dxa"/>
            <w:vAlign w:val="bottom"/>
            <w:tcBorders>
              <w:top w:val="single" w:sz="8" w:color="C0C0C0"/>
            </w:tcBorders>
            <w:shd w:val="clear" w:color="auto" w:fill="C0C0C0"/>
          </w:tcPr>
          <w:p>
            <w:pPr>
              <w:spacing w:after="0"/>
              <w:rPr>
                <w:sz w:val="19"/>
                <w:szCs w:val="19"/>
                <w:color w:val="auto"/>
              </w:rPr>
            </w:pPr>
          </w:p>
        </w:tc>
        <w:tc>
          <w:tcPr>
            <w:tcW w:w="26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26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2700" w:type="dxa"/>
            <w:vAlign w:val="bottom"/>
            <w:tcBorders>
              <w:top w:val="single" w:sz="8" w:color="auto"/>
            </w:tcBorders>
            <w:shd w:val="clear" w:color="auto" w:fill="C0C0C0"/>
          </w:tcPr>
          <w:p>
            <w:pPr>
              <w:spacing w:after="0"/>
              <w:rPr>
                <w:sz w:val="19"/>
                <w:szCs w:val="19"/>
                <w:color w:val="auto"/>
              </w:rPr>
            </w:pPr>
          </w:p>
        </w:tc>
      </w:tr>
      <w:tr>
        <w:trPr>
          <w:trHeight w:val="259"/>
        </w:trPr>
        <w:tc>
          <w:tcPr>
            <w:tcW w:w="2740" w:type="dxa"/>
            <w:vAlign w:val="bottom"/>
            <w:shd w:val="clear" w:color="auto" w:fill="C0C0C0"/>
          </w:tcPr>
          <w:p>
            <w:pPr>
              <w:spacing w:after="0"/>
              <w:rPr>
                <w:sz w:val="20"/>
                <w:szCs w:val="20"/>
                <w:color w:val="auto"/>
              </w:rPr>
            </w:pPr>
            <w:r>
              <w:rPr>
                <w:rFonts w:ascii="Arial" w:cs="Arial" w:eastAsia="Arial" w:hAnsi="Arial"/>
                <w:sz w:val="18"/>
                <w:szCs w:val="18"/>
                <w:color w:val="auto"/>
              </w:rPr>
              <w:t>approved by security holders:</w:t>
            </w:r>
          </w:p>
        </w:tc>
        <w:tc>
          <w:tcPr>
            <w:tcW w:w="2880" w:type="dxa"/>
            <w:vAlign w:val="bottom"/>
            <w:gridSpan w:val="2"/>
            <w:shd w:val="clear" w:color="auto" w:fill="C0C0C0"/>
          </w:tcPr>
          <w:p>
            <w:pPr>
              <w:jc w:val="center"/>
              <w:ind w:left="132"/>
              <w:spacing w:after="0"/>
              <w:rPr>
                <w:sz w:val="20"/>
                <w:szCs w:val="20"/>
                <w:color w:val="auto"/>
              </w:rPr>
            </w:pPr>
            <w:r>
              <w:rPr>
                <w:rFonts w:ascii="Arial" w:cs="Arial" w:eastAsia="Arial" w:hAnsi="Arial"/>
                <w:sz w:val="18"/>
                <w:szCs w:val="18"/>
                <w:color w:val="auto"/>
                <w:w w:val="90"/>
              </w:rPr>
              <w:t>86,167</w:t>
            </w:r>
          </w:p>
        </w:tc>
        <w:tc>
          <w:tcPr>
            <w:tcW w:w="220" w:type="dxa"/>
            <w:vAlign w:val="bottom"/>
            <w:shd w:val="clear" w:color="auto" w:fill="C0C0C0"/>
          </w:tcPr>
          <w:p>
            <w:pPr>
              <w:spacing w:after="0"/>
              <w:rPr>
                <w:sz w:val="22"/>
                <w:szCs w:val="22"/>
                <w:color w:val="auto"/>
              </w:rPr>
            </w:pPr>
          </w:p>
        </w:tc>
        <w:tc>
          <w:tcPr>
            <w:tcW w:w="26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$6.64</w:t>
            </w:r>
          </w:p>
        </w:tc>
        <w:tc>
          <w:tcPr>
            <w:tcW w:w="220" w:type="dxa"/>
            <w:vAlign w:val="bottom"/>
            <w:shd w:val="clear" w:color="auto" w:fill="C0C0C0"/>
          </w:tcPr>
          <w:p>
            <w:pPr>
              <w:spacing w:after="0"/>
              <w:rPr>
                <w:sz w:val="22"/>
                <w:szCs w:val="22"/>
                <w:color w:val="auto"/>
              </w:rPr>
            </w:pPr>
          </w:p>
        </w:tc>
        <w:tc>
          <w:tcPr>
            <w:tcW w:w="27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494,923</w:t>
            </w: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28"/>
        </w:trPr>
        <w:tc>
          <w:tcPr>
            <w:tcW w:w="2740" w:type="dxa"/>
            <w:vAlign w:val="bottom"/>
            <w:shd w:val="clear" w:color="auto" w:fill="C0C0C0"/>
          </w:tcPr>
          <w:p>
            <w:pPr>
              <w:spacing w:after="0"/>
              <w:rPr>
                <w:sz w:val="20"/>
                <w:szCs w:val="20"/>
                <w:color w:val="auto"/>
              </w:rPr>
            </w:pPr>
            <w:r>
              <w:rPr>
                <w:rFonts w:ascii="Arial" w:cs="Arial" w:eastAsia="Arial" w:hAnsi="Arial"/>
                <w:sz w:val="18"/>
                <w:szCs w:val="18"/>
                <w:color w:val="auto"/>
              </w:rPr>
              <w:t>Equity compensation plans not</w:t>
            </w:r>
          </w:p>
        </w:tc>
        <w:tc>
          <w:tcPr>
            <w:tcW w:w="220" w:type="dxa"/>
            <w:vAlign w:val="bottom"/>
            <w:shd w:val="clear" w:color="auto" w:fill="C0C0C0"/>
          </w:tcPr>
          <w:p>
            <w:pPr>
              <w:spacing w:after="0"/>
              <w:rPr>
                <w:sz w:val="19"/>
                <w:szCs w:val="19"/>
                <w:color w:val="auto"/>
              </w:rPr>
            </w:pPr>
          </w:p>
        </w:tc>
        <w:tc>
          <w:tcPr>
            <w:tcW w:w="26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6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700" w:type="dxa"/>
            <w:vAlign w:val="bottom"/>
            <w:shd w:val="clear" w:color="auto" w:fill="C0C0C0"/>
          </w:tcPr>
          <w:p>
            <w:pPr>
              <w:spacing w:after="0"/>
              <w:rPr>
                <w:sz w:val="19"/>
                <w:szCs w:val="19"/>
                <w:color w:val="auto"/>
              </w:rPr>
            </w:pPr>
          </w:p>
        </w:tc>
      </w:tr>
      <w:tr>
        <w:trPr>
          <w:trHeight w:val="259"/>
        </w:trPr>
        <w:tc>
          <w:tcPr>
            <w:tcW w:w="2740" w:type="dxa"/>
            <w:vAlign w:val="bottom"/>
            <w:shd w:val="clear" w:color="auto" w:fill="C0C0C0"/>
          </w:tcPr>
          <w:p>
            <w:pPr>
              <w:spacing w:after="0"/>
              <w:rPr>
                <w:sz w:val="20"/>
                <w:szCs w:val="20"/>
                <w:color w:val="auto"/>
              </w:rPr>
            </w:pPr>
            <w:r>
              <w:rPr>
                <w:rFonts w:ascii="Arial" w:cs="Arial" w:eastAsia="Arial" w:hAnsi="Arial"/>
                <w:sz w:val="18"/>
                <w:szCs w:val="18"/>
                <w:color w:val="auto"/>
              </w:rPr>
              <w:t>approved by security holders</w:t>
            </w:r>
          </w:p>
        </w:tc>
        <w:tc>
          <w:tcPr>
            <w:tcW w:w="220" w:type="dxa"/>
            <w:vAlign w:val="bottom"/>
            <w:shd w:val="clear" w:color="auto" w:fill="C0C0C0"/>
          </w:tcPr>
          <w:p>
            <w:pPr>
              <w:spacing w:after="0"/>
              <w:rPr>
                <w:sz w:val="22"/>
                <w:szCs w:val="22"/>
                <w:color w:val="auto"/>
              </w:rPr>
            </w:pPr>
          </w:p>
        </w:tc>
        <w:tc>
          <w:tcPr>
            <w:tcW w:w="26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0C0C0"/>
          </w:tcPr>
          <w:p>
            <w:pPr>
              <w:spacing w:after="0"/>
              <w:rPr>
                <w:sz w:val="22"/>
                <w:szCs w:val="22"/>
                <w:color w:val="auto"/>
              </w:rPr>
            </w:pPr>
          </w:p>
        </w:tc>
        <w:tc>
          <w:tcPr>
            <w:tcW w:w="26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0C0C0"/>
          </w:tcPr>
          <w:p>
            <w:pPr>
              <w:spacing w:after="0"/>
              <w:rPr>
                <w:sz w:val="22"/>
                <w:szCs w:val="22"/>
                <w:color w:val="auto"/>
              </w:rPr>
            </w:pPr>
          </w:p>
        </w:tc>
        <w:tc>
          <w:tcPr>
            <w:tcW w:w="270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w:t>
            </w:r>
          </w:p>
        </w:tc>
      </w:tr>
      <w:tr>
        <w:trPr>
          <w:trHeight w:val="221"/>
        </w:trPr>
        <w:tc>
          <w:tcPr>
            <w:tcW w:w="274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86,167</w:t>
            </w:r>
          </w:p>
        </w:tc>
        <w:tc>
          <w:tcPr>
            <w:tcW w:w="22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$6.64</w:t>
            </w:r>
          </w:p>
        </w:tc>
        <w:tc>
          <w:tcPr>
            <w:tcW w:w="2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494,923</w:t>
            </w:r>
          </w:p>
        </w:tc>
      </w:tr>
    </w:tbl>
    <w:p>
      <w:pPr>
        <w:spacing w:after="0" w:line="200" w:lineRule="exact"/>
        <w:rPr>
          <w:sz w:val="20"/>
          <w:szCs w:val="20"/>
          <w:color w:val="auto"/>
        </w:rPr>
      </w:pP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American Stock Exchange rules, NTIC is required to disclose in its annual report the number of outstanding options and options available for grant under NTIC’s equity compensation plans as of September 1, 2006 and August 31, 2007. As of September 1, 2006, the number of securities to be issued upon exercise of outstanding options, warrants and rights were 119,334 shares at a weighted average exercise price of $5.32. The number of securities remaining available for future issuance under NTIC’s equity compensation plans (excluding securities to be issued upon exercise of outstanding options, warrants and rights) was 43,665 shares. This information as of August 31, 2007 is contained in the table above. NTIC’s only equity compensation plans under which shares of NTIC common stock may be issued are the Northern Technologies International Corporation 2007 Stock Incentive Plan, the Northern Technologies International Corporation 2000 Stock Incentive Plan, the Northern Technologies International Corporation 1994 Stock Incentive Plan and the Northern Technologies International Corporation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CERTAIN RELATIONSHIPS AND RELATED PARTY TRANSACTIONS, AND DIRECTOR INDEPENDENCE.</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required under Item 12 of Part III of this report is to be contained under the headings “Related Party Relationships and Transactions” and “Corporate Governance—Director Independence”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ectPr>
          <w:pgSz w:w="11900" w:h="16838" w:orient="portrait"/>
          <w:cols w:equalWidth="0" w:num="1">
            <w:col w:w="11420"/>
          </w:cols>
          <w:pgMar w:left="240" w:top="131" w:right="239" w:bottom="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hereinafter contained, at page 66 of this report.</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KSB pursuant to Item 13(a):</w:t>
      </w:r>
    </w:p>
    <w:p>
      <w:pPr>
        <w:spacing w:after="0" w:line="219" w:lineRule="exact"/>
        <w:rPr>
          <w:sz w:val="20"/>
          <w:szCs w:val="20"/>
          <w:color w:val="auto"/>
        </w:rPr>
      </w:pPr>
    </w:p>
    <w:p>
      <w:pPr>
        <w:ind w:left="720" w:right="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Northern Technologies International Corporation 1994 Stock Incentive Plan (incorporated by reference to Exhibit 10.3 to NTIC’s Annual Report on Form 10-KSB for the fiscal year ended August 31, 1993).</w:t>
      </w:r>
    </w:p>
    <w:p>
      <w:pPr>
        <w:spacing w:after="0" w:line="212" w:lineRule="exact"/>
        <w:rPr>
          <w:rFonts w:ascii="Arial" w:cs="Arial" w:eastAsia="Arial" w:hAnsi="Arial"/>
          <w:sz w:val="18"/>
          <w:szCs w:val="18"/>
          <w:color w:val="auto"/>
        </w:rPr>
      </w:pPr>
    </w:p>
    <w:p>
      <w:pPr>
        <w:ind w:left="7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1994 Stock Incentive Plan (incorporated by reference to Exhibit 10.1 to NTIC’s Annual Report on Form 10-KSB for the fiscal year ended August 31, 1993).</w:t>
      </w:r>
    </w:p>
    <w:p>
      <w:pPr>
        <w:spacing w:after="0" w:line="212" w:lineRule="exact"/>
        <w:rPr>
          <w:rFonts w:ascii="Arial" w:cs="Arial" w:eastAsia="Arial" w:hAnsi="Arial"/>
          <w:sz w:val="18"/>
          <w:szCs w:val="18"/>
          <w:color w:val="auto"/>
        </w:rPr>
      </w:pPr>
    </w:p>
    <w:p>
      <w:pPr>
        <w:ind w:left="7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1994 Stock Incentive Plan (incorporated by reference to Exhibit 10.2 to NTIC’s Annual Report on Form 10-KSB for the fiscal year ended August 31, 1993).</w:t>
      </w:r>
    </w:p>
    <w:p>
      <w:pPr>
        <w:spacing w:after="0" w:line="212" w:lineRule="exact"/>
        <w:rPr>
          <w:rFonts w:ascii="Arial" w:cs="Arial" w:eastAsia="Arial" w:hAnsi="Arial"/>
          <w:sz w:val="18"/>
          <w:szCs w:val="18"/>
          <w:color w:val="auto"/>
        </w:rPr>
      </w:pPr>
    </w:p>
    <w:p>
      <w:pPr>
        <w:ind w:left="720" w:right="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2000 Stock Incentive Plan (incorporated by reference to Exhibit 10.4 to NTIC’s Annual Report on Form 10-KSB for the fiscal year ended August 31, 2000).</w:t>
      </w:r>
    </w:p>
    <w:p>
      <w:pPr>
        <w:spacing w:after="0" w:line="212" w:lineRule="exact"/>
        <w:rPr>
          <w:rFonts w:ascii="Arial" w:cs="Arial" w:eastAsia="Arial" w:hAnsi="Arial"/>
          <w:sz w:val="18"/>
          <w:szCs w:val="18"/>
          <w:color w:val="auto"/>
        </w:rPr>
      </w:pPr>
    </w:p>
    <w:p>
      <w:pPr>
        <w:ind w:left="7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2000 Stock Incentive Plan (incorporated by reference to Exhibit 10.5 to NTIC’s Annual Report on Form 10-KSB for the fiscal year ended August 31, 2000).</w:t>
      </w:r>
    </w:p>
    <w:p>
      <w:pPr>
        <w:spacing w:after="0" w:line="212" w:lineRule="exact"/>
        <w:rPr>
          <w:rFonts w:ascii="Arial" w:cs="Arial" w:eastAsia="Arial" w:hAnsi="Arial"/>
          <w:sz w:val="18"/>
          <w:szCs w:val="18"/>
          <w:color w:val="auto"/>
        </w:rPr>
      </w:pPr>
    </w:p>
    <w:p>
      <w:pPr>
        <w:ind w:left="7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2000 Stock Incentive Plan (incorporated by reference to Exhibit 10.6 to NTIC’s Annual Report on Form 10-KSB for the fiscal year ended August 31, 2000).</w:t>
      </w:r>
    </w:p>
    <w:p>
      <w:pPr>
        <w:spacing w:after="0" w:line="212" w:lineRule="exact"/>
        <w:rPr>
          <w:rFonts w:ascii="Arial" w:cs="Arial" w:eastAsia="Arial" w:hAnsi="Arial"/>
          <w:sz w:val="18"/>
          <w:szCs w:val="18"/>
          <w:color w:val="auto"/>
        </w:rPr>
      </w:pPr>
    </w:p>
    <w:p>
      <w:pPr>
        <w:ind w:left="720" w:right="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Northern Technologies International Corporation 2007 Stock Incentive Plan (incorporated by reference to Exhibit 10.7 to NTIC’s Annual Report on Form 10-KSB for the fiscal year ended August 31, 2006).</w:t>
      </w:r>
    </w:p>
    <w:p>
      <w:pPr>
        <w:spacing w:after="0" w:line="212" w:lineRule="exact"/>
        <w:rPr>
          <w:rFonts w:ascii="Arial" w:cs="Arial" w:eastAsia="Arial" w:hAnsi="Arial"/>
          <w:sz w:val="18"/>
          <w:szCs w:val="18"/>
          <w:color w:val="auto"/>
        </w:rPr>
      </w:pPr>
    </w:p>
    <w:p>
      <w:pPr>
        <w:ind w:left="7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2007 Stock Incentive Plan (incorporated by reference to Exhibit 10.8 to NTIC’s Annual Report on Form 10-KSB for the fiscal year ended August 31, 2006).</w:t>
      </w:r>
    </w:p>
    <w:p>
      <w:pPr>
        <w:spacing w:after="0" w:line="212" w:lineRule="exact"/>
        <w:rPr>
          <w:rFonts w:ascii="Arial" w:cs="Arial" w:eastAsia="Arial" w:hAnsi="Arial"/>
          <w:sz w:val="18"/>
          <w:szCs w:val="18"/>
          <w:color w:val="auto"/>
        </w:rPr>
      </w:pPr>
    </w:p>
    <w:p>
      <w:pPr>
        <w:ind w:left="720" w:hanging="44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2007 Stock Incentive Plan (incorporated by reference to Exhibit 10.9 to NTIC’s Annual Report on Form 10-KSB for the fiscal year ended August 31, 2006).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60" w:hanging="482"/>
        <w:spacing w:after="0" w:line="26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Restricted Stock Agreement for Northern Technologies International Corporation 2007 Stock Incentive Plan (incorporated by reference to Exhibit 10.10 to NTIC’s Annual Report on Form 10-KSB for the fiscal year ended August 31, 2006).</w:t>
      </w:r>
    </w:p>
    <w:p>
      <w:pPr>
        <w:spacing w:after="0" w:line="212" w:lineRule="exact"/>
        <w:rPr>
          <w:rFonts w:ascii="Arial" w:cs="Arial" w:eastAsia="Arial" w:hAnsi="Arial"/>
          <w:sz w:val="18"/>
          <w:szCs w:val="18"/>
          <w:color w:val="auto"/>
        </w:rPr>
      </w:pPr>
    </w:p>
    <w:p>
      <w:pPr>
        <w:ind w:left="760" w:right="20" w:hanging="482"/>
        <w:spacing w:after="0" w:line="26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212" w:lineRule="exact"/>
        <w:rPr>
          <w:rFonts w:ascii="Arial" w:cs="Arial" w:eastAsia="Arial" w:hAnsi="Arial"/>
          <w:sz w:val="18"/>
          <w:szCs w:val="18"/>
          <w:color w:val="auto"/>
        </w:rPr>
      </w:pPr>
    </w:p>
    <w:p>
      <w:pPr>
        <w:ind w:left="760" w:hanging="48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252" w:lineRule="exact"/>
        <w:rPr>
          <w:rFonts w:ascii="Arial" w:cs="Arial" w:eastAsia="Arial" w:hAnsi="Arial"/>
          <w:sz w:val="18"/>
          <w:szCs w:val="18"/>
          <w:color w:val="auto"/>
        </w:rPr>
      </w:pPr>
    </w:p>
    <w:p>
      <w:pPr>
        <w:ind w:left="760" w:hanging="48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Description of Executive Officer Compensation Arrangements (filed herewith).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under Item 14 of Part III of this report is to be contained under the headings “Proposal Two – Ratification of Selection of Independent Registered Public Accounting Firm – Audit, Audit-Related, Tax and Other Fees” and “Proposal Two – Ratification of Selection of Independent Registered Public Accounting Firm – Audit Committee Pre-Approval Policy and Procedures” in NTIC’s definitive proxy statement to be filed with the SEC with respect to NTIC’s next annual meeting of stockholders, which involves the election of directors and is incorporated herein by reference, or, if such proxy statement is not filed with the SEC within 120 days after the end of the fiscal year covered by this report, such information will be filed as part of an amendment to this report not later than the end of the 120-day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Section 13 or 15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NORTHERN TECHNOLOGIES INTERNATIONAL CORPORATION</w:t>
      </w:r>
    </w:p>
    <w:p>
      <w:pPr>
        <w:sectPr>
          <w:pgSz w:w="11900" w:h="16838" w:orient="portrait"/>
          <w:cols w:equalWidth="0" w:num="1">
            <w:col w:w="11420"/>
          </w:cols>
          <w:pgMar w:left="240" w:top="131" w:right="239" w:bottom="0" w:gutter="0" w:footer="0" w:header="0"/>
        </w:sectPr>
      </w:pPr>
    </w:p>
    <w:bookmarkStart w:id="37" w:name="page38"/>
    <w:bookmarkEnd w:id="3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3956685</wp:posOffset>
            </wp:positionH>
            <wp:positionV relativeFrom="page">
              <wp:posOffset>243205</wp:posOffset>
            </wp:positionV>
            <wp:extent cx="1595120" cy="43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595120" cy="437515"/>
                    </a:xfrm>
                    <a:prstGeom prst="rect">
                      <a:avLst/>
                    </a:prstGeom>
                    <a:noFill/>
                  </pic:spPr>
                </pic:pic>
              </a:graphicData>
            </a:graphic>
          </wp:anchor>
        </w:drawing>
      </w:r>
    </w:p>
    <w:p>
      <w:pPr>
        <w:spacing w:after="0"/>
        <w:tabs>
          <w:tab w:leader="none" w:pos="5560" w:val="left"/>
        </w:tabs>
        <w:rPr>
          <w:sz w:val="20"/>
          <w:szCs w:val="20"/>
          <w:color w:val="auto"/>
        </w:rPr>
      </w:pPr>
      <w:r>
        <w:rPr>
          <w:rFonts w:ascii="Arial" w:cs="Arial" w:eastAsia="Arial" w:hAnsi="Arial"/>
          <w:sz w:val="18"/>
          <w:szCs w:val="18"/>
          <w:color w:val="auto"/>
        </w:rPr>
        <w:t>November __, 2007</w:t>
      </w:r>
      <w:r>
        <w:rPr>
          <w:sz w:val="20"/>
          <w:szCs w:val="20"/>
          <w:color w:val="auto"/>
        </w:rPr>
        <w:tab/>
      </w: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2540</wp:posOffset>
            </wp:positionV>
            <wp:extent cx="18097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 Patrick Lynch</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November 16, 2007 in the capacities indicated.</w:t>
      </w:r>
    </w:p>
    <w:p>
      <w:pPr>
        <w:sectPr>
          <w:pgSz w:w="11900" w:h="16900" w:orient="portrait"/>
          <w:cols w:equalWidth="0" w:num="1">
            <w:col w:w="11420"/>
          </w:cols>
          <w:pgMar w:left="240" w:top="914" w:right="239" w:bottom="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200" w:lineRule="exact"/>
        <w:rPr>
          <w:sz w:val="20"/>
          <w:szCs w:val="20"/>
          <w:color w:val="auto"/>
        </w:rPr>
      </w:pPr>
    </w:p>
    <w:p>
      <w:pPr>
        <w:spacing w:after="0" w:line="322" w:lineRule="exact"/>
        <w:rPr>
          <w:sz w:val="20"/>
          <w:szCs w:val="20"/>
          <w:color w:val="auto"/>
        </w:rPr>
      </w:pPr>
    </w:p>
    <w:p>
      <w:pPr>
        <w:ind w:right="800"/>
        <w:spacing w:after="0" w:line="384" w:lineRule="auto"/>
        <w:rPr>
          <w:sz w:val="20"/>
          <w:szCs w:val="20"/>
          <w:color w:val="auto"/>
        </w:rPr>
      </w:pPr>
      <w:r>
        <w:rPr>
          <w:rFonts w:ascii="Arial" w:cs="Arial" w:eastAsia="Arial" w:hAnsi="Arial"/>
          <w:sz w:val="16"/>
          <w:szCs w:val="16"/>
          <w:color w:val="auto"/>
        </w:rPr>
        <w:t>/s/ Matthew C. Wolsfeld, CPA 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9640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 Pierre Chenu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Pierre Chenu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Donald A. Kubik,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Donald A. Kubik, Ph.D.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Dr. Sunggyu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Dr. Sunggyu Lee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Mark Mayers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Mayers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Dr. Ramani Narayan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Dr. Ramani Narayan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Dr. Barry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Dr. Barry Rosenbaum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Mark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640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J. Stone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456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5"/>
        </w:trPr>
        <w:tc>
          <w:tcPr>
            <w:tcW w:w="49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__, 2007</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00"/>
        </w:trPr>
        <w:tc>
          <w:tcPr>
            <w:tcW w:w="492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__, 2007</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00"/>
        </w:trPr>
        <w:tc>
          <w:tcPr>
            <w:tcW w:w="49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r>
        <w:trPr>
          <w:trHeight w:val="743"/>
        </w:trPr>
        <w:tc>
          <w:tcPr>
            <w:tcW w:w="4920" w:type="dxa"/>
            <w:vAlign w:val="bottom"/>
            <w:gridSpan w:val="2"/>
          </w:tcPr>
          <w:p>
            <w:pPr>
              <w:spacing w:after="0"/>
              <w:rPr>
                <w:sz w:val="20"/>
                <w:szCs w:val="20"/>
                <w:color w:val="auto"/>
              </w:rPr>
            </w:pPr>
            <w:r>
              <w:rPr>
                <w:rFonts w:ascii="Arial" w:cs="Arial" w:eastAsia="Arial" w:hAnsi="Arial"/>
                <w:sz w:val="18"/>
                <w:szCs w:val="18"/>
                <w:color w:val="auto"/>
              </w:rPr>
              <w:t>Vice Chairman of the Board and Chief</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Technology Officer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500"/>
        </w:trPr>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r>
        <w:trPr>
          <w:trHeight w:val="743"/>
        </w:trPr>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r>
        <w:trPr>
          <w:trHeight w:val="743"/>
        </w:trPr>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r>
        <w:trPr>
          <w:trHeight w:val="743"/>
        </w:trPr>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r>
        <w:trPr>
          <w:trHeight w:val="743"/>
        </w:trPr>
        <w:tc>
          <w:tcPr>
            <w:tcW w:w="4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86"/>
              </w:rPr>
              <w:t>November 16,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376555</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427" w:lineRule="exact"/>
        <w:rPr>
          <w:sz w:val="20"/>
          <w:szCs w:val="20"/>
          <w:color w:val="auto"/>
        </w:rPr>
      </w:pPr>
    </w:p>
    <w:p>
      <w:pPr>
        <w:sectPr>
          <w:pgSz w:w="11900" w:h="16900" w:orient="portrait"/>
          <w:cols w:equalWidth="0" w:num="2">
            <w:col w:w="2940" w:space="720"/>
            <w:col w:w="7760"/>
          </w:cols>
          <w:pgMar w:left="240" w:top="914" w:right="239" w:bottom="0" w:gutter="0" w:footer="0" w:header="0"/>
          <w:type w:val="continuous"/>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80" w:type="dxa"/>
            <w:vAlign w:val="bottom"/>
            <w:gridSpan w:val="4"/>
          </w:tcPr>
          <w:p>
            <w:pPr>
              <w:jc w:val="center"/>
              <w:ind w:right="1652"/>
              <w:spacing w:after="0"/>
              <w:rPr>
                <w:sz w:val="20"/>
                <w:szCs w:val="20"/>
                <w:color w:val="auto"/>
              </w:rPr>
            </w:pPr>
            <w:r>
              <w:rPr>
                <w:rFonts w:ascii="Arial" w:cs="Arial" w:eastAsia="Arial" w:hAnsi="Arial"/>
                <w:sz w:val="18"/>
                <w:szCs w:val="18"/>
                <w:b w:val="1"/>
                <w:bCs w:val="1"/>
                <w:color w:val="auto"/>
                <w:w w:val="99"/>
              </w:rPr>
              <w:t>NORTHERN TECHNOLOGIES INTERNATIONAL CORPORATION</w:t>
            </w: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80" w:type="dxa"/>
            <w:vAlign w:val="bottom"/>
            <w:gridSpan w:val="4"/>
          </w:tcPr>
          <w:p>
            <w:pPr>
              <w:jc w:val="center"/>
              <w:ind w:right="1632"/>
              <w:spacing w:after="0"/>
              <w:rPr>
                <w:sz w:val="20"/>
                <w:szCs w:val="20"/>
                <w:color w:val="auto"/>
              </w:rPr>
            </w:pPr>
            <w:r>
              <w:rPr>
                <w:rFonts w:ascii="Arial" w:cs="Arial" w:eastAsia="Arial" w:hAnsi="Arial"/>
                <w:sz w:val="18"/>
                <w:szCs w:val="18"/>
                <w:b w:val="1"/>
                <w:bCs w:val="1"/>
                <w:color w:val="auto"/>
                <w:w w:val="98"/>
              </w:rPr>
              <w:t>EXHIBIT INDEX TO ANNUAL REPORT ON FORM 10-KSB</w:t>
            </w:r>
          </w:p>
        </w:tc>
      </w:tr>
      <w:tr>
        <w:trPr>
          <w:trHeight w:val="432"/>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00" w:type="dxa"/>
            <w:vAlign w:val="bottom"/>
            <w:gridSpan w:val="3"/>
          </w:tcPr>
          <w:p>
            <w:pPr>
              <w:jc w:val="center"/>
              <w:ind w:left="1752"/>
              <w:spacing w:after="0"/>
              <w:rPr>
                <w:sz w:val="20"/>
                <w:szCs w:val="20"/>
                <w:color w:val="auto"/>
              </w:rPr>
            </w:pPr>
            <w:r>
              <w:rPr>
                <w:rFonts w:ascii="Arial" w:cs="Arial" w:eastAsia="Arial" w:hAnsi="Arial"/>
                <w:sz w:val="18"/>
                <w:szCs w:val="18"/>
                <w:b w:val="1"/>
                <w:bCs w:val="1"/>
                <w:color w:val="auto"/>
                <w:w w:val="95"/>
              </w:rPr>
              <w:t>FOR THE FISCAL YEAR ENDED AUGUST 31, 2007</w:t>
            </w:r>
          </w:p>
        </w:tc>
        <w:tc>
          <w:tcPr>
            <w:tcW w:w="3580" w:type="dxa"/>
            <w:vAlign w:val="bottom"/>
          </w:tcPr>
          <w:p>
            <w:pPr>
              <w:spacing w:after="0"/>
              <w:rPr>
                <w:sz w:val="24"/>
                <w:szCs w:val="24"/>
                <w:color w:val="auto"/>
              </w:rPr>
            </w:pPr>
          </w:p>
        </w:tc>
      </w:tr>
      <w:tr>
        <w:trPr>
          <w:trHeight w:val="460"/>
        </w:trPr>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Item No.</w:t>
            </w:r>
          </w:p>
        </w:tc>
        <w:tc>
          <w:tcPr>
            <w:tcW w:w="58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5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b w:val="1"/>
                <w:bCs w:val="1"/>
                <w:color w:val="auto"/>
                <w:w w:val="89"/>
              </w:rPr>
              <w:t>Method of Filing</w:t>
            </w:r>
          </w:p>
        </w:tc>
      </w:tr>
      <w:tr>
        <w:trPr>
          <w:trHeight w:val="236"/>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shd w:val="clear" w:color="auto" w:fill="C0C0C0"/>
          </w:tcPr>
          <w:p>
            <w:pPr>
              <w:spacing w:after="0"/>
              <w:rPr>
                <w:sz w:val="20"/>
                <w:szCs w:val="20"/>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Restated Certificate of Incorporation of</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Incorporated by reference to Exhibit</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Northern Technologies International</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90"/>
              </w:rPr>
              <w:t>3.1 to NTIC’s Annual Report on Form</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w:t>
            </w:r>
          </w:p>
        </w:tc>
        <w:tc>
          <w:tcPr>
            <w:tcW w:w="1100" w:type="dxa"/>
            <w:vAlign w:val="bottom"/>
            <w:gridSpan w:val="2"/>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10-KSB for the fiscal year ended August</w:t>
            </w: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31, 2006 (File No. 001-11038)</w:t>
            </w: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00" w:type="dxa"/>
            <w:vAlign w:val="bottom"/>
            <w:gridSpan w:val="3"/>
          </w:tcPr>
          <w:p>
            <w:pPr>
              <w:spacing w:after="0"/>
              <w:rPr>
                <w:sz w:val="21"/>
                <w:szCs w:val="21"/>
                <w:color w:val="auto"/>
              </w:rPr>
            </w:pPr>
          </w:p>
        </w:tc>
        <w:tc>
          <w:tcPr>
            <w:tcW w:w="358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3.2</w:t>
            </w:r>
          </w:p>
        </w:tc>
        <w:tc>
          <w:tcPr>
            <w:tcW w:w="580" w:type="dxa"/>
            <w:vAlign w:val="bottom"/>
            <w:shd w:val="clear" w:color="auto" w:fill="C0C0C0"/>
          </w:tcPr>
          <w:p>
            <w:pPr>
              <w:spacing w:after="0"/>
              <w:rPr>
                <w:sz w:val="20"/>
                <w:szCs w:val="20"/>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Amended and Restated Bylaws of Northern</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8"/>
              </w:rPr>
              <w:t>Incorporated by reference to Exhibit 3.1</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Technologies International Corporation</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91"/>
              </w:rPr>
              <w:t>to NTIC’s Quarterly Report on Form</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8"/>
              </w:rPr>
              <w:t>10-QSB for the fiscal quarter ended</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November 30, 2005 (File No. 001-</w:t>
            </w: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5"/>
              </w:rPr>
              <w:t>11038)</w:t>
            </w: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00" w:type="dxa"/>
            <w:vAlign w:val="bottom"/>
            <w:gridSpan w:val="3"/>
          </w:tcPr>
          <w:p>
            <w:pPr>
              <w:spacing w:after="0"/>
              <w:rPr>
                <w:sz w:val="21"/>
                <w:szCs w:val="21"/>
                <w:color w:val="auto"/>
              </w:rPr>
            </w:pPr>
          </w:p>
        </w:tc>
        <w:tc>
          <w:tcPr>
            <w:tcW w:w="358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10.1</w:t>
            </w:r>
          </w:p>
        </w:tc>
        <w:tc>
          <w:tcPr>
            <w:tcW w:w="580" w:type="dxa"/>
            <w:vAlign w:val="bottom"/>
            <w:shd w:val="clear" w:color="auto" w:fill="C0C0C0"/>
          </w:tcPr>
          <w:p>
            <w:pPr>
              <w:spacing w:after="0"/>
              <w:rPr>
                <w:sz w:val="20"/>
                <w:szCs w:val="20"/>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Northern Technologies International</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Incorporated by reference to Exhibit</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Corporation 1994 Stock Incentive Plan</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91"/>
              </w:rPr>
              <w:t>10.3 to NTIC’s Annual Report on Form</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10-KSB for the fiscal year ended August</w:t>
            </w: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31, 1993 (File No. 001-11038)</w:t>
            </w: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100" w:type="dxa"/>
            <w:vAlign w:val="bottom"/>
            <w:gridSpan w:val="3"/>
          </w:tcPr>
          <w:p>
            <w:pPr>
              <w:spacing w:after="0"/>
              <w:rPr>
                <w:sz w:val="21"/>
                <w:szCs w:val="21"/>
                <w:color w:val="auto"/>
              </w:rPr>
            </w:pPr>
          </w:p>
        </w:tc>
        <w:tc>
          <w:tcPr>
            <w:tcW w:w="358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10.2</w:t>
            </w:r>
          </w:p>
        </w:tc>
        <w:tc>
          <w:tcPr>
            <w:tcW w:w="580" w:type="dxa"/>
            <w:vAlign w:val="bottom"/>
            <w:shd w:val="clear" w:color="auto" w:fill="C0C0C0"/>
          </w:tcPr>
          <w:p>
            <w:pPr>
              <w:spacing w:after="0"/>
              <w:rPr>
                <w:sz w:val="20"/>
                <w:szCs w:val="20"/>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Form of Incentive Stock Option Agreement</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Incorporated by reference to Exhibit</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61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for Northern Technologies International</w:t>
            </w: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91"/>
              </w:rPr>
              <w:t>10.1 to NTIC’s Annual Report on Form</w:t>
            </w: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1994 Stock Incentive Plan</w:t>
            </w:r>
          </w:p>
        </w:tc>
        <w:tc>
          <w:tcPr>
            <w:tcW w:w="1100" w:type="dxa"/>
            <w:vAlign w:val="bottom"/>
            <w:gridSpan w:val="2"/>
            <w:shd w:val="clear" w:color="auto" w:fill="C0C0C0"/>
          </w:tcPr>
          <w:p>
            <w:pPr>
              <w:spacing w:after="0"/>
              <w:rPr>
                <w:sz w:val="21"/>
                <w:szCs w:val="21"/>
                <w:color w:val="auto"/>
              </w:rPr>
            </w:pPr>
          </w:p>
        </w:tc>
        <w:tc>
          <w:tcPr>
            <w:tcW w:w="3580" w:type="dxa"/>
            <w:vAlign w:val="bottom"/>
            <w:shd w:val="clear" w:color="auto" w:fill="C0C0C0"/>
          </w:tcPr>
          <w:p>
            <w:pPr>
              <w:jc w:val="center"/>
              <w:ind w:right="492"/>
              <w:spacing w:after="0"/>
              <w:rPr>
                <w:sz w:val="20"/>
                <w:szCs w:val="20"/>
                <w:color w:val="auto"/>
              </w:rPr>
            </w:pPr>
            <w:r>
              <w:rPr>
                <w:rFonts w:ascii="Arial" w:cs="Arial" w:eastAsia="Arial" w:hAnsi="Arial"/>
                <w:sz w:val="18"/>
                <w:szCs w:val="18"/>
                <w:color w:val="auto"/>
                <w:w w:val="89"/>
              </w:rPr>
              <w:t>10-KSB for the fiscal year ended August</w:t>
            </w:r>
          </w:p>
        </w:tc>
      </w:tr>
      <w:tr>
        <w:trPr>
          <w:trHeight w:val="32"/>
        </w:trPr>
        <w:tc>
          <w:tcPr>
            <w:tcW w:w="1160" w:type="dxa"/>
            <w:vAlign w:val="bottom"/>
            <w:shd w:val="clear" w:color="auto" w:fill="C0C0C0"/>
          </w:tcPr>
          <w:p>
            <w:pPr>
              <w:spacing w:after="0"/>
              <w:rPr>
                <w:sz w:val="2"/>
                <w:szCs w:val="2"/>
                <w:color w:val="auto"/>
              </w:rPr>
            </w:pPr>
          </w:p>
        </w:tc>
        <w:tc>
          <w:tcPr>
            <w:tcW w:w="580" w:type="dxa"/>
            <w:vAlign w:val="bottom"/>
            <w:shd w:val="clear" w:color="auto" w:fill="C0C0C0"/>
          </w:tcPr>
          <w:p>
            <w:pPr>
              <w:spacing w:after="0"/>
              <w:rPr>
                <w:sz w:val="2"/>
                <w:szCs w:val="2"/>
                <w:color w:val="auto"/>
              </w:rPr>
            </w:pPr>
          </w:p>
        </w:tc>
        <w:tc>
          <w:tcPr>
            <w:tcW w:w="5000" w:type="dxa"/>
            <w:vAlign w:val="bottom"/>
            <w:shd w:val="clear" w:color="auto" w:fill="C0C0C0"/>
          </w:tcPr>
          <w:p>
            <w:pPr>
              <w:spacing w:after="0"/>
              <w:rPr>
                <w:sz w:val="2"/>
                <w:szCs w:val="2"/>
                <w:color w:val="auto"/>
              </w:rPr>
            </w:pPr>
          </w:p>
        </w:tc>
        <w:tc>
          <w:tcPr>
            <w:tcW w:w="580" w:type="dxa"/>
            <w:vAlign w:val="bottom"/>
            <w:shd w:val="clear" w:color="auto" w:fill="C0C0C0"/>
          </w:tcPr>
          <w:p>
            <w:pPr>
              <w:spacing w:after="0"/>
              <w:rPr>
                <w:sz w:val="2"/>
                <w:szCs w:val="2"/>
                <w:color w:val="auto"/>
              </w:rPr>
            </w:pPr>
          </w:p>
        </w:tc>
        <w:tc>
          <w:tcPr>
            <w:tcW w:w="520" w:type="dxa"/>
            <w:vAlign w:val="bottom"/>
            <w:shd w:val="clear" w:color="auto" w:fill="C0C0C0"/>
          </w:tcPr>
          <w:p>
            <w:pPr>
              <w:spacing w:after="0"/>
              <w:rPr>
                <w:sz w:val="2"/>
                <w:szCs w:val="2"/>
                <w:color w:val="auto"/>
              </w:rPr>
            </w:pPr>
          </w:p>
        </w:tc>
        <w:tc>
          <w:tcPr>
            <w:tcW w:w="3580" w:type="dxa"/>
            <w:vAlign w:val="bottom"/>
            <w:shd w:val="clear" w:color="auto" w:fill="C0C0C0"/>
          </w:tcPr>
          <w:p>
            <w:pPr>
              <w:spacing w:after="0"/>
              <w:rPr>
                <w:sz w:val="2"/>
                <w:szCs w:val="2"/>
                <w:color w:val="auto"/>
              </w:rPr>
            </w:pPr>
          </w:p>
        </w:tc>
      </w:tr>
    </w:tbl>
    <w:p>
      <w:pPr>
        <w:sectPr>
          <w:pgSz w:w="11900" w:h="16900" w:orient="portrait"/>
          <w:cols w:equalWidth="0" w:num="1">
            <w:col w:w="11420"/>
          </w:cols>
          <w:pgMar w:left="240" w:top="914" w:right="239" w:bottom="0" w:gutter="0" w:footer="0" w:header="0"/>
          <w:type w:val="continuous"/>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1993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10.3</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Form of Non-Qualified Stock Option</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Agreement for Northern Technologies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10.2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1994 Stock</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1993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10.4</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Northern Technologies International</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2000 Stock 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10.4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2000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10.5</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Form of Incentive Stock Option Agreement</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 Northern Technologies International</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10.5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2000 Stock 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2000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10.6</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Form of Non-Qualified Stock Option</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Agreement for Northern Technologies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10.6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2000 Stock</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2000 (File No. 001-11038)</w:t>
            </w:r>
          </w:p>
        </w:tc>
        <w:tc>
          <w:tcPr>
            <w:tcW w:w="20" w:type="dxa"/>
            <w:vAlign w:val="bottom"/>
          </w:tcPr>
          <w:p>
            <w:pPr>
              <w:spacing w:after="0"/>
              <w:rPr>
                <w:sz w:val="21"/>
                <w:szCs w:val="21"/>
                <w:color w:val="auto"/>
              </w:rPr>
            </w:pPr>
          </w:p>
        </w:tc>
      </w:tr>
      <w:tr>
        <w:trPr>
          <w:trHeight w:val="361"/>
        </w:trPr>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590"/>
        </w:trPr>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Item No.</w:t>
            </w:r>
          </w:p>
        </w:tc>
        <w:tc>
          <w:tcPr>
            <w:tcW w:w="58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5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Method of Filing</w:t>
            </w:r>
          </w:p>
        </w:tc>
        <w:tc>
          <w:tcPr>
            <w:tcW w:w="20" w:type="dxa"/>
            <w:vAlign w:val="bottom"/>
          </w:tcPr>
          <w:p>
            <w:pPr>
              <w:spacing w:after="0"/>
              <w:rPr>
                <w:sz w:val="24"/>
                <w:szCs w:val="24"/>
                <w:color w:val="auto"/>
              </w:rPr>
            </w:pPr>
          </w:p>
        </w:tc>
      </w:tr>
      <w:tr>
        <w:trPr>
          <w:trHeight w:val="236"/>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10.7</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Northern Technologies International</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2007 Stock 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10.7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10.8</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Form of Incentive Stock Option Agreement</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 Northern Technologies International</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10.8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2007 Stock 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10.9</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Form of Non-Statutory Stock Option</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Agreement for Northern Technologies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10.9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2007 Stock</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10.10</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Form of Restricted Stock Agreement for</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Northern Technologies International</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10.10 to NTIC’s Annual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2007 Stock Incentive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Form 10-KSB for the fiscal year ended</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August 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10.11</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Northern Technologies International</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Employee Stock Purchase Plan</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10.11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10.12</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Consulting Agreement dated as of May 1,</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2006 between Northern Technologies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10.1 to NTIC’s Current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and Emeritushnic</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8-K as filed with the Securities and</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Facilities Company, Inc.</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Exchange Commission on May 22,</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10.13</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Description of Non-Employee Director</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Filed herewith</w:t>
            </w:r>
          </w:p>
        </w:tc>
        <w:tc>
          <w:tcPr>
            <w:tcW w:w="20" w:type="dxa"/>
            <w:vAlign w:val="bottom"/>
          </w:tcPr>
          <w:p>
            <w:pPr>
              <w:spacing w:after="0"/>
              <w:rPr>
                <w:sz w:val="20"/>
                <w:szCs w:val="20"/>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Compensation Arrangements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10.14</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Description of Executive Officer</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Filed herewith</w:t>
            </w:r>
          </w:p>
        </w:tc>
        <w:tc>
          <w:tcPr>
            <w:tcW w:w="20" w:type="dxa"/>
            <w:vAlign w:val="bottom"/>
          </w:tcPr>
          <w:p>
            <w:pPr>
              <w:spacing w:after="0"/>
              <w:rPr>
                <w:sz w:val="20"/>
                <w:szCs w:val="20"/>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Compensation Arrangements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10.15</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Commercial Note: Revolving Credit dated</w:t>
            </w:r>
          </w:p>
        </w:tc>
        <w:tc>
          <w:tcPr>
            <w:tcW w:w="580" w:type="dxa"/>
            <w:vAlign w:val="bottom"/>
            <w:shd w:val="clear" w:color="auto" w:fill="C0C0C0"/>
          </w:tcPr>
          <w:p>
            <w:pPr>
              <w:spacing w:after="0"/>
              <w:rPr>
                <w:sz w:val="20"/>
                <w:szCs w:val="20"/>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August 6, 2004 by Northern Technologies</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10.1 to NTIC’s Quarterly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payable to National</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Form 10-QSB for the fiscal quarter</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City Bank</w:t>
            </w: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ended May 31, 2005</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41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-6881495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-6881495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0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39" w:name="page40"/>
    <w:bookmarkEnd w:id="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10.16</w:t>
            </w: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Commercial Note Addendum dated August 6,</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1"/>
                <w:szCs w:val="21"/>
                <w:color w:val="auto"/>
              </w:rPr>
            </w:pPr>
          </w:p>
        </w:tc>
      </w:tr>
      <w:tr>
        <w:trPr>
          <w:trHeight w:val="242"/>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2004 between Northern Technologies</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10.2 to NTIC’s Quarterly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and National City</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Form 10-QSB for the fiscal quarter</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7"/>
              </w:rPr>
              <w:t>ended May 31, 2005</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r>
        <w:trPr>
          <w:trHeight w:val="361"/>
        </w:trPr>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590"/>
        </w:trPr>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Item No.</w:t>
            </w:r>
          </w:p>
        </w:tc>
        <w:tc>
          <w:tcPr>
            <w:tcW w:w="58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9"/>
              </w:rPr>
              <w:t>Method of Filing</w:t>
            </w:r>
          </w:p>
        </w:tc>
        <w:tc>
          <w:tcPr>
            <w:tcW w:w="20" w:type="dxa"/>
            <w:vAlign w:val="bottom"/>
          </w:tcPr>
          <w:p>
            <w:pPr>
              <w:spacing w:after="0"/>
              <w:rPr>
                <w:sz w:val="24"/>
                <w:szCs w:val="24"/>
                <w:color w:val="auto"/>
              </w:rPr>
            </w:pPr>
          </w:p>
        </w:tc>
      </w:tr>
      <w:tr>
        <w:trPr>
          <w:trHeight w:val="236"/>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10.17</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Security Agreement dated August 6, 2004</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between Northern Technologies International</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10.3 to NTIC’s Quarterly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Corporation and National City 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Form 10-QSB for the fiscal quarter</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7"/>
              </w:rPr>
              <w:t>ended May 31, 2005</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10.18</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Modification and Extension of Promissory</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Note dated March 2, 2005 between Northern</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10.4 to NTIC’s Quarterly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Technologies International Corporation and</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Form 10-QSB for the fiscal quarter</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National City 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7"/>
              </w:rPr>
              <w:t>ended May 31, 2005</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10.19</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Promissory Note Modification Agreement</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dated January 30, 2006 between Northern</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10.18 to NTIC’s Annual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Technologies International Corporation and</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9"/>
              </w:rPr>
              <w:t>Form 10-KSB for the fiscal year ended</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National City 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9"/>
              </w:rPr>
              <w:t>August 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10.20</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Promissory Note Modification Agreement</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dated August 24, 2006 between Northern</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0"/>
              </w:rPr>
              <w:t>10.19 to NTIC’s Annual Report on</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Technologies International Corporation and</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9"/>
              </w:rPr>
              <w:t>Form 10-KSB for the fiscal year ended</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National City 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9"/>
              </w:rPr>
              <w:t>August 31, 2006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10.21</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Commercial Note dated as of May 3, 2006</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issued by Northern Technologies Holding</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10.6 to NTIC’s Current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Company, LLC to National City 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8-K as filed with the Securities and</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8"/>
              </w:rPr>
              <w:t>Exchange Commission on May 9, 2006</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10.22</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Mortgage dated as of May 3, 2006 between</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Northern Technologies Holding Company,</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10.7 to NTIC’s Current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LLC and National City Bank</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8-K as filed with the Securities and</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8"/>
              </w:rPr>
              <w:t>Exchange Commission on May 9, 2006</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10.23</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Commercial Guaranty dated as of May 3,</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2006 issued by Northern Technologies</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10.8 to NTIC’s Current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International Corporation, as Guarantor</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8-K as filed with the Securities and</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292"/>
              <w:spacing w:after="0"/>
              <w:rPr>
                <w:sz w:val="20"/>
                <w:szCs w:val="20"/>
                <w:color w:val="auto"/>
              </w:rPr>
            </w:pPr>
            <w:r>
              <w:rPr>
                <w:rFonts w:ascii="Arial" w:cs="Arial" w:eastAsia="Arial" w:hAnsi="Arial"/>
                <w:sz w:val="18"/>
                <w:szCs w:val="18"/>
                <w:color w:val="auto"/>
                <w:w w:val="88"/>
              </w:rPr>
              <w:t>Exchange Commission on May 9, 2006</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14.1</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Code of Ethics</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Incorporated by reference to Exhibit</w:t>
            </w: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91"/>
              </w:rPr>
              <w:t>14.1 to NTIC’s Annual Report on Form</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10-KSB for the fiscal year ended August</w:t>
            </w: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31, 2004 (File No. 001-11038)</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21.1</w:t>
            </w: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Subsidiaries of the Registrant</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Filed herewith</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23.1</w:t>
            </w: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Consent of Virchow, Krause &amp; Company, LLP</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ind w:right="312"/>
              <w:spacing w:after="0"/>
              <w:rPr>
                <w:sz w:val="20"/>
                <w:szCs w:val="20"/>
                <w:color w:val="auto"/>
              </w:rPr>
            </w:pPr>
            <w:r>
              <w:rPr>
                <w:rFonts w:ascii="Arial" w:cs="Arial" w:eastAsia="Arial" w:hAnsi="Arial"/>
                <w:sz w:val="18"/>
                <w:szCs w:val="18"/>
                <w:color w:val="auto"/>
                <w:w w:val="89"/>
              </w:rPr>
              <w:t>Filed herewith</w:t>
            </w:r>
          </w:p>
        </w:tc>
        <w:tc>
          <w:tcPr>
            <w:tcW w:w="20" w:type="dxa"/>
            <w:vAlign w:val="bottom"/>
          </w:tcPr>
          <w:p>
            <w:pPr>
              <w:spacing w:after="0"/>
              <w:rPr>
                <w:sz w:val="21"/>
                <w:szCs w:val="21"/>
                <w:color w:val="auto"/>
              </w:rPr>
            </w:pPr>
          </w:p>
        </w:tc>
      </w:tr>
      <w:tr>
        <w:trPr>
          <w:trHeight w:val="361"/>
        </w:trPr>
        <w:tc>
          <w:tcPr>
            <w:tcW w:w="1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590"/>
        </w:trPr>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Item No.</w:t>
            </w:r>
          </w:p>
        </w:tc>
        <w:tc>
          <w:tcPr>
            <w:tcW w:w="580" w:type="dxa"/>
            <w:vAlign w:val="bottom"/>
          </w:tcPr>
          <w:p>
            <w:pPr>
              <w:spacing w:after="0"/>
              <w:rPr>
                <w:sz w:val="24"/>
                <w:szCs w:val="24"/>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c>
          <w:tcPr>
            <w:tcW w:w="20" w:type="dxa"/>
            <w:vAlign w:val="bottom"/>
          </w:tcPr>
          <w:p>
            <w:pPr>
              <w:spacing w:after="0"/>
              <w:rPr>
                <w:sz w:val="24"/>
                <w:szCs w:val="24"/>
                <w:color w:val="auto"/>
              </w:rPr>
            </w:pPr>
          </w:p>
        </w:tc>
      </w:tr>
      <w:tr>
        <w:trPr>
          <w:trHeight w:val="236"/>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31.1</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Certification of President and Chief Executive</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Officer Pursuant to SEC Rule 13a-14(a), as</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Filed herewith</w:t>
            </w:r>
          </w:p>
        </w:tc>
        <w:tc>
          <w:tcPr>
            <w:tcW w:w="20" w:type="dxa"/>
            <w:vAlign w:val="bottom"/>
          </w:tcPr>
          <w:p>
            <w:pPr>
              <w:spacing w:after="0"/>
              <w:rPr>
                <w:sz w:val="21"/>
                <w:szCs w:val="21"/>
                <w:color w:val="auto"/>
              </w:rPr>
            </w:pPr>
          </w:p>
        </w:tc>
      </w:tr>
      <w:tr>
        <w:trPr>
          <w:trHeight w:val="243"/>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adopted pursuant to Section 302 of the</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Sarbanes-Oxley Act of 2002</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1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31.2</w:t>
            </w:r>
          </w:p>
        </w:tc>
        <w:tc>
          <w:tcPr>
            <w:tcW w:w="580" w:type="dxa"/>
            <w:vAlign w:val="bottom"/>
            <w:shd w:val="clear" w:color="auto" w:fill="C0C0C0"/>
          </w:tcPr>
          <w:p>
            <w:pPr>
              <w:spacing w:after="0"/>
              <w:rPr>
                <w:sz w:val="20"/>
                <w:szCs w:val="20"/>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Certification of Chief Financial Officer</w:t>
            </w: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1"/>
              </w:rPr>
              <w:t>Filed herewith</w:t>
            </w:r>
          </w:p>
        </w:tc>
        <w:tc>
          <w:tcPr>
            <w:tcW w:w="20" w:type="dxa"/>
            <w:vAlign w:val="bottom"/>
          </w:tcPr>
          <w:p>
            <w:pPr>
              <w:spacing w:after="0"/>
              <w:rPr>
                <w:sz w:val="20"/>
                <w:szCs w:val="20"/>
                <w:color w:val="auto"/>
              </w:rPr>
            </w:pPr>
          </w:p>
        </w:tc>
      </w:tr>
      <w:tr>
        <w:trPr>
          <w:trHeight w:val="248"/>
        </w:trPr>
        <w:tc>
          <w:tcPr>
            <w:tcW w:w="11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Pursuant to SEC Rule 13a-14(a), as adopted</w:t>
            </w:r>
          </w:p>
        </w:tc>
        <w:tc>
          <w:tcPr>
            <w:tcW w:w="3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-9516110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-9516110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-1480185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-1480185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40" w:name="page41"/>
    <w:bookmarkEnd w:id="40"/>
    <w:p>
      <w:pPr>
        <w:ind w:left="1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t>pursuant to Section 302 of the Sarbanes-Oxley</w:t>
      </w:r>
    </w:p>
    <w:p>
      <w:pPr>
        <w:spacing w:after="0" w:line="3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Act of 2002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50" w:type="dxa"/>
            <w:vAlign w:val="bottom"/>
            <w:shd w:val="clear" w:color="auto" w:fill="C0C0C0"/>
          </w:tcPr>
          <w:p>
            <w:pPr>
              <w:jc w:val="right"/>
              <w:ind w:right="662"/>
              <w:spacing w:after="0"/>
              <w:rPr>
                <w:sz w:val="20"/>
                <w:szCs w:val="20"/>
                <w:color w:val="auto"/>
              </w:rPr>
            </w:pPr>
            <w:r>
              <w:rPr>
                <w:rFonts w:ascii="Arial" w:cs="Arial" w:eastAsia="Arial" w:hAnsi="Arial"/>
                <w:sz w:val="18"/>
                <w:szCs w:val="18"/>
                <w:color w:val="auto"/>
              </w:rPr>
              <w:t>32.1</w:t>
            </w: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Certification of President and Chief Executive</w:t>
            </w:r>
          </w:p>
        </w:tc>
        <w:tc>
          <w:tcPr>
            <w:tcW w:w="4320" w:type="dxa"/>
            <w:vAlign w:val="bottom"/>
            <w:shd w:val="clear" w:color="auto" w:fill="C0C0C0"/>
          </w:tcPr>
          <w:p>
            <w:pPr>
              <w:ind w:left="1740"/>
              <w:spacing w:after="0"/>
              <w:rPr>
                <w:sz w:val="20"/>
                <w:szCs w:val="20"/>
                <w:color w:val="auto"/>
              </w:rPr>
            </w:pPr>
            <w:r>
              <w:rPr>
                <w:rFonts w:ascii="Arial" w:cs="Arial" w:eastAsia="Arial" w:hAnsi="Arial"/>
                <w:sz w:val="18"/>
                <w:szCs w:val="18"/>
                <w:color w:val="auto"/>
              </w:rPr>
              <w:t>Furnished herewith</w:t>
            </w:r>
          </w:p>
        </w:tc>
        <w:tc>
          <w:tcPr>
            <w:tcW w:w="20" w:type="dxa"/>
            <w:vAlign w:val="bottom"/>
          </w:tcPr>
          <w:p>
            <w:pPr>
              <w:spacing w:after="0"/>
              <w:rPr>
                <w:sz w:val="21"/>
                <w:szCs w:val="21"/>
                <w:color w:val="auto"/>
              </w:rPr>
            </w:pPr>
          </w:p>
        </w:tc>
      </w:tr>
      <w:tr>
        <w:trPr>
          <w:trHeight w:val="242"/>
        </w:trPr>
        <w:tc>
          <w:tcPr>
            <w:tcW w:w="1450" w:type="dxa"/>
            <w:vAlign w:val="bottom"/>
            <w:shd w:val="clear" w:color="auto" w:fill="C0C0C0"/>
          </w:tcPr>
          <w:p>
            <w:pPr>
              <w:spacing w:after="0"/>
              <w:rPr>
                <w:sz w:val="21"/>
                <w:szCs w:val="21"/>
                <w:color w:val="auto"/>
              </w:rPr>
            </w:pP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Officer Pursuant to Rule 18 U.S.C. Section</w:t>
            </w:r>
          </w:p>
        </w:tc>
        <w:tc>
          <w:tcPr>
            <w:tcW w:w="43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450" w:type="dxa"/>
            <w:vAlign w:val="bottom"/>
            <w:shd w:val="clear" w:color="auto" w:fill="C0C0C0"/>
          </w:tcPr>
          <w:p>
            <w:pPr>
              <w:spacing w:after="0"/>
              <w:rPr>
                <w:sz w:val="21"/>
                <w:szCs w:val="21"/>
                <w:color w:val="auto"/>
              </w:rPr>
            </w:pP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1350, as adopted pursuant to Section 906 of</w:t>
            </w:r>
          </w:p>
        </w:tc>
        <w:tc>
          <w:tcPr>
            <w:tcW w:w="43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1450" w:type="dxa"/>
            <w:vAlign w:val="bottom"/>
            <w:shd w:val="clear" w:color="auto" w:fill="C0C0C0"/>
          </w:tcPr>
          <w:p>
            <w:pPr>
              <w:spacing w:after="0"/>
              <w:rPr>
                <w:sz w:val="21"/>
                <w:szCs w:val="21"/>
                <w:color w:val="auto"/>
              </w:rPr>
            </w:pP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the Sarbanes-Oxley Act of 2002</w:t>
            </w:r>
          </w:p>
        </w:tc>
        <w:tc>
          <w:tcPr>
            <w:tcW w:w="43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450" w:type="dxa"/>
            <w:vAlign w:val="bottom"/>
          </w:tcPr>
          <w:p>
            <w:pPr>
              <w:spacing w:after="0"/>
              <w:rPr>
                <w:sz w:val="21"/>
                <w:szCs w:val="21"/>
                <w:color w:val="auto"/>
              </w:rPr>
            </w:pPr>
          </w:p>
        </w:tc>
        <w:tc>
          <w:tcPr>
            <w:tcW w:w="565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1450" w:type="dxa"/>
            <w:vAlign w:val="bottom"/>
            <w:shd w:val="clear" w:color="auto" w:fill="C0C0C0"/>
          </w:tcPr>
          <w:p>
            <w:pPr>
              <w:jc w:val="right"/>
              <w:ind w:right="662"/>
              <w:spacing w:after="0"/>
              <w:rPr>
                <w:sz w:val="20"/>
                <w:szCs w:val="20"/>
                <w:color w:val="auto"/>
              </w:rPr>
            </w:pPr>
            <w:r>
              <w:rPr>
                <w:rFonts w:ascii="Arial" w:cs="Arial" w:eastAsia="Arial" w:hAnsi="Arial"/>
                <w:sz w:val="18"/>
                <w:szCs w:val="18"/>
                <w:color w:val="auto"/>
              </w:rPr>
              <w:t>32.2</w:t>
            </w: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Certification of Chief Financial Officer</w:t>
            </w:r>
          </w:p>
        </w:tc>
        <w:tc>
          <w:tcPr>
            <w:tcW w:w="4320" w:type="dxa"/>
            <w:vAlign w:val="bottom"/>
            <w:shd w:val="clear" w:color="auto" w:fill="C0C0C0"/>
          </w:tcPr>
          <w:p>
            <w:pPr>
              <w:ind w:left="1740"/>
              <w:spacing w:after="0"/>
              <w:rPr>
                <w:sz w:val="20"/>
                <w:szCs w:val="20"/>
                <w:color w:val="auto"/>
              </w:rPr>
            </w:pPr>
            <w:r>
              <w:rPr>
                <w:rFonts w:ascii="Arial" w:cs="Arial" w:eastAsia="Arial" w:hAnsi="Arial"/>
                <w:sz w:val="18"/>
                <w:szCs w:val="18"/>
                <w:color w:val="auto"/>
              </w:rPr>
              <w:t>Furnished herewith</w:t>
            </w:r>
          </w:p>
        </w:tc>
        <w:tc>
          <w:tcPr>
            <w:tcW w:w="20" w:type="dxa"/>
            <w:vAlign w:val="bottom"/>
          </w:tcPr>
          <w:p>
            <w:pPr>
              <w:spacing w:after="0"/>
              <w:rPr>
                <w:sz w:val="20"/>
                <w:szCs w:val="20"/>
                <w:color w:val="auto"/>
              </w:rPr>
            </w:pPr>
          </w:p>
        </w:tc>
      </w:tr>
      <w:tr>
        <w:trPr>
          <w:trHeight w:val="243"/>
        </w:trPr>
        <w:tc>
          <w:tcPr>
            <w:tcW w:w="1450" w:type="dxa"/>
            <w:vAlign w:val="bottom"/>
            <w:shd w:val="clear" w:color="auto" w:fill="C0C0C0"/>
          </w:tcPr>
          <w:p>
            <w:pPr>
              <w:spacing w:after="0"/>
              <w:rPr>
                <w:sz w:val="21"/>
                <w:szCs w:val="21"/>
                <w:color w:val="auto"/>
              </w:rPr>
            </w:pP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Pursuant to Rule 18 U.S.C. Section 1350, as</w:t>
            </w:r>
          </w:p>
        </w:tc>
        <w:tc>
          <w:tcPr>
            <w:tcW w:w="43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450" w:type="dxa"/>
            <w:vAlign w:val="bottom"/>
            <w:shd w:val="clear" w:color="auto" w:fill="C0C0C0"/>
          </w:tcPr>
          <w:p>
            <w:pPr>
              <w:spacing w:after="0"/>
              <w:rPr>
                <w:sz w:val="21"/>
                <w:szCs w:val="21"/>
                <w:color w:val="auto"/>
              </w:rPr>
            </w:pP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adopted pursuant to Section 906 of the</w:t>
            </w:r>
          </w:p>
        </w:tc>
        <w:tc>
          <w:tcPr>
            <w:tcW w:w="43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1450" w:type="dxa"/>
            <w:vAlign w:val="bottom"/>
            <w:shd w:val="clear" w:color="auto" w:fill="C0C0C0"/>
          </w:tcPr>
          <w:p>
            <w:pPr>
              <w:spacing w:after="0"/>
              <w:rPr>
                <w:sz w:val="21"/>
                <w:szCs w:val="21"/>
                <w:color w:val="auto"/>
              </w:rPr>
            </w:pPr>
          </w:p>
        </w:tc>
        <w:tc>
          <w:tcPr>
            <w:tcW w:w="5650" w:type="dxa"/>
            <w:vAlign w:val="bottom"/>
            <w:shd w:val="clear" w:color="auto" w:fill="C0C0C0"/>
          </w:tcPr>
          <w:p>
            <w:pPr>
              <w:ind w:left="290"/>
              <w:spacing w:after="0"/>
              <w:rPr>
                <w:sz w:val="20"/>
                <w:szCs w:val="20"/>
                <w:color w:val="auto"/>
              </w:rPr>
            </w:pPr>
            <w:r>
              <w:rPr>
                <w:rFonts w:ascii="Arial" w:cs="Arial" w:eastAsia="Arial" w:hAnsi="Arial"/>
                <w:sz w:val="18"/>
                <w:szCs w:val="18"/>
                <w:color w:val="auto"/>
              </w:rPr>
              <w:t>Sarbanes-Oxley Act of 2002</w:t>
            </w:r>
          </w:p>
        </w:tc>
        <w:tc>
          <w:tcPr>
            <w:tcW w:w="43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61"/>
        </w:trPr>
        <w:tc>
          <w:tcPr>
            <w:tcW w:w="1450" w:type="dxa"/>
            <w:vAlign w:val="bottom"/>
            <w:tcBorders>
              <w:bottom w:val="single" w:sz="8" w:color="808080"/>
            </w:tcBorders>
          </w:tcPr>
          <w:p>
            <w:pPr>
              <w:spacing w:after="0"/>
              <w:rPr>
                <w:sz w:val="24"/>
                <w:szCs w:val="24"/>
                <w:color w:val="auto"/>
              </w:rPr>
            </w:pPr>
          </w:p>
        </w:tc>
        <w:tc>
          <w:tcPr>
            <w:tcW w:w="565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58" w:right="2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NTIC’s non-employee directors currently consist of Pierre Chenu, Dr. Sunggyu Lee, Mark M. Mayers, Dr. Ramani Narayan, Dr. Barry Rosenbaum and Mark J. Stone. We use a combination of cash and long-term equity-based incentive compensation in the form of annual stock option grants to attract and retain qualified candidates to serve on the Board of Directors.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2007, the Board of Directors, upon recommendation of the Nominating and Corporate Governance Committee, approved increases in certain meeting fees, additional Chairman of the Board and Audit Committee retainers and increased automatic stock option grants as described in more detail below. With the exception of the increased automatic stock option grants, which will be effective commencing September 1, 2008, the other non-employee director compensation changes will be effective commencing January 28,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person who was a non-employee director for all of fiscal 2007 and the Chairman of the Board received an annual retainer of $10,000 in fiscal 2007 for services rendered as a director of NTIC. The annual retainer is paid quarterly. Each person who was a non-employee director for a portion of fiscal 2007 received a prorated portion of such annual retainer. Each of our non-employee directors also received $1,000 for each Board meeting attended and $500 for each Audit Committee, Compensation Committee and Nominating and Corporate Governance Committee meeting attended. Any director that is an employee of NTIC (Mr. Lynch and Dr. Kubik) does not receive any retainer or Board or Committee meeting fees.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Commencing January 28, 2008, the Chairman of the Board will receive an additional annual retainer of $25,000, the Chair of the Audit Committee will receive an additional annual retainer of $5,000 and other members of the Audit Committee will receive an additional retainer of $4,000. In addition, commencing January 28, 2008, each of our non-employee directors will receive $1,000 for each strategy review meeting attended in addition to Board meetings and the fee to be paid for attendance at each Audit Committee, Compensation Committee and Nominating and Corporate Governance Committee meeting will be increased from $500 to $1,000. No director, however, will earn more than $1,000 per day in Board, Board committee and strategy review meeting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past several years, each of our non-employee directors have been automatically granted a five-year non-qualified option to purchase 2,000 shares of our common stock on the first day of each fiscal year in consideration for their services as directors of NTIC. Non-employee directors who were elected or appointed to the Board following the first day of our fiscal year received an automatic grant of an option to purchase a pro rata portion of 2,000 shares of our common stock calculated by dividing the number of months remaining in the fiscal year at the time of election or appointment divided by 12, which options were automatically granted at the time of their election or appointment. Each automatically granted option becomes exercisable, on a cumulative basis, with respect to one-third of the shares covered by such option on each one-year anniversary of the date of its grant. The exercise price of such option is equal to the fair market value of a share of our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Prior to January 23, 2007, such options were granted under the terms of the Northern Technologies International Corporation 2000 Stock Incentive Plan. After January 23, 2007 and the adoption by our stockholders of the Northern Technologies International Corporation 2007 Stock Incentive Plan, such options were granted under the 2007 plan and standing resolutions of the Board of Directors providing for such automatic grants.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Commencing on September 1, 2008, each of our non-employee directors will be automatically granted a five-year non-qualified option to purchase 4,000 shares of our common stock on the first day of each fiscal year in consideration for their services as directors of NTIC and the Chairman of the Board will be automatically granted an additional five-year non-qualified option to purchase 2,000 shares of our common stock on the first day of each fiscal year in consideration for his services as Chairman.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All of our directors are reimbursed for travel expenses for attending meetings and other miscellaneous expenses incurred in performing their Board functions.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paid consulting fees to Bioplastic Polymers LLC which is owned by Dr. Ramani Narayan in the aggregate amount of $100,000 during the fiscal year ended August 31, 2007. We paid consulting fees to Dr. Sunggyu Lee in the aggregate amount of $50,000 during the fiscal year ended August 31, 2007. The consulting services rendered by Drs. Narayan and Lee related to research and development associated with various new technologies. Our consulting relationship with Dr. Lee was terminated in May 2007.</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an oral agreement with Bioplastic Polymers LLC which is owned by Dr. Narayan, and Dr. Narayan pursuant to which we have agreed to pay Bioplastic Polymers LLC and Dr. Narayan in consideration of the transfer and assignment by Biopolymer Plastics LLC and Dr. Narayan of certain biodegradable polymer technology to us, three percent of the gross margin on any net sales of products incorporating the biodegradable polymer technology transferred to us by Bioplastic Polymers LLC and Dr. Narayan for a period of 10 years, provided that if a patent for or with respect to biodegradable polymer technology is issued before the expiration of such 10 year period, then we will until the expiration of such patent pay to Bioplastic Polymers LLC and Dr. Narayan three percent of the biodegradable polymer technology gross margin attributable to such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163"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oral compensation arrangements between Northern Technologies International Corporation and each of the executive officers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NTIC as of August 31, 2007:</w:t>
      </w:r>
    </w:p>
    <w:p>
      <w:pPr>
        <w:spacing w:after="0" w:line="207" w:lineRule="exact"/>
        <w:rPr>
          <w:sz w:val="20"/>
          <w:szCs w:val="20"/>
          <w:color w:val="auto"/>
        </w:rPr>
      </w:pPr>
    </w:p>
    <w:tbl>
      <w:tblPr>
        <w:tblLayout w:type="fixed"/>
        <w:tblInd w:w="130" w:type="dxa"/>
        <w:tblCellMar>
          <w:top w:w="0" w:type="dxa"/>
          <w:left w:w="0" w:type="dxa"/>
          <w:bottom w:w="0" w:type="dxa"/>
          <w:right w:w="0" w:type="dxa"/>
        </w:tblCellMar>
      </w:tblPr>
      <w:tr>
        <w:trPr>
          <w:trHeight w:val="255"/>
        </w:trPr>
        <w:tc>
          <w:tcPr>
            <w:tcW w:w="126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Name of</w:t>
            </w:r>
          </w:p>
        </w:tc>
        <w:tc>
          <w:tcPr>
            <w:tcW w:w="2040" w:type="dxa"/>
            <w:vAlign w:val="bottom"/>
            <w:tcBorders>
              <w:top w:val="single" w:sz="8" w:color="auto"/>
              <w:right w:val="single" w:sz="8" w:color="auto"/>
            </w:tcBorders>
            <w:shd w:val="clear" w:color="auto" w:fill="C0C0C0"/>
          </w:tcPr>
          <w:p>
            <w:pPr>
              <w:spacing w:after="0"/>
              <w:rPr>
                <w:sz w:val="22"/>
                <w:szCs w:val="22"/>
                <w:color w:val="auto"/>
              </w:rPr>
            </w:pPr>
          </w:p>
        </w:tc>
        <w:tc>
          <w:tcPr>
            <w:tcW w:w="15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78"/>
              </w:rPr>
              <w:t>Base</w:t>
            </w:r>
          </w:p>
        </w:tc>
        <w:tc>
          <w:tcPr>
            <w:tcW w:w="1800" w:type="dxa"/>
            <w:vAlign w:val="bottom"/>
            <w:tcBorders>
              <w:top w:val="single" w:sz="8" w:color="auto"/>
              <w:right w:val="single" w:sz="8" w:color="auto"/>
            </w:tcBorders>
            <w:shd w:val="clear" w:color="auto" w:fill="C0C0C0"/>
          </w:tcPr>
          <w:p>
            <w:pPr>
              <w:ind w:left="640"/>
              <w:spacing w:after="0"/>
              <w:rPr>
                <w:sz w:val="20"/>
                <w:szCs w:val="20"/>
                <w:color w:val="auto"/>
              </w:rPr>
            </w:pPr>
            <w:r>
              <w:rPr>
                <w:rFonts w:ascii="Arial" w:cs="Arial" w:eastAsia="Arial" w:hAnsi="Arial"/>
                <w:sz w:val="18"/>
                <w:szCs w:val="18"/>
                <w:b w:val="1"/>
                <w:bCs w:val="1"/>
                <w:color w:val="auto"/>
              </w:rPr>
              <w:t>Bonus</w:t>
            </w:r>
          </w:p>
        </w:tc>
        <w:tc>
          <w:tcPr>
            <w:tcW w:w="1460" w:type="dxa"/>
            <w:vAlign w:val="bottom"/>
            <w:tcBorders>
              <w:top w:val="single" w:sz="8" w:color="auto"/>
              <w:right w:val="single" w:sz="8" w:color="auto"/>
            </w:tcBorders>
            <w:shd w:val="clear" w:color="auto" w:fill="C0C0C0"/>
          </w:tcPr>
          <w:p>
            <w:pPr>
              <w:ind w:left="480"/>
              <w:spacing w:after="0"/>
              <w:rPr>
                <w:sz w:val="20"/>
                <w:szCs w:val="20"/>
                <w:color w:val="auto"/>
              </w:rPr>
            </w:pPr>
            <w:r>
              <w:rPr>
                <w:rFonts w:ascii="Arial" w:cs="Arial" w:eastAsia="Arial" w:hAnsi="Arial"/>
                <w:sz w:val="18"/>
                <w:szCs w:val="18"/>
                <w:b w:val="1"/>
                <w:bCs w:val="1"/>
                <w:color w:val="auto"/>
              </w:rPr>
              <w:t>Stock</w:t>
            </w:r>
          </w:p>
        </w:tc>
        <w:tc>
          <w:tcPr>
            <w:tcW w:w="3060" w:type="dxa"/>
            <w:vAlign w:val="bottom"/>
            <w:tcBorders>
              <w:top w:val="single" w:sz="8" w:color="auto"/>
              <w:right w:val="single" w:sz="8" w:color="auto"/>
            </w:tcBorders>
            <w:shd w:val="clear" w:color="auto" w:fill="C0C0C0"/>
          </w:tcPr>
          <w:p>
            <w:pPr>
              <w:spacing w:after="0"/>
              <w:rPr>
                <w:sz w:val="22"/>
                <w:szCs w:val="22"/>
                <w:color w:val="auto"/>
              </w:rPr>
            </w:pPr>
          </w:p>
        </w:tc>
      </w:tr>
      <w:tr>
        <w:trPr>
          <w:trHeight w:val="243"/>
        </w:trPr>
        <w:tc>
          <w:tcPr>
            <w:tcW w:w="1260" w:type="dxa"/>
            <w:vAlign w:val="bottom"/>
            <w:tcBorders>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Executive</w:t>
            </w:r>
          </w:p>
        </w:tc>
        <w:tc>
          <w:tcPr>
            <w:tcW w:w="2040" w:type="dxa"/>
            <w:vAlign w:val="bottom"/>
            <w:tcBorders>
              <w:right w:val="single" w:sz="8" w:color="auto"/>
            </w:tcBorders>
            <w:shd w:val="clear" w:color="auto" w:fill="C0C0C0"/>
          </w:tcPr>
          <w:p>
            <w:pPr>
              <w:ind w:left="800"/>
              <w:spacing w:after="0"/>
              <w:rPr>
                <w:sz w:val="20"/>
                <w:szCs w:val="20"/>
                <w:color w:val="auto"/>
              </w:rPr>
            </w:pPr>
            <w:r>
              <w:rPr>
                <w:rFonts w:ascii="Arial" w:cs="Arial" w:eastAsia="Arial" w:hAnsi="Arial"/>
                <w:sz w:val="18"/>
                <w:szCs w:val="18"/>
                <w:b w:val="1"/>
                <w:bCs w:val="1"/>
                <w:color w:val="auto"/>
              </w:rPr>
              <w:t>Title</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800" w:type="dxa"/>
            <w:vAlign w:val="bottom"/>
            <w:tcBorders>
              <w:right w:val="single" w:sz="8" w:color="auto"/>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Arrangements</w:t>
            </w:r>
          </w:p>
        </w:tc>
        <w:tc>
          <w:tcPr>
            <w:tcW w:w="1460" w:type="dxa"/>
            <w:vAlign w:val="bottom"/>
            <w:tcBorders>
              <w:right w:val="single" w:sz="8" w:color="auto"/>
            </w:tcBorders>
            <w:shd w:val="clear" w:color="auto" w:fill="C0C0C0"/>
          </w:tcPr>
          <w:p>
            <w:pPr>
              <w:ind w:left="400"/>
              <w:spacing w:after="0"/>
              <w:rPr>
                <w:sz w:val="20"/>
                <w:szCs w:val="20"/>
                <w:color w:val="auto"/>
              </w:rPr>
            </w:pPr>
            <w:r>
              <w:rPr>
                <w:rFonts w:ascii="Arial" w:cs="Arial" w:eastAsia="Arial" w:hAnsi="Arial"/>
                <w:sz w:val="18"/>
                <w:szCs w:val="18"/>
                <w:b w:val="1"/>
                <w:bCs w:val="1"/>
                <w:color w:val="auto"/>
              </w:rPr>
              <w:t>Options</w:t>
            </w:r>
          </w:p>
        </w:tc>
        <w:tc>
          <w:tcPr>
            <w:tcW w:w="3060" w:type="dxa"/>
            <w:vAlign w:val="bottom"/>
            <w:tcBorders>
              <w:right w:val="single" w:sz="8" w:color="auto"/>
            </w:tcBorders>
            <w:shd w:val="clear" w:color="auto" w:fill="C0C0C0"/>
          </w:tcPr>
          <w:p>
            <w:pPr>
              <w:ind w:left="1260"/>
              <w:spacing w:after="0"/>
              <w:rPr>
                <w:sz w:val="20"/>
                <w:szCs w:val="20"/>
                <w:color w:val="auto"/>
              </w:rPr>
            </w:pPr>
            <w:r>
              <w:rPr>
                <w:rFonts w:ascii="Arial" w:cs="Arial" w:eastAsia="Arial" w:hAnsi="Arial"/>
                <w:sz w:val="18"/>
                <w:szCs w:val="18"/>
                <w:b w:val="1"/>
                <w:bCs w:val="1"/>
                <w:color w:val="auto"/>
              </w:rPr>
              <w:t>Other</w:t>
            </w:r>
          </w:p>
        </w:tc>
      </w:tr>
      <w:tr>
        <w:trPr>
          <w:trHeight w:val="244"/>
        </w:trPr>
        <w:tc>
          <w:tcPr>
            <w:tcW w:w="126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Officer</w:t>
            </w:r>
          </w:p>
        </w:tc>
        <w:tc>
          <w:tcPr>
            <w:tcW w:w="2040" w:type="dxa"/>
            <w:vAlign w:val="bottom"/>
            <w:tcBorders>
              <w:bottom w:val="single" w:sz="8" w:color="auto"/>
              <w:right w:val="single" w:sz="8" w:color="auto"/>
            </w:tcBorders>
            <w:shd w:val="clear" w:color="auto" w:fill="C0C0C0"/>
          </w:tcPr>
          <w:p>
            <w:pPr>
              <w:spacing w:after="0"/>
              <w:rPr>
                <w:sz w:val="21"/>
                <w:szCs w:val="21"/>
                <w:color w:val="auto"/>
              </w:rPr>
            </w:pPr>
          </w:p>
        </w:tc>
        <w:tc>
          <w:tcPr>
            <w:tcW w:w="1580" w:type="dxa"/>
            <w:vAlign w:val="bottom"/>
            <w:tcBorders>
              <w:bottom w:val="single" w:sz="8" w:color="auto"/>
              <w:right w:val="single" w:sz="8" w:color="auto"/>
            </w:tcBorders>
            <w:shd w:val="clear" w:color="auto" w:fill="C0C0C0"/>
          </w:tcPr>
          <w:p>
            <w:pPr>
              <w:spacing w:after="0"/>
              <w:rPr>
                <w:sz w:val="21"/>
                <w:szCs w:val="21"/>
                <w:color w:val="auto"/>
              </w:rPr>
            </w:pPr>
          </w:p>
        </w:tc>
        <w:tc>
          <w:tcPr>
            <w:tcW w:w="1800" w:type="dxa"/>
            <w:vAlign w:val="bottom"/>
            <w:tcBorders>
              <w:bottom w:val="single" w:sz="8" w:color="auto"/>
              <w:right w:val="single" w:sz="8" w:color="auto"/>
            </w:tcBorders>
            <w:shd w:val="clear" w:color="auto" w:fill="C0C0C0"/>
          </w:tcPr>
          <w:p>
            <w:pPr>
              <w:spacing w:after="0"/>
              <w:rPr>
                <w:sz w:val="21"/>
                <w:szCs w:val="21"/>
                <w:color w:val="auto"/>
              </w:rPr>
            </w:pPr>
          </w:p>
        </w:tc>
        <w:tc>
          <w:tcPr>
            <w:tcW w:w="1460" w:type="dxa"/>
            <w:vAlign w:val="bottom"/>
            <w:tcBorders>
              <w:bottom w:val="single" w:sz="8" w:color="auto"/>
              <w:right w:val="single" w:sz="8" w:color="auto"/>
            </w:tcBorders>
            <w:shd w:val="clear" w:color="auto" w:fill="C0C0C0"/>
          </w:tcPr>
          <w:p>
            <w:pPr>
              <w:spacing w:after="0"/>
              <w:rPr>
                <w:sz w:val="21"/>
                <w:szCs w:val="21"/>
                <w:color w:val="auto"/>
              </w:rPr>
            </w:pPr>
          </w:p>
        </w:tc>
        <w:tc>
          <w:tcPr>
            <w:tcW w:w="3060" w:type="dxa"/>
            <w:vAlign w:val="bottom"/>
            <w:tcBorders>
              <w:bottom w:val="single" w:sz="8" w:color="auto"/>
              <w:right w:val="single" w:sz="8" w:color="auto"/>
            </w:tcBorders>
            <w:shd w:val="clear" w:color="auto" w:fill="C0C0C0"/>
          </w:tcPr>
          <w:p>
            <w:pPr>
              <w:spacing w:after="0"/>
              <w:rPr>
                <w:sz w:val="21"/>
                <w:szCs w:val="21"/>
                <w:color w:val="auto"/>
              </w:rPr>
            </w:pPr>
          </w:p>
        </w:tc>
      </w:tr>
      <w:tr>
        <w:trPr>
          <w:trHeight w:val="236"/>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 Patrick</w:t>
            </w: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$210,000 per</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footnote</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Under NTIC’s 401(k) Plan,</w:t>
            </w:r>
          </w:p>
        </w:tc>
      </w:tr>
      <w:tr>
        <w:trPr>
          <w:trHeight w:val="243"/>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Lynch</w:t>
            </w: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Executive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year.</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 below</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options to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participants, including</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Officer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See footnote</w:t>
            </w: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purchase</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executive officers, may</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 below</w:t>
            </w: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 of</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voluntarily request that NTIC</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NTIC</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reduce pre-tax compensation</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common</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up to 15% (subject to</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stock are</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certain special limitations)</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granted from</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contribute such amounts</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time to time</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a trust. NTIC contributed</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 the sole</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 amount equal to 3.5% of</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discretion of</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amount that each</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NTIC</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participant contributed under</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Board of</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this plan.</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Directors.</w:t>
            </w:r>
          </w:p>
        </w:tc>
        <w:tc>
          <w:tcPr>
            <w:tcW w:w="3060" w:type="dxa"/>
            <w:vAlign w:val="bottom"/>
            <w:tcBorders>
              <w:right w:val="single" w:sz="8" w:color="auto"/>
            </w:tcBorders>
          </w:tcPr>
          <w:p>
            <w:pPr>
              <w:spacing w:after="0"/>
              <w:rPr>
                <w:sz w:val="21"/>
                <w:szCs w:val="21"/>
                <w:color w:val="auto"/>
              </w:rPr>
            </w:pP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Executive officers receive</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other benefits received by</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other NTIC employees,</w:t>
            </w: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including health, dental and</w:t>
            </w:r>
          </w:p>
        </w:tc>
      </w:tr>
      <w:tr>
        <w:trPr>
          <w:trHeight w:val="244"/>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life insurance benefits.</w:t>
            </w:r>
          </w:p>
        </w:tc>
      </w:tr>
      <w:tr>
        <w:trPr>
          <w:trHeight w:val="236"/>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 Donald</w:t>
            </w: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Vice Chairman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$175,000 per</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footnote</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above</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above</w:t>
            </w:r>
          </w:p>
        </w:tc>
      </w:tr>
      <w:tr>
        <w:trPr>
          <w:trHeight w:val="243"/>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Kubik</w:t>
            </w: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Chief</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year.</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 below</w:t>
            </w: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Technology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See footnote</w:t>
            </w: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r>
      <w:tr>
        <w:trPr>
          <w:trHeight w:val="244"/>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 below</w:t>
            </w:r>
          </w:p>
        </w:tc>
        <w:tc>
          <w:tcPr>
            <w:tcW w:w="180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spacing w:after="0"/>
              <w:rPr>
                <w:sz w:val="21"/>
                <w:szCs w:val="21"/>
                <w:color w:val="auto"/>
              </w:rPr>
            </w:pPr>
          </w:p>
        </w:tc>
      </w:tr>
      <w:tr>
        <w:trPr>
          <w:trHeight w:val="236"/>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Matthew C.</w:t>
            </w: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Financial</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$155,000 per</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footnote</w:t>
            </w:r>
          </w:p>
        </w:tc>
        <w:tc>
          <w:tcPr>
            <w:tcW w:w="1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above</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See above</w:t>
            </w:r>
          </w:p>
        </w:tc>
      </w:tr>
      <w:tr>
        <w:trPr>
          <w:trHeight w:val="243"/>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Wolsfeld</w:t>
            </w: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Officer and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year.</w:t>
            </w: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 below</w:t>
            </w: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Secretary</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See footnote</w:t>
            </w:r>
          </w:p>
        </w:tc>
        <w:tc>
          <w:tcPr>
            <w:tcW w:w="18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r>
      <w:tr>
        <w:trPr>
          <w:trHeight w:val="244"/>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 below</w:t>
            </w:r>
          </w:p>
        </w:tc>
        <w:tc>
          <w:tcPr>
            <w:tcW w:w="180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spacing w:after="0"/>
              <w:rPr>
                <w:sz w:val="21"/>
                <w:szCs w:val="21"/>
                <w:color w:val="auto"/>
              </w:rPr>
            </w:pPr>
          </w:p>
        </w:tc>
      </w:tr>
    </w:tbl>
    <w:p>
      <w:pPr>
        <w:spacing w:after="0" w:line="235" w:lineRule="exact"/>
        <w:rPr>
          <w:sz w:val="20"/>
          <w:szCs w:val="20"/>
          <w:color w:val="auto"/>
        </w:rPr>
      </w:pPr>
    </w:p>
    <w:p>
      <w:pPr>
        <w:ind w:left="500" w:hanging="492"/>
        <w:spacing w:after="0" w:line="26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base salaries for NTIC’s executive officers are determined each year by NTIC’s Board of Directors, upon recommendation of the Compensation Committee of the Board. The salaries listed in the table are the base salaries for fiscal 2008.</w:t>
      </w:r>
    </w:p>
    <w:p>
      <w:pPr>
        <w:spacing w:after="0" w:line="212" w:lineRule="exact"/>
        <w:rPr>
          <w:rFonts w:ascii="Arial" w:cs="Arial" w:eastAsia="Arial" w:hAnsi="Arial"/>
          <w:sz w:val="18"/>
          <w:szCs w:val="18"/>
          <w:color w:val="auto"/>
        </w:rPr>
      </w:pPr>
    </w:p>
    <w:p>
      <w:pPr>
        <w:ind w:left="500" w:hanging="492"/>
        <w:spacing w:after="0" w:line="26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performance bonuses for NTIC’s executive officers are determined each year by NTIC’s Board of Directors, upon recommendation of the Compensation Committee of the Board, have typically been comprised of cash and/or a stock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00" w:type="dxa"/>
            <w:vAlign w:val="bottom"/>
            <w:gridSpan w:val="2"/>
          </w:tcPr>
          <w:p>
            <w:pPr>
              <w:ind w:left="158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80" w:type="dxa"/>
            <w:vAlign w:val="bottom"/>
            <w:gridSpan w:val="3"/>
          </w:tcPr>
          <w:p>
            <w:pPr>
              <w:ind w:left="960"/>
              <w:spacing w:after="0"/>
              <w:rPr>
                <w:sz w:val="20"/>
                <w:szCs w:val="20"/>
                <w:color w:val="auto"/>
              </w:rPr>
            </w:pPr>
            <w:r>
              <w:rPr>
                <w:rFonts w:ascii="Arial" w:cs="Arial" w:eastAsia="Arial" w:hAnsi="Arial"/>
                <w:sz w:val="18"/>
                <w:szCs w:val="18"/>
                <w:b w:val="1"/>
                <w:bCs w:val="1"/>
                <w:color w:val="auto"/>
              </w:rPr>
              <w:t>SUBSIDIARIES OF THE REGISTRANT</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State or Other</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Jurisdiction of</w:t>
            </w:r>
          </w:p>
        </w:tc>
        <w:tc>
          <w:tcPr>
            <w:tcW w:w="3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Names Under Which</w:t>
            </w:r>
          </w:p>
        </w:tc>
      </w:tr>
      <w:tr>
        <w:trPr>
          <w:trHeight w:val="243"/>
        </w:trPr>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Incorporation or</w:t>
            </w:r>
          </w:p>
        </w:tc>
        <w:tc>
          <w:tcPr>
            <w:tcW w:w="3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Subsidiary Does</w:t>
            </w:r>
          </w:p>
        </w:tc>
      </w:tr>
      <w:tr>
        <w:trPr>
          <w:trHeight w:val="244"/>
        </w:trPr>
        <w:tc>
          <w:tcPr>
            <w:tcW w:w="28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Name of Subsidiary</w:t>
            </w:r>
          </w:p>
        </w:tc>
        <w:tc>
          <w:tcPr>
            <w:tcW w:w="380" w:type="dxa"/>
            <w:vAlign w:val="bottom"/>
          </w:tcPr>
          <w:p>
            <w:pPr>
              <w:spacing w:after="0"/>
              <w:rPr>
                <w:sz w:val="21"/>
                <w:szCs w:val="21"/>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Organization</w:t>
            </w:r>
          </w:p>
        </w:tc>
        <w:tc>
          <w:tcPr>
            <w:tcW w:w="380" w:type="dxa"/>
            <w:vAlign w:val="bottom"/>
          </w:tcPr>
          <w:p>
            <w:pPr>
              <w:spacing w:after="0"/>
              <w:rPr>
                <w:sz w:val="21"/>
                <w:szCs w:val="21"/>
                <w:color w:val="auto"/>
              </w:rPr>
            </w:pPr>
          </w:p>
        </w:tc>
        <w:tc>
          <w:tcPr>
            <w:tcW w:w="24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Ownership Interest</w:t>
            </w:r>
          </w:p>
        </w:tc>
        <w:tc>
          <w:tcPr>
            <w:tcW w:w="38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Business</w:t>
            </w:r>
          </w:p>
        </w:tc>
        <w:tc>
          <w:tcPr>
            <w:tcW w:w="20" w:type="dxa"/>
            <w:vAlign w:val="bottom"/>
          </w:tcPr>
          <w:p>
            <w:pPr>
              <w:spacing w:after="0"/>
              <w:rPr>
                <w:sz w:val="21"/>
                <w:szCs w:val="21"/>
                <w:color w:val="auto"/>
              </w:rPr>
            </w:pPr>
          </w:p>
        </w:tc>
      </w:tr>
      <w:tr>
        <w:trPr>
          <w:trHeight w:val="238"/>
        </w:trPr>
        <w:tc>
          <w:tcPr>
            <w:tcW w:w="2800" w:type="dxa"/>
            <w:vAlign w:val="bottom"/>
            <w:shd w:val="clear" w:color="auto" w:fill="C0C0C0"/>
          </w:tcPr>
          <w:p>
            <w:pPr>
              <w:spacing w:after="0"/>
              <w:rPr>
                <w:sz w:val="20"/>
                <w:szCs w:val="20"/>
                <w:color w:val="auto"/>
              </w:rPr>
            </w:pPr>
            <w:r>
              <w:rPr>
                <w:rFonts w:ascii="Arial" w:cs="Arial" w:eastAsia="Arial" w:hAnsi="Arial"/>
                <w:sz w:val="18"/>
                <w:szCs w:val="18"/>
                <w:color w:val="auto"/>
              </w:rPr>
              <w:t>NTI Facilities, Inc.</w:t>
            </w:r>
          </w:p>
        </w:tc>
        <w:tc>
          <w:tcPr>
            <w:tcW w:w="380" w:type="dxa"/>
            <w:vAlign w:val="bottom"/>
            <w:shd w:val="clear" w:color="auto" w:fill="C0C0C0"/>
          </w:tcPr>
          <w:p>
            <w:pPr>
              <w:spacing w:after="0"/>
              <w:rPr>
                <w:sz w:val="20"/>
                <w:szCs w:val="20"/>
                <w:color w:val="auto"/>
              </w:rPr>
            </w:pPr>
          </w:p>
        </w:tc>
        <w:tc>
          <w:tcPr>
            <w:tcW w:w="25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4"/>
              </w:rPr>
              <w:t>Ohio</w:t>
            </w:r>
          </w:p>
        </w:tc>
        <w:tc>
          <w:tcPr>
            <w:tcW w:w="2860" w:type="dxa"/>
            <w:vAlign w:val="bottom"/>
            <w:gridSpan w:val="2"/>
            <w:shd w:val="clear" w:color="auto" w:fill="C0C0C0"/>
          </w:tcPr>
          <w:p>
            <w:pPr>
              <w:jc w:val="center"/>
              <w:ind w:left="232"/>
              <w:spacing w:after="0"/>
              <w:rPr>
                <w:sz w:val="20"/>
                <w:szCs w:val="20"/>
                <w:color w:val="auto"/>
              </w:rPr>
            </w:pPr>
            <w:r>
              <w:rPr>
                <w:rFonts w:ascii="Arial" w:cs="Arial" w:eastAsia="Arial" w:hAnsi="Arial"/>
                <w:sz w:val="18"/>
                <w:szCs w:val="18"/>
                <w:color w:val="auto"/>
                <w:w w:val="91"/>
              </w:rPr>
              <w:t>100%</w:t>
            </w:r>
          </w:p>
        </w:tc>
        <w:tc>
          <w:tcPr>
            <w:tcW w:w="380" w:type="dxa"/>
            <w:vAlign w:val="bottom"/>
            <w:shd w:val="clear" w:color="auto" w:fill="C0C0C0"/>
          </w:tcPr>
          <w:p>
            <w:pPr>
              <w:spacing w:after="0"/>
              <w:rPr>
                <w:sz w:val="20"/>
                <w:szCs w:val="20"/>
                <w:color w:val="auto"/>
              </w:rPr>
            </w:pPr>
          </w:p>
        </w:tc>
        <w:tc>
          <w:tcPr>
            <w:tcW w:w="24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0"/>
              </w:rPr>
              <w:t>Same</w:t>
            </w:r>
          </w:p>
        </w:tc>
        <w:tc>
          <w:tcPr>
            <w:tcW w:w="20" w:type="dxa"/>
            <w:vAlign w:val="bottom"/>
          </w:tcPr>
          <w:p>
            <w:pPr>
              <w:spacing w:after="0"/>
              <w:rPr>
                <w:sz w:val="20"/>
                <w:szCs w:val="20"/>
                <w:color w:val="auto"/>
              </w:rPr>
            </w:pPr>
          </w:p>
        </w:tc>
      </w:tr>
      <w:tr>
        <w:trPr>
          <w:trHeight w:val="242"/>
        </w:trPr>
        <w:tc>
          <w:tcPr>
            <w:tcW w:w="2800" w:type="dxa"/>
            <w:vAlign w:val="bottom"/>
          </w:tcPr>
          <w:p>
            <w:pPr>
              <w:spacing w:after="0"/>
              <w:rPr>
                <w:sz w:val="20"/>
                <w:szCs w:val="20"/>
                <w:color w:val="auto"/>
              </w:rPr>
            </w:pPr>
            <w:r>
              <w:rPr>
                <w:rFonts w:ascii="Arial" w:cs="Arial" w:eastAsia="Arial" w:hAnsi="Arial"/>
                <w:sz w:val="18"/>
                <w:szCs w:val="18"/>
                <w:color w:val="auto"/>
              </w:rPr>
              <w:t>React-NTI LLC</w:t>
            </w:r>
          </w:p>
        </w:tc>
        <w:tc>
          <w:tcPr>
            <w:tcW w:w="38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860" w:type="dxa"/>
            <w:vAlign w:val="bottom"/>
            <w:gridSpan w:val="2"/>
          </w:tcPr>
          <w:p>
            <w:pPr>
              <w:jc w:val="center"/>
              <w:ind w:left="252"/>
              <w:spacing w:after="0"/>
              <w:rPr>
                <w:sz w:val="20"/>
                <w:szCs w:val="20"/>
                <w:color w:val="auto"/>
              </w:rPr>
            </w:pPr>
            <w:r>
              <w:rPr>
                <w:rFonts w:ascii="Arial" w:cs="Arial" w:eastAsia="Arial" w:hAnsi="Arial"/>
                <w:sz w:val="18"/>
                <w:szCs w:val="18"/>
                <w:color w:val="auto"/>
                <w:w w:val="88"/>
              </w:rPr>
              <w:t>75%</w:t>
            </w:r>
          </w:p>
        </w:tc>
        <w:tc>
          <w:tcPr>
            <w:tcW w:w="380" w:type="dxa"/>
            <w:vAlign w:val="bottom"/>
          </w:tcPr>
          <w:p>
            <w:pPr>
              <w:spacing w:after="0"/>
              <w:rPr>
                <w:sz w:val="21"/>
                <w:szCs w:val="21"/>
                <w:color w:val="auto"/>
              </w:rPr>
            </w:pPr>
          </w:p>
        </w:tc>
        <w:tc>
          <w:tcPr>
            <w:tcW w:w="2500" w:type="dxa"/>
            <w:vAlign w:val="bottom"/>
            <w:gridSpan w:val="2"/>
          </w:tcPr>
          <w:p>
            <w:pPr>
              <w:jc w:val="center"/>
              <w:ind w:right="80"/>
              <w:spacing w:after="0"/>
              <w:rPr>
                <w:sz w:val="20"/>
                <w:szCs w:val="20"/>
                <w:color w:val="auto"/>
              </w:rPr>
            </w:pPr>
            <w:r>
              <w:rPr>
                <w:rFonts w:ascii="Arial" w:cs="Arial" w:eastAsia="Arial" w:hAnsi="Arial"/>
                <w:sz w:val="18"/>
                <w:szCs w:val="18"/>
                <w:color w:val="auto"/>
                <w:w w:val="80"/>
              </w:rPr>
              <w:t>Same</w:t>
            </w:r>
          </w:p>
        </w:tc>
      </w:tr>
      <w:tr>
        <w:trPr>
          <w:trHeight w:val="242"/>
        </w:trPr>
        <w:tc>
          <w:tcPr>
            <w:tcW w:w="2800" w:type="dxa"/>
            <w:vAlign w:val="bottom"/>
            <w:shd w:val="clear" w:color="auto" w:fill="C0C0C0"/>
          </w:tcPr>
          <w:p>
            <w:pPr>
              <w:spacing w:after="0"/>
              <w:rPr>
                <w:sz w:val="20"/>
                <w:szCs w:val="20"/>
                <w:color w:val="auto"/>
              </w:rPr>
            </w:pPr>
            <w:r>
              <w:rPr>
                <w:rFonts w:ascii="Arial" w:cs="Arial" w:eastAsia="Arial" w:hAnsi="Arial"/>
                <w:sz w:val="18"/>
                <w:szCs w:val="18"/>
                <w:color w:val="auto"/>
              </w:rPr>
              <w:t>Northern Technologies</w:t>
            </w:r>
          </w:p>
        </w:tc>
        <w:tc>
          <w:tcPr>
            <w:tcW w:w="380" w:type="dxa"/>
            <w:vAlign w:val="bottom"/>
            <w:shd w:val="clear" w:color="auto" w:fill="C0C0C0"/>
          </w:tcPr>
          <w:p>
            <w:pPr>
              <w:spacing w:after="0"/>
              <w:rPr>
                <w:sz w:val="21"/>
                <w:szCs w:val="21"/>
                <w:color w:val="auto"/>
              </w:rPr>
            </w:pPr>
          </w:p>
        </w:tc>
        <w:tc>
          <w:tcPr>
            <w:tcW w:w="25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Delaware</w:t>
            </w:r>
          </w:p>
        </w:tc>
        <w:tc>
          <w:tcPr>
            <w:tcW w:w="2860" w:type="dxa"/>
            <w:vAlign w:val="bottom"/>
            <w:gridSpan w:val="2"/>
            <w:shd w:val="clear" w:color="auto" w:fill="C0C0C0"/>
          </w:tcPr>
          <w:p>
            <w:pPr>
              <w:jc w:val="center"/>
              <w:ind w:left="232"/>
              <w:spacing w:after="0"/>
              <w:rPr>
                <w:sz w:val="20"/>
                <w:szCs w:val="20"/>
                <w:color w:val="auto"/>
              </w:rPr>
            </w:pPr>
            <w:r>
              <w:rPr>
                <w:rFonts w:ascii="Arial" w:cs="Arial" w:eastAsia="Arial" w:hAnsi="Arial"/>
                <w:sz w:val="18"/>
                <w:szCs w:val="18"/>
                <w:color w:val="auto"/>
                <w:w w:val="91"/>
              </w:rPr>
              <w:t>100%</w:t>
            </w:r>
          </w:p>
        </w:tc>
        <w:tc>
          <w:tcPr>
            <w:tcW w:w="380" w:type="dxa"/>
            <w:vAlign w:val="bottom"/>
            <w:shd w:val="clear" w:color="auto" w:fill="C0C0C0"/>
          </w:tcPr>
          <w:p>
            <w:pPr>
              <w:spacing w:after="0"/>
              <w:rPr>
                <w:sz w:val="21"/>
                <w:szCs w:val="21"/>
                <w:color w:val="auto"/>
              </w:rPr>
            </w:pPr>
          </w:p>
        </w:tc>
        <w:tc>
          <w:tcPr>
            <w:tcW w:w="24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0"/>
              </w:rPr>
              <w:t>Same</w:t>
            </w:r>
          </w:p>
        </w:tc>
        <w:tc>
          <w:tcPr>
            <w:tcW w:w="20" w:type="dxa"/>
            <w:vAlign w:val="bottom"/>
          </w:tcPr>
          <w:p>
            <w:pPr>
              <w:spacing w:after="0"/>
              <w:rPr>
                <w:sz w:val="21"/>
                <w:szCs w:val="21"/>
                <w:color w:val="auto"/>
              </w:rPr>
            </w:pPr>
          </w:p>
        </w:tc>
      </w:tr>
      <w:tr>
        <w:trPr>
          <w:trHeight w:val="245"/>
        </w:trPr>
        <w:tc>
          <w:tcPr>
            <w:tcW w:w="2800" w:type="dxa"/>
            <w:vAlign w:val="bottom"/>
            <w:shd w:val="clear" w:color="auto" w:fill="C0C0C0"/>
          </w:tcPr>
          <w:p>
            <w:pPr>
              <w:spacing w:after="0"/>
              <w:rPr>
                <w:sz w:val="20"/>
                <w:szCs w:val="20"/>
                <w:color w:val="auto"/>
              </w:rPr>
            </w:pPr>
            <w:r>
              <w:rPr>
                <w:rFonts w:ascii="Arial" w:cs="Arial" w:eastAsia="Arial" w:hAnsi="Arial"/>
                <w:sz w:val="18"/>
                <w:szCs w:val="18"/>
                <w:color w:val="auto"/>
              </w:rPr>
              <w:t>Holding Company, LLC</w:t>
            </w:r>
          </w:p>
        </w:tc>
        <w:tc>
          <w:tcPr>
            <w:tcW w:w="380" w:type="dxa"/>
            <w:vAlign w:val="bottom"/>
            <w:shd w:val="clear" w:color="auto" w:fill="C0C0C0"/>
          </w:tcPr>
          <w:p>
            <w:pPr>
              <w:spacing w:after="0"/>
              <w:rPr>
                <w:sz w:val="21"/>
                <w:szCs w:val="21"/>
                <w:color w:val="auto"/>
              </w:rPr>
            </w:pPr>
          </w:p>
        </w:tc>
        <w:tc>
          <w:tcPr>
            <w:tcW w:w="25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248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2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61"/>
        </w:trPr>
        <w:tc>
          <w:tcPr>
            <w:tcW w:w="2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333-140245, 333-140244, 333-32596 and 333-33931) of Northern Technologies International Corporation and Subsidiaries of our report dated November 6, 2007, which appears on page [33] of this annual report on Form 10-KSB for the year ended August 31,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Virchow, Krause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10-KSB of Northern Technologies International Corporation;</w:t>
      </w:r>
    </w:p>
    <w:p>
      <w:pPr>
        <w:spacing w:after="0" w:line="225" w:lineRule="exact"/>
        <w:rPr>
          <w:rFonts w:ascii="Arial" w:cs="Arial" w:eastAsia="Arial" w:hAnsi="Arial"/>
          <w:sz w:val="18"/>
          <w:szCs w:val="18"/>
          <w:color w:val="auto"/>
        </w:rPr>
      </w:pPr>
    </w:p>
    <w:p>
      <w:pPr>
        <w:ind w:firstLine="8"/>
        <w:spacing w:after="0" w:line="332" w:lineRule="auto"/>
        <w:tabs>
          <w:tab w:leader="none" w:pos="1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8"/>
        <w:spacing w:after="0" w:line="268"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85" w:lineRule="exact"/>
        <w:rPr>
          <w:rFonts w:ascii="Arial" w:cs="Arial" w:eastAsia="Arial" w:hAnsi="Arial"/>
          <w:sz w:val="18"/>
          <w:szCs w:val="18"/>
          <w:color w:val="auto"/>
        </w:rPr>
      </w:pPr>
    </w:p>
    <w:p>
      <w:pPr>
        <w:jc w:val="both"/>
        <w:ind w:left="280" w:right="20" w:hanging="2"/>
        <w:spacing w:after="0" w:line="259" w:lineRule="auto"/>
        <w:tabs>
          <w:tab w:leader="none" w:pos="5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280" w:hanging="2"/>
        <w:spacing w:after="0" w:line="332" w:lineRule="auto"/>
        <w:tabs>
          <w:tab w:leader="none" w:pos="5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280" w:hanging="2"/>
        <w:spacing w:after="0" w:line="332" w:lineRule="auto"/>
        <w:tabs>
          <w:tab w:leader="none" w:pos="52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39" w:lineRule="exact"/>
        <w:rPr>
          <w:rFonts w:ascii="Arial" w:cs="Arial" w:eastAsia="Arial" w:hAnsi="Arial"/>
          <w:sz w:val="16"/>
          <w:szCs w:val="16"/>
          <w:color w:val="auto"/>
        </w:rPr>
      </w:pPr>
    </w:p>
    <w:p>
      <w:pPr>
        <w:ind w:firstLine="8"/>
        <w:spacing w:after="0" w:line="33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39" w:lineRule="exact"/>
        <w:rPr>
          <w:rFonts w:ascii="Arial" w:cs="Arial" w:eastAsia="Arial" w:hAnsi="Arial"/>
          <w:sz w:val="16"/>
          <w:szCs w:val="16"/>
          <w:color w:val="auto"/>
        </w:rPr>
      </w:pPr>
    </w:p>
    <w:p>
      <w:pPr>
        <w:ind w:left="280" w:hanging="2"/>
        <w:spacing w:after="0" w:line="268" w:lineRule="auto"/>
        <w:tabs>
          <w:tab w:leader="none" w:pos="5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85" w:lineRule="exact"/>
        <w:rPr>
          <w:rFonts w:ascii="Arial" w:cs="Arial" w:eastAsia="Arial" w:hAnsi="Arial"/>
          <w:sz w:val="18"/>
          <w:szCs w:val="18"/>
          <w:color w:val="auto"/>
        </w:rPr>
      </w:pPr>
    </w:p>
    <w:p>
      <w:pPr>
        <w:ind w:left="280" w:hanging="2"/>
        <w:spacing w:after="0" w:line="268" w:lineRule="auto"/>
        <w:tabs>
          <w:tab w:leader="none" w:pos="5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123190</wp:posOffset>
            </wp:positionV>
            <wp:extent cx="1595120" cy="43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951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2540</wp:posOffset>
            </wp:positionV>
            <wp:extent cx="1826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 Patrick Lynch</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10-KSB of Northern Technologies International Corporation;</w:t>
      </w:r>
    </w:p>
    <w:p>
      <w:pPr>
        <w:spacing w:after="0" w:line="225" w:lineRule="exact"/>
        <w:rPr>
          <w:rFonts w:ascii="Arial" w:cs="Arial" w:eastAsia="Arial" w:hAnsi="Arial"/>
          <w:sz w:val="18"/>
          <w:szCs w:val="18"/>
          <w:color w:val="auto"/>
        </w:rPr>
      </w:pPr>
    </w:p>
    <w:p>
      <w:pPr>
        <w:ind w:firstLine="8"/>
        <w:spacing w:after="0" w:line="332" w:lineRule="auto"/>
        <w:tabs>
          <w:tab w:leader="none" w:pos="1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8"/>
        <w:spacing w:after="0" w:line="268"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85" w:lineRule="exact"/>
        <w:rPr>
          <w:rFonts w:ascii="Arial" w:cs="Arial" w:eastAsia="Arial" w:hAnsi="Arial"/>
          <w:sz w:val="18"/>
          <w:szCs w:val="18"/>
          <w:color w:val="auto"/>
        </w:rPr>
      </w:pPr>
    </w:p>
    <w:p>
      <w:pPr>
        <w:jc w:val="both"/>
        <w:ind w:left="280" w:right="20" w:hanging="2"/>
        <w:spacing w:after="0" w:line="259" w:lineRule="auto"/>
        <w:tabs>
          <w:tab w:leader="none" w:pos="5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280" w:hanging="2"/>
        <w:spacing w:after="0" w:line="332" w:lineRule="auto"/>
        <w:tabs>
          <w:tab w:leader="none" w:pos="5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280" w:hanging="2"/>
        <w:spacing w:after="0" w:line="332" w:lineRule="auto"/>
        <w:tabs>
          <w:tab w:leader="none" w:pos="5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39" w:lineRule="exact"/>
        <w:rPr>
          <w:rFonts w:ascii="Arial" w:cs="Arial" w:eastAsia="Arial" w:hAnsi="Arial"/>
          <w:sz w:val="16"/>
          <w:szCs w:val="16"/>
          <w:color w:val="auto"/>
        </w:rPr>
      </w:pPr>
    </w:p>
    <w:p>
      <w:pPr>
        <w:ind w:firstLine="8"/>
        <w:spacing w:after="0" w:line="332" w:lineRule="auto"/>
        <w:tabs>
          <w:tab w:leader="none" w:pos="1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39" w:lineRule="exact"/>
        <w:rPr>
          <w:rFonts w:ascii="Arial" w:cs="Arial" w:eastAsia="Arial" w:hAnsi="Arial"/>
          <w:sz w:val="16"/>
          <w:szCs w:val="16"/>
          <w:color w:val="auto"/>
        </w:rPr>
      </w:pPr>
    </w:p>
    <w:p>
      <w:pPr>
        <w:ind w:left="280" w:hanging="2"/>
        <w:spacing w:after="0" w:line="268" w:lineRule="auto"/>
        <w:tabs>
          <w:tab w:leader="none" w:pos="52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85" w:lineRule="exact"/>
        <w:rPr>
          <w:rFonts w:ascii="Arial" w:cs="Arial" w:eastAsia="Arial" w:hAnsi="Arial"/>
          <w:sz w:val="18"/>
          <w:szCs w:val="18"/>
          <w:color w:val="auto"/>
        </w:rPr>
      </w:pPr>
    </w:p>
    <w:p>
      <w:pPr>
        <w:ind w:left="280" w:hanging="2"/>
        <w:spacing w:after="0" w:line="268" w:lineRule="auto"/>
        <w:tabs>
          <w:tab w:leader="none" w:pos="5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123190</wp:posOffset>
            </wp:positionV>
            <wp:extent cx="1826895" cy="488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268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November 29, 2007</w:t>
      </w:r>
      <w:r>
        <w:rPr>
          <w:sz w:val="20"/>
          <w:szCs w:val="20"/>
          <w:color w:val="auto"/>
        </w:rPr>
        <w:tab/>
      </w:r>
      <w:r>
        <w:rPr>
          <w:rFonts w:ascii="Arial" w:cs="Arial" w:eastAsia="Arial" w:hAnsi="Arial"/>
          <w:sz w:val="16"/>
          <w:szCs w:val="16"/>
          <w:color w:val="auto"/>
        </w:rPr>
        <w:t>Matthew C. Wolsfeld, CPA</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10-KSB for the period ending August 31, 2007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1" w:lineRule="exact"/>
        <w:rPr>
          <w:sz w:val="20"/>
          <w:szCs w:val="20"/>
          <w:color w:val="auto"/>
        </w:rPr>
      </w:pPr>
    </w:p>
    <w:p>
      <w:pPr>
        <w:ind w:left="760" w:hanging="48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760" w:hanging="482"/>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-734060</wp:posOffset>
            </wp:positionV>
            <wp:extent cx="1826895" cy="5918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26895" cy="59182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Annual Report of Northern Technologies International Corporation (the “Company”) on Form 10-KSB for the period ending August 31, 2007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74" w:lineRule="exact"/>
        <w:rPr>
          <w:sz w:val="20"/>
          <w:szCs w:val="20"/>
          <w:color w:val="auto"/>
        </w:rPr>
      </w:pPr>
    </w:p>
    <w:p>
      <w:pPr>
        <w:ind w:left="760" w:hanging="48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760" w:hanging="48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180340</wp:posOffset>
            </wp:positionV>
            <wp:extent cx="1826895" cy="797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268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Matthew C. Wolsfeld, CPA</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 and Corporate Secretary</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 and principal</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decimal"/>
      <w:start w:val="111"/>
    </w:lvl>
  </w:abstractNum>
  <w:abstractNum w:abstractNumId="4">
    <w:nsid w:val="12200854"/>
    <w:multiLevelType w:val="hybridMultilevel"/>
    <w:lvl w:ilvl="0">
      <w:lvlJc w:val="left"/>
      <w:lvlText w:val="%1"/>
      <w:numFmt w:val="decimal"/>
      <w:start w:val="667"/>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emdash "/>
      <w:numFmt w:val="bullet"/>
      <w:start w:val="1"/>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upperLetter"/>
      <w:start w:val="10"/>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upp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2019-12-12T11:18:56Z</dcterms:created>
  <dcterms:modified xsi:type="dcterms:W3CDTF">2019-12-12T11:18:56Z</dcterms:modified>
</cp:coreProperties>
</file>